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ptos" w:hAnsi="Aptos"/>
          <w:color w:val="5A5A5A"/>
          <w:sz w:val="15"/>
        </w:rPr>
        <w:t>Document ID: EV-BLR003-2023-011</w:t>
      </w:r>
    </w:p>
    <w:p>
      <w:pPr>
        <w:pStyle w:val="Heading1"/>
      </w:pPr>
      <w:r>
        <w:t>BLR-003 Monthly Fuel Consumption Record - November</w:t>
      </w:r>
    </w:p>
    <w:p>
      <w:r>
        <w:rPr>
          <w:rFonts w:ascii="Aptos" w:hAnsi="Aptos" w:eastAsia="Aptos"/>
          <w:b w:val="0"/>
          <w:sz w:val="16"/>
        </w:rPr>
        <w:t>Internal boiler operations log and fuel-use summary.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Facility Name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Anheuser-Busch Baldwinsville Brewery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Unit ID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BLR-003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Equipment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Steam Boiler #3 - Multi-Fuel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Reporting Month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November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Fuel Type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Natural Gas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Quantity / Unit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11,500 Mcf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</w:tblGrid>
      <w:tr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Date Posted</w:t>
            </w:r>
          </w:p>
        </w:tc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Fuel Type</w:t>
            </w:r>
          </w:p>
        </w:tc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Quantity</w:t>
            </w:r>
          </w:p>
        </w:tc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Unit</w:t>
            </w:r>
          </w:p>
        </w:tc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Operations Note</w:t>
            </w:r>
          </w:p>
        </w:tc>
      </w:tr>
      <w:tr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Nov 28, 2023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Natural Gas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11,500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Mcf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Natural gas draw recorded from plant fuel-use allocation log.</w:t>
            </w:r>
          </w:p>
        </w:tc>
      </w:tr>
    </w:tbl>
    <w:p>
      <w:r>
        <w:rPr>
          <w:rFonts w:ascii="Aptos" w:hAnsi="Aptos" w:eastAsia="Aptos"/>
          <w:b w:val="0"/>
          <w:sz w:val="14"/>
        </w:rPr>
        <w:t>Operator certification: record reviewed against shift logs, meter records, and fuel receipts retained by Plant Utilities.</w:t>
      </w:r>
    </w:p>
    <w:p>
      <w:r>
        <w:rPr>
          <w:rFonts w:ascii="Aptos" w:hAnsi="Aptos" w:eastAsia="Aptos"/>
          <w:b w:val="0"/>
          <w:sz w:val="8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