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EV-NG-2023-012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NFG-23-BWV-0012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Dec 16, 2023 to Jan 15, 2024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1,552,040</w:t>
            </w:r>
          </w:p>
        </w:tc>
        <w:tc>
          <w:tcPr>
            <w:tcW w:type="dxa" w:w="1762"/>
            <w:vAlign w:val="center"/>
          </w:tcPr>
          <w:p>
            <w:r>
              <w:t>1,584,840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31</w:t>
            </w:r>
          </w:p>
        </w:tc>
        <w:tc>
          <w:tcPr>
            <w:tcW w:type="dxa" w:w="1762"/>
            <w:vAlign w:val="center"/>
          </w:tcPr>
          <w:p>
            <w:r>
              <w:t>32,800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32,800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$201,720.00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32,800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$13,776.00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$6,680.38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$222,501.38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02/20/2024.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