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eastAsia="Calibri"/>
          <w:b/>
          <w:color w:val="2E74B5"/>
          <w:sz w:val="19"/>
        </w:rPr>
        <w:t>METHODOLOGY WORKING DRAFT</w:t>
      </w:r>
    </w:p>
    <w:p>
      <w:pPr>
        <w:pStyle w:val="Title"/>
      </w:pPr>
      <w:r>
        <w:t>Methodology Working Draft: Market Design, Benchmarks, and Finite States</w:t>
      </w:r>
    </w:p>
    <w:p>
      <w:pPr>
        <w:pStyle w:val="Subtitle"/>
      </w:pPr>
      <w:r>
        <w:t>Replication of Dou, Goldstein, and Ji (2025) | Implementation Steps 1-14</w:t>
      </w:r>
    </w:p>
    <w:p>
      <w:pPr>
        <w:spacing w:before="0" w:after="280"/>
      </w:pPr>
      <w:r>
        <w:rPr>
          <w:rFonts w:ascii="Calibri" w:hAnsi="Calibri" w:eastAsia="Calibri"/>
          <w:color w:val="596069"/>
          <w:sz w:val="19"/>
        </w:rPr>
        <w:t>Prepared 28 August 2026  |  Python replication  |  Living document</w:t>
      </w:r>
    </w:p>
    <w:p>
      <w:pPr>
        <w:pStyle w:val="DraftNote"/>
        <w:shd w:fill="F4F6F9" w:val="clear"/>
      </w:pPr>
      <w:r>
        <w:rPr>
          <w:rFonts w:ascii="Calibri" w:hAnsi="Calibri" w:eastAsia="Calibri"/>
          <w:b/>
          <w:sz w:val="21"/>
        </w:rPr>
        <w:t xml:space="preserve">Scope note. </w:t>
      </w:r>
      <w:r>
        <w:rPr>
          <w:rFonts w:ascii="Calibri" w:hAnsi="Calibri" w:eastAsia="Calibri"/>
          <w:sz w:val="21"/>
        </w:rPr>
        <w:t>This draft documents the static market foundation, theoretical pricing rule, Nash and perfect-cartel strategies, benchmark profits, finite action and price grids, and the finite state representation. Hand-checkable examples and exhaustive index checks are software validations. They are not empirical estimates or evidence that the full learning model has been replicated.</w:t>
      </w:r>
    </w:p>
    <w:p>
      <w:pPr>
        <w:pStyle w:val="Heading1"/>
      </w:pPr>
      <w:r>
        <w:t>1. Replication Design and Current Scope</w:t>
      </w:r>
    </w:p>
    <w:p>
      <w:pPr>
        <w:widowControl/>
      </w:pPr>
      <w:r>
        <w:t>The replication follows the economic environment and numerical setup in Dou, Goldstein, and Ji (2025). Development is deliberately incremental: each economic relationship is first implemented as a separate Python component, validated against a deterministic calculation, and only then connected to other components. This design makes the mapping from the paper to the code explicit and reduces the risk that an error in one equation is concealed by a larger simulation.</w:t>
      </w:r>
    </w:p>
    <w:p>
      <w:pPr>
        <w:widowControl/>
      </w:pPr>
      <w:r>
        <w:t>The present implementation covers the fundamental-value process, noise trading, aggregate order flow, information-insensitive demand, informed-speculator profits, the market maker's objective, the theoretical pricing rule, the Nash and perfect-cartel fixed points and expected profits, the finite action and price grids, and the state-index system. Q-learning agents, the adaptive market maker, convergence criteria, and repeated-session experiments remain outside the current scope and will be added only after their corresponding code has been validated.</w:t>
      </w:r>
    </w:p>
    <w:p>
      <w:pPr>
        <w:widowControl/>
      </w:pPr>
      <w:r>
        <w:t>The baseline parameter values relevant to the components implemented so far are I = 2 informed speculators, an unconditional fundamental mean of v̄ = 1, fundamental volatility σᵥ = 1, nᵥ = 10 value-grid points, information-insensitive demand slope ξ = 500, and pricing-error weight θ = 0.1. The finite-grid settings are nₓ = 15 actions, nₚ = 31 prices, and widening parameter ι = 0.1. The paper considers both a low-noise environment with σᵤ = 0.1 and a high-noise environment with σᵤ = 100.</w:t>
      </w:r>
    </w:p>
    <w:p>
      <w:pPr>
        <w:pStyle w:val="Heading1"/>
      </w:pPr>
      <w:r>
        <w:t>2. Economic Environment</w:t>
      </w:r>
    </w:p>
    <w:p>
      <w:pPr>
        <w:pStyle w:val="Heading2"/>
      </w:pPr>
      <w:r>
        <w:t>2.1 Participants and within-period information</w:t>
      </w:r>
    </w:p>
    <w:p>
      <w:pPr>
        <w:widowControl/>
      </w:pPr>
      <w:r>
        <w:t>Time is discrete. In each period, a short-lived asset is traded and its fundamental value is realized at the end of that period. The market contains I risk-neutral informed speculators, a representative noise trader, a representative information-insensitive investor sector, and a representative market maker. Exogenous shocks are independent and identically distributed across periods.</w:t>
      </w:r>
    </w:p>
    <w:p>
      <w:pPr>
        <w:widowControl/>
      </w:pPr>
      <w:r>
        <w:t>Each informed speculator observes the current fundamental value perfectly before submitting an order, but does not observe the contemporaneous noise order. The market maker subsequently observes aggregate informed-plus-noise order flow, not its separate components. The information-insensitive sector follows a known price-dependent demand schedule. These information restrictions are central to the price-formation mechanism.</w:t>
      </w:r>
    </w:p>
    <w:p>
      <w:pPr>
        <w:pStyle w:val="Heading2"/>
      </w:pPr>
      <w:r>
        <w:t>2.2 Fundamental value and Gaussian discretization</w:t>
      </w:r>
    </w:p>
    <w:p>
      <w:pPr>
        <w:keepNext/>
        <w:widowControl/>
      </w:pPr>
      <w:r>
        <w:t>The period-t fundamental value follows the normal distribution assumed in the paper:</w:t>
      </w:r>
    </w:p>
    <w:p>
      <w:pPr>
        <w:pStyle w:val="Equation"/>
      </w:pPr>
      <w:r>
        <w:rPr>
          <w:rFonts w:ascii="Cambria Math" w:hAnsi="Cambria Math" w:eastAsia="Cambria Math"/>
          <w:sz w:val="23"/>
        </w:rPr>
        <w:t>vₜ ~ N(v̄, σᵥ²).</w:t>
      </w:r>
    </w:p>
    <w:p>
      <w:pPr>
        <w:keepNext/>
        <w:widowControl/>
      </w:pPr>
      <w:r>
        <w:t>The baseline normalization is v̄ = 1 and σᵥ = 1. Because the later learning model requires a finite state space, the continuous distribution is approximated using nᵥ = 10 equiprobable grid values. For k = 1, ..., nᵥ, the probability midpoint and corresponding grid point are:</w:t>
      </w:r>
    </w:p>
    <w:p>
      <w:pPr>
        <w:pStyle w:val="Equation"/>
      </w:pPr>
      <w:r>
        <w:rPr>
          <w:rFonts w:ascii="Cambria Math" w:hAnsi="Cambria Math" w:eastAsia="Cambria Math"/>
          <w:sz w:val="23"/>
        </w:rPr>
        <w:t>qₖ = (2k - 1)/(2nᵥ),      vₖ = v̄ + σᵥ Φ⁻¹(qₖ).</w:t>
      </w:r>
    </w:p>
    <w:p>
      <w:pPr>
        <w:keepNext/>
        <w:widowControl/>
      </w:pPr>
      <w:r>
        <w:t>The midpoint probabilities are 0.05, 0.15, ..., 0.95, and each resulting value receives probability 1/nᵥ. Probability midpoints avoid zero and one, where the Gaussian quantile function is unbounded. The resulting grid is ordered and symmetric around one. Its arithmetic mean is 1.000000 and its discrete standard deviation is computed as:</w:t>
      </w:r>
    </w:p>
    <w:p>
      <w:pPr>
        <w:pStyle w:val="Equation"/>
      </w:pPr>
      <w:r>
        <w:rPr>
          <w:rFonts w:ascii="Cambria Math" w:hAnsi="Cambria Math" w:eastAsia="Cambria Math"/>
          <w:sz w:val="23"/>
        </w:rPr>
        <w:t>σ̂ᵥ = [(1/nᵥ) Σₖ(vₖ - v̄)²]¹ᐟ² = 0.937970 ≈ 0.938.</w:t>
      </w:r>
    </w:p>
    <w:p>
      <w:pPr>
        <w:widowControl/>
      </w:pPr>
      <w:r>
        <w:t>This discretization is a numerical approximation to the paper's assumed normal distribution. It is not an empirical estimate of the distribution of real asset fundamentals. Both normality and the baseline parameter values are inherited modeling assumptions.</w:t>
      </w:r>
    </w:p>
    <w:p>
      <w:pPr>
        <w:pStyle w:val="Heading2"/>
      </w:pPr>
      <w:r>
        <w:t>2.3 Noise trading</w:t>
      </w:r>
    </w:p>
    <w:p>
      <w:pPr>
        <w:keepNext/>
        <w:widowControl/>
      </w:pPr>
      <w:r>
        <w:t>The representative noise trader submits an order that is independent of the fundamental value and other exogenous shocks:</w:t>
      </w:r>
    </w:p>
    <w:p>
      <w:pPr>
        <w:pStyle w:val="Equation"/>
      </w:pPr>
      <w:r>
        <w:rPr>
          <w:rFonts w:ascii="Cambria Math" w:hAnsi="Cambria Math" w:eastAsia="Cambria Math"/>
          <w:sz w:val="23"/>
        </w:rPr>
        <w:t>uₜ ~ N(0, σᵤ²).</w:t>
      </w:r>
    </w:p>
    <w:p>
      <w:pPr>
        <w:widowControl/>
      </w:pPr>
      <w:r>
        <w:t>The paper studies σᵤ = 0.1 and σᵤ = 100. Moving from the former to the latter multiplies the standard deviation by 1,000 and the variance by 1,000,000. It does not change the population mean, which remains zero. A finite sample mean may nevertheless be nonzero, and scaling a fixed sequence of standard-normal draws scales that finite-sample mean together with the sample standard deviation.</w:t>
      </w:r>
    </w:p>
    <w:p>
      <w:pPr>
        <w:widowControl/>
      </w:pPr>
      <w:r>
        <w:t>For preliminary reproducibility checks, Gaussian orders were generated with a fixed random seed of 42. Two generators initialized with the same seed reproduced the same first draw. Distributional behavior was checked using 100,000 draws, requiring the sample mean to be near zero and the population-form sample standard deviation to lie within 2 percent of the specified σᵤ. A final policy for deriving independent session-level seeds will be specified before the full simulation stage. The seed, sample size, and tolerance are implementation diagnostics rather than choices prescribed by the paper.</w:t>
      </w:r>
    </w:p>
    <w:p>
      <w:pPr>
        <w:pStyle w:val="Heading2"/>
      </w:pPr>
      <w:r>
        <w:t>2.4 Aggregate order flow and observability</w:t>
      </w:r>
    </w:p>
    <w:p>
      <w:pPr>
        <w:keepNext/>
        <w:widowControl/>
      </w:pPr>
      <w:r>
        <w:t>Speculator i submits order xᵢ,ₜ. Aggregate informed orders and the noise order form the total order flow:</w:t>
      </w:r>
    </w:p>
    <w:p>
      <w:pPr>
        <w:pStyle w:val="Equation"/>
      </w:pPr>
      <w:r>
        <w:rPr>
          <w:rFonts w:ascii="Cambria Math" w:hAnsi="Cambria Math" w:eastAsia="Cambria Math"/>
          <w:sz w:val="23"/>
        </w:rPr>
        <w:t>yₜ = Σᵢ xᵢ,ₜ + uₜ.</w:t>
      </w:r>
    </w:p>
    <w:p>
      <w:pPr>
        <w:widowControl/>
      </w:pPr>
      <w:r>
        <w:t>With two informed speculators, yₜ = x₁,ₜ + x₂,ₜ + uₜ. The market maker observes yₜ only after these orders have been submitted. It cannot determine how much of the observed total came from informed trading and how much came from the noise trader. Noise trading is therefore unobservable but not price-irrelevant: a realization of uₜ changes yₜ and can affect price both directly and through the market maker's inference about fundamental value.</w:t>
      </w:r>
    </w:p>
    <w:p>
      <w:pPr>
        <w:pStyle w:val="Heading2"/>
      </w:pPr>
      <w:r>
        <w:t>2.5 Information-insensitive investor demand</w:t>
      </w:r>
    </w:p>
    <w:p>
      <w:pPr>
        <w:keepNext/>
        <w:widowControl/>
      </w:pPr>
      <w:r>
        <w:t>The representative information-insensitive sector responds deterministically to the deviation of the market price from the unconditional expected fundamental value. Its aggregate demand is equation (3.2) of the source paper:</w:t>
      </w:r>
    </w:p>
    <w:p>
      <w:pPr>
        <w:pStyle w:val="Equation"/>
      </w:pPr>
      <w:r>
        <w:rPr>
          <w:rFonts w:ascii="Cambria Math" w:hAnsi="Cambria Math" w:eastAsia="Cambria Math"/>
          <w:sz w:val="23"/>
        </w:rPr>
        <w:t>zₜ = -ξ(pₜ - v̄),      ξ ≥ 0.</w:t>
      </w:r>
    </w:p>
    <w:p>
      <w:pPr>
        <w:widowControl/>
      </w:pPr>
      <w:r>
        <w:t>Demand is downward sloping. The sector sells when pₜ exceeds v̄, buys when pₜ is below v̄, and submits no order when the two are equal. This participant is economically distinct from the noise trader: uₜ is random and enters yₜ before price formation, whereas zₜ is a deterministic function of the price schedule known to the market maker.</w:t>
      </w:r>
    </w:p>
    <w:p>
      <w:pPr>
        <w:pStyle w:val="Heading2"/>
      </w:pPr>
      <w:r>
        <w:t>2.6 Informed-speculator payoff</w:t>
      </w:r>
    </w:p>
    <w:p>
      <w:pPr>
        <w:keepNext/>
        <w:widowControl/>
      </w:pPr>
      <w:r>
        <w:t>The period payoff of informed speculator i is the value-price difference multiplied by its signed position:</w:t>
      </w:r>
    </w:p>
    <w:p>
      <w:pPr>
        <w:pStyle w:val="Equation"/>
      </w:pPr>
      <w:r>
        <w:rPr>
          <w:rFonts w:ascii="Cambria Math" w:hAnsi="Cambria Math" w:eastAsia="Cambria Math"/>
          <w:sz w:val="23"/>
        </w:rPr>
        <w:t>πᵢ,ₜ = (vₜ - pₜ)xᵢ,ₜ.</w:t>
      </w:r>
    </w:p>
    <w:p>
      <w:pPr>
        <w:widowControl/>
      </w:pPr>
      <w:r>
        <w:t>A positive order denotes a purchase and a negative order denotes a sale or short position. Buying is profitable when fundamental value exceeds price; shorting is profitable when price exceeds fundamental value. This period payoff will later serve as the immediate reward in each informed agent's Q-learning update.</w:t>
      </w:r>
    </w:p>
    <w:p>
      <w:pPr>
        <w:pStyle w:val="Heading1"/>
      </w:pPr>
      <w:r>
        <w:t>3. Market-Maker Pricing</w:t>
      </w:r>
    </w:p>
    <w:p>
      <w:pPr>
        <w:pStyle w:val="Heading2"/>
      </w:pPr>
      <w:r>
        <w:t>3.1 Objective function</w:t>
      </w:r>
    </w:p>
    <w:p>
      <w:pPr>
        <w:keepNext/>
        <w:widowControl/>
      </w:pPr>
      <w:r>
        <w:t>After observing yₜ, the market maker chooses pₜ to minimize the conditional expected loss specified in equation (3.3) of the paper:</w:t>
      </w:r>
    </w:p>
    <w:p>
      <w:pPr>
        <w:pStyle w:val="Equation"/>
      </w:pPr>
      <w:r>
        <w:rPr>
          <w:rFonts w:ascii="Cambria Math" w:hAnsi="Cambria Math" w:eastAsia="Cambria Math"/>
          <w:sz w:val="23"/>
        </w:rPr>
        <w:t>minₚ E[(yₜ + zₜ)² + θ(pₜ - vₜ)² | yₜ].</w:t>
      </w:r>
    </w:p>
    <w:p>
      <w:pPr>
        <w:widowControl/>
      </w:pPr>
      <w:r>
        <w:t>The first term is a quadratic inventory cost. The market maker must absorb the position -(yₜ + zₜ), so a larger residual imbalance is more costly. The second term penalizes squared pricing error, and θ &gt; 0 controls the weight placed on price accuracy. A lower objective value is preferable; the objective is a loss measure rather than a trading profit.</w:t>
      </w:r>
    </w:p>
    <w:p>
      <w:pPr>
        <w:widowControl/>
      </w:pPr>
      <w:r>
        <w:t>The expectation is conditional on observed aggregate order flow. Because zₜ is deterministic for a proposed price, uncertainty enters through vₜ. In the standalone objective test, the expectation was evaluated over a deliberately simple conditional distribution so that the result could be verified by hand. That artificial distribution is not a calibrated belief used in the final model.</w:t>
      </w:r>
    </w:p>
    <w:p>
      <w:pPr>
        <w:pStyle w:val="Heading2"/>
      </w:pPr>
      <w:r>
        <w:t>3.2 Theoretical price rule</w:t>
      </w:r>
    </w:p>
    <w:p>
      <w:pPr>
        <w:keepNext/>
        <w:widowControl/>
      </w:pPr>
      <w:r>
        <w:t>Substituting zₜ = -ξ(pₜ - v̄) into the objective and differentiating with respect to pₜ produces the first-order condition:</w:t>
      </w:r>
    </w:p>
    <w:p>
      <w:pPr>
        <w:pStyle w:val="Equation"/>
      </w:pPr>
      <w:r>
        <w:rPr>
          <w:rFonts w:ascii="Cambria Math" w:hAnsi="Cambria Math" w:eastAsia="Cambria Math"/>
          <w:sz w:val="23"/>
        </w:rPr>
        <w:t>(ξ² + θ)pₜ = ξyₜ + ξ²v̄ + θE[vₜ | yₜ].</w:t>
      </w:r>
    </w:p>
    <w:p>
      <w:pPr>
        <w:keepNext/>
        <w:widowControl/>
      </w:pPr>
      <w:r>
        <w:t>Solving this condition yields equation (3.4) of the paper:</w:t>
      </w:r>
    </w:p>
    <w:p>
      <w:pPr>
        <w:pStyle w:val="Equation"/>
      </w:pPr>
      <w:r>
        <w:rPr>
          <w:rFonts w:ascii="Cambria Math" w:hAnsi="Cambria Math" w:eastAsia="Cambria Math"/>
          <w:sz w:val="23"/>
        </w:rPr>
        <w:t>pₜ = [ξ/(ξ² + θ)]yₜ + [ξ²/(ξ² + θ)]v̄ + [θ/(ξ² + θ)]E[vₜ | yₜ].</w:t>
      </w:r>
    </w:p>
    <w:p>
      <w:pPr>
        <w:widowControl/>
      </w:pPr>
      <w:r>
        <w:t>The three components capture the direct price response to aggregate order flow, the weight placed on the unconditional mean fundamental value, and the weight placed on value inferred from order flow. The conditional expectation is the market maker's belief after observing yₜ; it is not the realized fundamental value and need not coincide with one of the discrete grid points.</w:t>
      </w:r>
    </w:p>
    <w:p>
      <w:pPr>
        <w:pStyle w:val="Heading2"/>
      </w:pPr>
      <w:r>
        <w:t>3.3 How noise trading affects price</w:t>
      </w:r>
    </w:p>
    <w:p>
      <w:pPr>
        <w:widowControl/>
      </w:pPr>
      <w:r>
        <w:t>The pricing rule does not take uₜ as a separate observable input because the market maker cannot identify it. Nevertheless, substituting yₜ = Σᵢ xᵢ,ₜ + uₜ shows that noise affects price through two channels. First, it changes the order imbalance in the direct yₜ term. Second, it changes the signal from which the market maker forms E[vₜ | yₜ]. The noise variance therefore governs how informative a given order-flow realization is, even though the realized noise order remains hidden.</w:t>
      </w:r>
    </w:p>
    <w:p>
      <w:pPr>
        <w:widowControl/>
      </w:pPr>
      <w:r>
        <w:t>The standalone Step 7 pricing function accepts E[vₜ | yₜ] directly so that equation (3.4) can be tested in isolation. Steps 8-10 then determine this conditional expectation analytically from the benchmark relationship between value and order flow, including σᵤ. The later adaptive market maker will instead estimate the relationship from a rolling historical sample.</w:t>
      </w:r>
    </w:p>
    <w:p>
      <w:pPr>
        <w:pStyle w:val="Heading1"/>
      </w:pPr>
      <w:r>
        <w:t>4. Analytical Benchmark Strategies and Profits</w:t>
      </w:r>
    </w:p>
    <w:p>
      <w:pPr>
        <w:pStyle w:val="Heading2"/>
      </w:pPr>
      <w:r>
        <w:t>4.1 Non-collusive Nash benchmark</w:t>
      </w:r>
    </w:p>
    <w:p>
      <w:pPr>
        <w:keepNext/>
        <w:widowControl/>
      </w:pPr>
      <w:r>
        <w:t>The non-collusive Nash benchmark is the one-period equilibrium in which each informed speculator maximizes its own expected profit while treating the other speculators' equilibrium orders as given. The benchmark uses the linear pricing rule and order-flow decomposition stated in Online Appendix Proposition IA.1:</w:t>
      </w:r>
    </w:p>
    <w:p>
      <w:pPr>
        <w:pStyle w:val="Equation"/>
      </w:pPr>
      <w:r>
        <w:rPr>
          <w:rFonts w:ascii="Cambria Math" w:hAnsi="Cambria Math" w:eastAsia="Cambria Math"/>
          <w:sz w:val="23"/>
        </w:rPr>
        <w:t>pᴺ(yₜ) = v̄ + λᴺyₜ,      yₜ = xᵢ,ₜ + (I - 1)xᴺ(vₜ) + uₜ.</w:t>
      </w:r>
    </w:p>
    <w:p>
      <w:pPr>
        <w:keepNext/>
        <w:widowControl/>
      </w:pPr>
      <w:r>
        <w:t>The symmetric informed strategy and its trading-intensity coefficient are:</w:t>
      </w:r>
    </w:p>
    <w:p>
      <w:pPr>
        <w:pStyle w:val="Equation"/>
      </w:pPr>
      <w:r>
        <w:rPr>
          <w:rFonts w:ascii="Cambria Math" w:hAnsi="Cambria Math" w:eastAsia="Cambria Math"/>
          <w:sz w:val="23"/>
        </w:rPr>
        <w:t>xᴺ(vₜ) = χᴺ(vₜ - v̄),      χᴺ = 1/[(I + 1)λᴺ].</w:t>
      </w:r>
    </w:p>
    <w:p>
      <w:pPr>
        <w:widowControl/>
      </w:pPr>
      <w:r>
        <w:t>A positive value signal produces a purchase, whereas a negative signal produces a short position. The factor I + 1 reflects strategic price impact: an informed speculator recognizes that increasing its own order raises the transaction price and reduces the order's profitability. The benchmark is non-collusive because a single trader may deviate while the remaining traders' orders stay fixed.</w:t>
      </w:r>
    </w:p>
    <w:p>
      <w:pPr>
        <w:pStyle w:val="Heading2"/>
      </w:pPr>
      <w:r>
        <w:t>4.2 Perfect-cartel benchmark</w:t>
      </w:r>
    </w:p>
    <w:p>
      <w:pPr>
        <w:keepNext/>
        <w:widowControl/>
      </w:pPr>
      <w:r>
        <w:t>The perfect-cartel benchmark is the opposite strategic extreme. All informed speculators coordinate their orders and maximize joint expected profit as if they were a single monopolistic trader. Online Appendix Proposition IA.2 uses:</w:t>
      </w:r>
    </w:p>
    <w:p>
      <w:pPr>
        <w:pStyle w:val="Equation"/>
      </w:pPr>
      <w:r>
        <w:rPr>
          <w:rFonts w:ascii="Cambria Math" w:hAnsi="Cambria Math" w:eastAsia="Cambria Math"/>
          <w:sz w:val="23"/>
        </w:rPr>
        <w:t>pᴹ(yₜ) = v̄ + λᴹyₜ,      yₜ = Ixᴹ(vₜ) + uₜ.</w:t>
      </w:r>
    </w:p>
    <w:p>
      <w:pPr>
        <w:keepNext/>
        <w:widowControl/>
      </w:pPr>
      <w:r>
        <w:t>The common order assigned to each cartel member and its intensity are:</w:t>
      </w:r>
    </w:p>
    <w:p>
      <w:pPr>
        <w:pStyle w:val="Equation"/>
      </w:pPr>
      <w:r>
        <w:rPr>
          <w:rFonts w:ascii="Cambria Math" w:hAnsi="Cambria Math" w:eastAsia="Cambria Math"/>
          <w:sz w:val="23"/>
        </w:rPr>
        <w:t>xᴹ(vₜ) = χᴹ(vₜ - v̄),      χᴹ = 1/(2Iλᴹ).</w:t>
      </w:r>
    </w:p>
    <w:p>
      <w:pPr>
        <w:widowControl/>
      </w:pPr>
      <w:r>
        <w:t>Unlike the Nash calculation, the cartel changes all members' orders together and internalizes the price effect of their combined flow. It therefore restricts informed trading relative to the competitive benchmark. This perfect-cartel solution is a theoretical reference point; it is not yet a claim that the later independent Q-learning agents collude.</w:t>
      </w:r>
    </w:p>
    <w:p>
      <w:pPr>
        <w:pStyle w:val="Heading2"/>
      </w:pPr>
      <w:r>
        <w:t>4.3 Coupled benchmark fixed points</w:t>
      </w:r>
    </w:p>
    <w:p>
      <w:pPr>
        <w:keepNext/>
        <w:widowControl/>
      </w:pPr>
      <w:r>
        <w:t>Steps 8 and 9 initially treated λᴺ and λᴹ as transparent unit-test inputs. Step 10 closes each benchmark by jointly determining trading intensity, the market maker's inference from aggregate order flow, and equilibrium price impact. For benchmark B in {N, M}, the inference slope is:</w:t>
      </w:r>
    </w:p>
    <w:p>
      <w:pPr>
        <w:pStyle w:val="Equation"/>
      </w:pPr>
      <w:r>
        <w:rPr>
          <w:rFonts w:ascii="Cambria Math" w:hAnsi="Cambria Math" w:eastAsia="Cambria Math"/>
          <w:sz w:val="23"/>
        </w:rPr>
        <w:t>E[vₜ | yₜ] = v̄ + γᴮyₜ,      γᴮ = Iχᴮ / [(Iχᴮ)² + (σᵤ/σ̂ᵥ)²].</w:t>
      </w:r>
    </w:p>
    <w:p>
      <w:pPr>
        <w:keepNext/>
        <w:widowControl/>
      </w:pPr>
      <w:r>
        <w:t>The corresponding price-impact coefficient is:</w:t>
      </w:r>
    </w:p>
    <w:p>
      <w:pPr>
        <w:pStyle w:val="Equation"/>
      </w:pPr>
      <w:r>
        <w:rPr>
          <w:rFonts w:ascii="Cambria Math" w:hAnsi="Cambria Math" w:eastAsia="Cambria Math"/>
          <w:sz w:val="23"/>
        </w:rPr>
        <w:t>λᴮ = (θγᴮ + ξ)/(θ + ξ²).</w:t>
      </w:r>
    </w:p>
    <w:p>
      <w:pPr>
        <w:widowControl/>
      </w:pPr>
      <w:r>
        <w:t>The implementation uses σ̂ᵥ = 0.937969795249 from the ten-point fundamental-value grid, rather than the nominal continuous σᵥ = 1. Noise trading enters through σᵤ/σ̂ᵥ and changes how informative observed order flow is. Information-insensitive investors enter through ξ and influence how strongly price must respond to order flow. The complete Nash system combines this pair of equations with χᴺ = 1/[(I + 1)λᴺ]; the cartel system instead uses χᴹ = 1/(2I λᴹ). Here γ is the analytical benchmark projection coefficient, not the rolling regression estimate used by the later adaptive market maker.</w:t>
      </w:r>
    </w:p>
    <w:p>
      <w:pPr>
        <w:pStyle w:val="Heading2"/>
      </w:pPr>
      <w:r>
        <w:t>4.4 Numerical solution method</w:t>
      </w:r>
    </w:p>
    <w:p>
      <w:pPr>
        <w:keepNext/>
        <w:widowControl/>
      </w:pPr>
      <w:r>
        <w:t>The source paper specifies the coupled fixed-point equations but does not name a numerical root-finding algorithm. Bisection is therefore an implementation choice in this replication, not an additional economic assumption and not a procedure attributed to the authors. For each benchmark, the code evaluates the residual:</w:t>
      </w:r>
    </w:p>
    <w:p>
      <w:pPr>
        <w:pStyle w:val="Equation"/>
      </w:pPr>
      <w:r>
        <w:rPr>
          <w:rFonts w:ascii="Cambria Math" w:hAnsi="Cambria Math" w:eastAsia="Cambria Math"/>
          <w:sz w:val="23"/>
        </w:rPr>
        <w:t>Rᴮ(λ) = λ - [θγᴮ(χᴮ(λ)) + ξ]/(θ + ξ²).</w:t>
      </w:r>
    </w:p>
    <w:p>
      <w:pPr>
        <w:keepNext/>
        <w:widowControl/>
      </w:pPr>
      <w:r>
        <w:t>The economically admissible solution satisfies Rᴮ(λ) = 0 and λ &gt; 0. For the strictly positive parameters used here, the residual has exactly one positive root. Since γ cannot exceed σ̂ᵥ/(2σᵤ), that root lies inside the analytical interval:</w:t>
      </w:r>
    </w:p>
    <w:p>
      <w:pPr>
        <w:pStyle w:val="Equation"/>
      </w:pPr>
      <w:r>
        <w:rPr>
          <w:rFonts w:ascii="Cambria Math" w:hAnsi="Cambria Math" w:eastAsia="Cambria Math"/>
          <w:sz w:val="23"/>
        </w:rPr>
        <w:t>ξ/(θ + ξ²) ≤ λᴮ ≤ [ξ + θσ̂ᵥ/(2σᵤ)]/(θ + ξ²).</w:t>
      </w:r>
    </w:p>
    <w:p>
      <w:pPr>
        <w:widowControl/>
      </w:pPr>
      <w:r>
        <w:t>Bisection repeatedly halves this bracket and retains the half containing the residual's zero. Iteration stops when the absolute residual or the interval's half-width is no greater than 10⁻¹⁸, subject to a maximum of 200 iterations. The solver is designed to run once per distinct parameter configuration before the repeated market simulation; the later experiment runner will store and reuse the result rather than recomputing it every trading period. A local timing diagnostic completed 10,000 solves in approximately 0.40 seconds after import, or about 40 microseconds per root. This timing is an implementation diagnostic, not a result reported by the paper.</w:t>
      </w:r>
    </w:p>
    <w:p>
      <w:pPr>
        <w:pStyle w:val="Heading2"/>
      </w:pPr>
      <w:r>
        <w:t>4.5 Expected profits under the analytical benchmarks</w:t>
      </w:r>
    </w:p>
    <w:p>
      <w:pPr>
        <w:keepNext/>
        <w:widowControl/>
      </w:pPr>
      <w:r>
        <w:t>After the fixed points have been solved, Step 11 calculates the unconditional expected profit of one informed speculator in each theoretical benchmark. The Nash expression and the perfect-cartel expression are:</w:t>
      </w:r>
    </w:p>
    <w:p>
      <w:pPr>
        <w:pStyle w:val="Equation"/>
      </w:pPr>
      <w:r>
        <w:rPr>
          <w:rFonts w:ascii="Cambria Math" w:hAnsi="Cambria Math" w:eastAsia="Cambria Math"/>
          <w:sz w:val="23"/>
        </w:rPr>
        <w:t>πᴺ = σ̂ᵥ²/[(I + 1)²λᴺ],      πᴹ = σ̂ᵥ²/(4Iλᴹ).</w:t>
      </w:r>
    </w:p>
    <w:p>
      <w:pPr>
        <w:widowControl/>
      </w:pPr>
      <w:r>
        <w:t>The second quantity is the expected profit of one cartel member, not the joint profit of all cartel members. Joint cartel profit is Iπᴹ. These quantities are reference values for the later learning experiment: πᴺ is the non-collusive benchmark and πᴹ is the perfectly coordinated benchmark. Neither value is evidence that the later independent learning agents have colluded.</w:t>
      </w:r>
    </w:p>
    <w:p>
      <w:pPr>
        <w:widowControl/>
      </w:pPr>
      <w:r>
        <w:t>Using I = 2 and σ̂ᵥ² = 0.879787336800, the low-noise calibration gives πᴺ = 48.877064491239 and πᴹ = 54.986686555306 per trader. The corresponding high-noise values are 48.877067212825 and 54.986693324281. The formulas were checked independently by rebuilding x = χ(v - v̄), y = Ix + u, p = v̄ + λy, and π = (v - p)x over all ten value points and the symmetric shocks u in {-σᵤ, +σᵤ}. Formula and direct calculation agreed to within 7.11 × 10⁻¹⁵. The symmetric pair is a deterministic mean-zero test device, not a replacement for Gaussian noise in the final simulation.</w:t>
      </w:r>
    </w:p>
    <w:p>
      <w:r>
        <w:br w:type="page"/>
      </w:r>
    </w:p>
    <w:p>
      <w:pPr>
        <w:pStyle w:val="Heading1"/>
      </w:pPr>
      <w:r>
        <w:t>5. Finite Action, Price, and State Spaces</w:t>
      </w:r>
    </w:p>
    <w:p>
      <w:pPr>
        <w:widowControl/>
      </w:pPr>
      <w:r>
        <w:t>Q-learning requires a finite action set and a finite set of state labels. Steps 12-14 therefore convert the analytical benchmark ranges into 15 action choices, 31 lagged-price labels, and 3,100 observable states. These grids do not replace the continuous economic calculations. They define what a learning agent can choose and how its information is stored.</w:t>
      </w:r>
    </w:p>
    <w:p>
      <w:pPr>
        <w:pStyle w:val="Heading2"/>
      </w:pPr>
      <w:r>
        <w:t>5.1 Action grid</w:t>
      </w:r>
    </w:p>
    <w:p>
      <w:pPr>
        <w:keepNext/>
        <w:widowControl/>
      </w:pPr>
      <w:r>
        <w:t>The paper specifies nₓ = 15 permitted actions and the widening parameter ι = 0.1. The implementation first builds a reusable multiplier interval from the perfect-cartel and Nash trading intensities:</w:t>
      </w:r>
    </w:p>
    <w:p>
      <w:pPr>
        <w:pStyle w:val="Equation"/>
        <w:keepNext/>
      </w:pPr>
      <w:r>
        <w:rPr>
          <w:rFonts w:ascii="Cambria Math" w:hAnsi="Cambria Math" w:eastAsia="Cambria Math"/>
          <w:sz w:val="23"/>
        </w:rPr>
        <w:t>dχ = χᴺ - χᴹ,      cᴸ = χᴹ - ιdχ,      cᴴ = χᴺ + ιdχ.</w:t>
      </w:r>
    </w:p>
    <w:p>
      <w:pPr>
        <w:pStyle w:val="Equation"/>
      </w:pPr>
      <w:r>
        <w:rPr>
          <w:rFonts w:ascii="Cambria Math" w:hAnsi="Cambria Math" w:eastAsia="Cambria Math"/>
          <w:sz w:val="23"/>
        </w:rPr>
        <w:t>cⱼ = cᴸ + [j/(nₓ - 1)](cᴴ - cᴸ),      j = 0, ..., nₓ - 1.</w:t>
      </w:r>
    </w:p>
    <w:p>
      <w:pPr>
        <w:keepNext/>
        <w:widowControl/>
      </w:pPr>
      <w:r>
        <w:t>For current fundamental value v, multiplier cⱼ becomes the signed order</w:t>
      </w:r>
    </w:p>
    <w:p>
      <w:pPr>
        <w:pStyle w:val="Equation"/>
      </w:pPr>
      <w:r>
        <w:rPr>
          <w:rFonts w:ascii="Cambria Math" w:hAnsi="Cambria Math" w:eastAsia="Cambria Math"/>
          <w:sz w:val="23"/>
        </w:rPr>
        <w:t>xⱼ(v) = (v - v̄)cⱼ.</w:t>
      </w:r>
    </w:p>
    <w:p>
      <w:pPr>
        <w:widowControl/>
      </w:pPr>
      <w:r>
        <w:t>The 15 actions are therefore not 15 globally fixed quantities. Each of the ten fundamental values has its own row of 15 raw orders, giving a 10 × 15 value-action array. If v exceeds v̄, the orders are purchases; if v is below v̄, the negative value signal produces mirrored short-sale quantities. The multiplier representation does not force the learned policy to be linear: the Q-learning agent may choose a different action index in every state.</w:t>
      </w:r>
    </w:p>
    <w:p>
      <w:pPr>
        <w:widowControl/>
      </w:pPr>
      <w:r>
        <w:t>Under low noise, the widened multiplier interval is [120.833281667, 170.833301667] with spacing 3.571429999999. Under high noise, it is [120.833297665, 170.833310336] with spacing 3.571429476510. Validation confirmed exactly 15 ordered choices in each environment, correct endpoints and spacing, and equal-magnitude opposite-signed orders at symmetric fundamental values. The grid is deterministic once the parameters are fixed and uses no random seed.</w:t>
      </w:r>
    </w:p>
    <w:p>
      <w:pPr>
        <w:pStyle w:val="Heading2"/>
      </w:pPr>
      <w:r>
        <w:t>5.2 Price grid</w:t>
      </w:r>
    </w:p>
    <w:p>
      <w:pPr>
        <w:keepNext/>
        <w:widowControl/>
      </w:pPr>
      <w:r>
        <w:t>The market maker will produce a continuous transaction price, but the lagged price inside the learning state requires a finite label. The paper constructs initial bounds from the most negative and most positive Nash or cartel orders over the value grid:</w:t>
      </w:r>
    </w:p>
    <w:p>
      <w:pPr>
        <w:pStyle w:val="Equation"/>
        <w:keepNext/>
      </w:pPr>
      <w:r>
        <w:rPr>
          <w:rFonts w:ascii="Cambria Math" w:hAnsi="Cambria Math" w:eastAsia="Cambria Math"/>
          <w:sz w:val="23"/>
        </w:rPr>
        <w:t>pᴸ = v̄ + λᴺ[I min(xᴹ, xᴺ) - 1.96σᵤ],</w:t>
      </w:r>
    </w:p>
    <w:p>
      <w:pPr>
        <w:pStyle w:val="Equation"/>
      </w:pPr>
      <w:r>
        <w:rPr>
          <w:rFonts w:ascii="Cambria Math" w:hAnsi="Cambria Math" w:eastAsia="Cambria Math"/>
          <w:sz w:val="23"/>
        </w:rPr>
        <w:t>pᴴ = v̄ + λᴺ[I max(xᴹ, xᴺ) + 1.96σᵤ].</w:t>
      </w:r>
    </w:p>
    <w:p>
      <w:pPr>
        <w:keepNext/>
        <w:widowControl/>
      </w:pPr>
      <w:r>
        <w:t>The interval is widened by ι on both sides and divided into nₚ = 31 equally spaced points:</w:t>
      </w:r>
    </w:p>
    <w:p>
      <w:pPr>
        <w:pStyle w:val="Equation"/>
        <w:keepNext/>
      </w:pPr>
      <w:r>
        <w:rPr>
          <w:rFonts w:ascii="Cambria Math" w:hAnsi="Cambria Math" w:eastAsia="Cambria Math"/>
          <w:sz w:val="23"/>
        </w:rPr>
        <w:t>p̃ᴸ = pᴸ - ι(pᴴ - pᴸ),      p̃ᴴ = pᴴ + ι(pᴴ - pᴸ),</w:t>
      </w:r>
    </w:p>
    <w:p>
      <w:pPr>
        <w:pStyle w:val="Equation"/>
      </w:pPr>
      <w:r>
        <w:rPr>
          <w:rFonts w:ascii="Cambria Math" w:hAnsi="Cambria Math" w:eastAsia="Cambria Math"/>
          <w:sz w:val="23"/>
        </w:rPr>
        <w:t>Pₘ = p̃ᴸ + [m/(nₚ - 1)](p̃ᴴ - p̃ᴸ),      m = 0, ..., nₚ - 1.</w:t>
      </w:r>
    </w:p>
    <w:p>
      <w:pPr>
        <w:widowControl/>
      </w:pPr>
      <w:r>
        <w:t>The code reproduces the coefficient 1.96 printed in the paper's formula. Statistically, plus or minus 1.96 standard deviations describes the central 95 percent normal interval, whose endpoints are approximately the 2.5th and 97.5th percentiles. Nearby prose in the paper instead calls them the 5th and 95th percentiles. Because the numerical formula is explicit, this replication uses 1.96 exactly and records the wording discrepancy rather than silently changing the coefficient.</w:t>
      </w:r>
    </w:p>
    <w:p>
      <w:pPr>
        <w:pStyle w:val="Caption"/>
        <w:keepNext/>
      </w:pPr>
      <w:r>
        <w:t>Table 2. Validated finite-grid ranges under the two noise environments</w:t>
      </w:r>
    </w:p>
    <w:tbl>
      <w:tblPr>
        <w:tblStyle w:val="TableGrid"/>
        <w:tblW w:type="dxa" w:w="9360"/>
        <w:tblLayout w:type="fixed"/>
        <w:tblLook w:firstColumn="1" w:firstRow="1" w:lastColumn="0" w:lastRow="0" w:noHBand="0" w:noVBand="1" w:val="04A0"/>
        <w:jc w:val="left"/>
        <w:tblInd w:w="120" w:type="dxa"/>
      </w:tblPr>
      <w:tblGrid>
        <w:gridCol w:w="1250"/>
        <w:gridCol w:w="3150"/>
        <w:gridCol w:w="2900"/>
        <w:gridCol w:w="2060"/>
      </w:tblGrid>
      <w:tr>
        <w:trPr>
          <w:tblHeader w:val="true"/>
        </w:trPr>
        <w:tc>
          <w:tcPr>
            <w:tcW w:type="dxa" w:w="125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8"/>
              </w:rPr>
              <w:t>Noise σᵤ</w:t>
            </w:r>
          </w:p>
        </w:tc>
        <w:tc>
          <w:tcPr>
            <w:tcW w:type="dxa" w:w="315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8"/>
              </w:rPr>
              <w:t>Action multiplier interval [cᴸ, cᴴ]</w:t>
            </w:r>
          </w:p>
        </w:tc>
        <w:tc>
          <w:tcPr>
            <w:tcW w:type="dxa" w:w="290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8"/>
              </w:rPr>
              <w:t>Final price interval</w:t>
            </w:r>
          </w:p>
        </w:tc>
        <w:tc>
          <w:tcPr>
            <w:tcW w:type="dxa" w:w="206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8"/>
              </w:rPr>
              <w:t>Price spacing</w:t>
            </w:r>
          </w:p>
        </w:tc>
      </w:tr>
      <w:tr>
        <w:tc>
          <w:tcPr>
            <w:tcW w:type="dxa" w:w="125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Low (0.1)</w:t>
            </w:r>
          </w:p>
        </w:tc>
        <w:tc>
          <w:tcPr>
            <w:tcW w:type="dxa" w:w="315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[120.833281667, 170.833301667]</w:t>
            </w:r>
          </w:p>
        </w:tc>
        <w:tc>
          <w:tcPr>
            <w:tcW w:type="dxa" w:w="290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[-0.316353302, 2.316353302]</w:t>
            </w:r>
          </w:p>
        </w:tc>
        <w:tc>
          <w:tcPr>
            <w:tcW w:type="dxa" w:w="206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0.087756887</w:t>
            </w:r>
          </w:p>
        </w:tc>
      </w:tr>
      <w:tr>
        <w:tc>
          <w:tcPr>
            <w:tcW w:type="dxa" w:w="125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High (100)</w:t>
            </w:r>
          </w:p>
        </w:tc>
        <w:tc>
          <w:tcPr>
            <w:tcW w:type="dxa" w:w="315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[120.833297665, 170.833310336]</w:t>
            </w:r>
          </w:p>
        </w:tc>
        <w:tc>
          <w:tcPr>
            <w:tcW w:type="dxa" w:w="290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[-0.786282969, 2.786282969]</w:t>
            </w:r>
          </w:p>
        </w:tc>
        <w:tc>
          <w:tcPr>
            <w:tcW w:type="dxa" w:w="2060"/>
            <w:tcMar>
              <w:top w:w="100" w:type="dxa"/>
              <w:start w:w="120" w:type="dxa"/>
              <w:bottom w:w="100" w:type="dxa"/>
              <w:end w:w="120" w:type="dxa"/>
            </w:tcMar>
            <w:vAlign w:val="center"/>
          </w:tcPr>
          <w:p>
            <w:pPr>
              <w:spacing w:before="0" w:after="0" w:line="240" w:lineRule="auto"/>
              <w:jc w:val="center"/>
            </w:pPr>
            <w:r>
              <w:rPr>
                <w:rFonts w:ascii="Calibri" w:hAnsi="Calibri" w:eastAsia="Calibri"/>
                <w:sz w:val="18"/>
              </w:rPr>
              <w:t>0.119085531</w:t>
            </w:r>
          </w:p>
        </w:tc>
      </w:tr>
    </w:tbl>
    <w:p>
      <w:pPr>
        <w:widowControl/>
      </w:pPr>
      <w:r>
        <w:t>Both grids are symmetric around v̄ = 1, and index 15 is exactly 1. The high-noise grid is wider because its bounds explicitly contain 1.96σᵤ. Validation confirmed 31 ordered, equally spaced points and exact agreement with the widened bounds. Constructing P does not constrain the market maker to quote only one of these prices; P is used to label the lagged price in the learning state.</w:t>
      </w:r>
    </w:p>
    <w:p>
      <w:pPr>
        <w:pStyle w:val="Heading2"/>
      </w:pPr>
      <w:r>
        <w:t>5.3 State information and the continuous-price mapping</w:t>
      </w:r>
    </w:p>
    <w:p>
      <w:pPr>
        <w:keepNext/>
        <w:widowControl/>
      </w:pPr>
      <w:r>
        <w:t>The paper defines an informed agent's state as</w:t>
      </w:r>
    </w:p>
    <w:p>
      <w:pPr>
        <w:pStyle w:val="Equation"/>
      </w:pPr>
      <w:r>
        <w:rPr>
          <w:rFonts w:ascii="Cambria Math" w:hAnsi="Cambria Math" w:eastAsia="Cambria Math"/>
          <w:sz w:val="23"/>
        </w:rPr>
        <w:t>sₜ = (pₜ₋₁, vₜ₋₁, vₜ) ∈ P × V × V.</w:t>
      </w:r>
    </w:p>
    <w:p>
      <w:pPr>
        <w:widowControl/>
      </w:pPr>
      <w:r>
        <w:t>The state contains the previous transaction price, the previous fundamental value, and the current fundamental value. It does not contain the current price pₜ because traders must choose their current orders before pₜ is determined. After trading and the next value draw, the next state will be sₜ₊₁ = (pₜ, vₜ, vₜ₊₁).</w:t>
      </w:r>
    </w:p>
    <w:p>
      <w:pPr>
        <w:widowControl/>
      </w:pPr>
      <w:r>
        <w:t>Fundamental values are drawn directly from the ten-point grid V, so vₜ₋₁ and vₜ must match permitted values. The implementation rejects an off-grid value instead of silently assigning it to a different economic state. The transaction price is different: it is continuous, whereas the state requires an element of the finite grid P.</w:t>
      </w:r>
    </w:p>
    <w:p>
      <w:pPr>
        <w:pStyle w:val="DraftNote"/>
        <w:shd w:fill="F4F6F9" w:val="clear"/>
      </w:pPr>
      <w:r>
        <w:rPr>
          <w:rFonts w:ascii="Calibri" w:hAnsi="Calibri" w:eastAsia="Calibri"/>
          <w:b/>
          <w:sz w:val="21"/>
        </w:rPr>
        <w:t xml:space="preserve">Explicit replication choice. </w:t>
      </w:r>
      <w:r>
        <w:rPr>
          <w:rFonts w:ascii="Calibri" w:hAnsi="Calibri" w:eastAsia="Calibri"/>
          <w:sz w:val="21"/>
        </w:rPr>
        <w:t>The paper and online appendix define P but do not state how a continuous realized price should be mapped to it. This implementation selects the nearest point in P, clips observations below or above the grid to the corresponding endpoint, and selects the lower point at an exact midpoint. The full simulation will record the frequency of endpoint clipping.</w:t>
      </w:r>
    </w:p>
    <w:p>
      <w:pPr>
        <w:widowControl/>
      </w:pPr>
      <w:r>
        <w:t>Only the state label is discretized. The original continuous price remains the transaction price used to calculate information-insensitive demand zₜ, informed-speculator profits, and the observations stored in the market maker's historical sample. Mapping the lagged state price therefore does not replace or round the price used by the economic model.</w:t>
      </w:r>
    </w:p>
    <w:p>
      <w:pPr>
        <w:pStyle w:val="Heading2"/>
      </w:pPr>
      <w:r>
        <w:t>5.4 State indexing and exhaustive validation</w:t>
      </w:r>
    </w:p>
    <w:p>
      <w:pPr>
        <w:keepNext/>
        <w:widowControl/>
      </w:pPr>
      <w:r>
        <w:t>With nₚ = 31 and nᵥ = 10, the finite state space contains</w:t>
      </w:r>
    </w:p>
    <w:p>
      <w:pPr>
        <w:pStyle w:val="Equation"/>
      </w:pPr>
      <w:r>
        <w:rPr>
          <w:rFonts w:ascii="Cambria Math" w:hAnsi="Cambria Math" w:eastAsia="Cambria Math"/>
          <w:sz w:val="23"/>
        </w:rPr>
        <w:t>|S| = nₚnᵥ² = 31 × 10 × 10 = 3,100 states.</w:t>
      </w:r>
    </w:p>
    <w:p>
      <w:pPr>
        <w:keepNext/>
        <w:widowControl/>
      </w:pPr>
      <w:r>
        <w:t>Each state is first stored as three zero-based indexes: previous-price index jₚ, previous-value index jᵥ,lag, and current-value index jᵥ. For convenient later array access, the tuple is reversibly compressed into one integer:</w:t>
      </w:r>
    </w:p>
    <w:p>
      <w:pPr>
        <w:pStyle w:val="Equation"/>
      </w:pPr>
      <w:r>
        <w:rPr>
          <w:rFonts w:ascii="Cambria Math" w:hAnsi="Cambria Math" w:eastAsia="Cambria Math"/>
          <w:sz w:val="23"/>
        </w:rPr>
        <w:t>jₛ = (jₚnᵥ + jᵥ,lag)nᵥ + jᵥ.</w:t>
      </w:r>
    </w:p>
    <w:p>
      <w:pPr>
        <w:widowControl/>
      </w:pPr>
      <w:r>
        <w:t>This numbering has no economic meaning; it is only a storage convention. It assigns the 3,100 states the integers 0 through 3,099. For example, in the low-noise environment, a continuous previous price of 1.10 maps to P[16] = 1.087756887. If the previous and current fundamentals are V[2] = 0.325510250 and V[7] = 1.674489750, the state tuple is (16, 2, 7) and its integer identifier is (16 × 10 + 2) × 10 + 7 = 1,627.</w:t>
      </w:r>
    </w:p>
    <w:p>
      <w:pPr>
        <w:widowControl/>
      </w:pPr>
      <w:r>
        <w:t>Validation mapped every one of the ten value points and every point in both 31-point price grids back to its original index. It tested observations on both sides of a midpoint, the exact-midpoint convention, and clipping below and above the price grid. Finally, all 3,100 state tuples were enumerated: every tuple had a unique integer identifier, and decoding every identifier reproduced the original tuple. An arbitrary off-grid fundamental value was correctly rejected. No Q-table or learning rule is introduced in this step; a later Q-table will have 3,100 × 15 = 46,500 state-action cells per agent.</w:t>
      </w:r>
    </w:p>
    <w:p>
      <w:pPr>
        <w:pStyle w:val="Heading1"/>
      </w:pPr>
      <w:r>
        <w:t>6. Implementation and Validation Evidence</w:t>
      </w:r>
    </w:p>
    <w:p>
      <w:pPr>
        <w:pStyle w:val="Heading2"/>
      </w:pPr>
      <w:r>
        <w:t>6.1 Modular implementation</w:t>
      </w:r>
    </w:p>
    <w:p>
      <w:pPr>
        <w:widowControl/>
      </w:pPr>
      <w:r>
        <w:t>The prototype is implemented in Python 3.13. Each validated relationship is exposed as a small reusable function. Standalone scripts retain their own fixed examples behind a main-entry guard, allowing them to run independently while also being imported into integration checks without rerunning demonstration code. Assertions compare computed results with hand-derived values and stop execution if a discrepancy is detected.</w:t>
      </w:r>
    </w:p>
    <w:p>
      <w:pPr>
        <w:pStyle w:val="Heading2"/>
      </w:pPr>
      <w:r>
        <w:t>6.2 Component-level checks</w:t>
      </w:r>
    </w:p>
    <w:p>
      <w:pPr>
        <w:widowControl/>
      </w:pPr>
      <w:r>
        <w:t>The fundamental-value routine was checked for ten values, the intended midpoint probabilities, symmetry, a mean of one, and a discrete standard deviation of approximately 0.938. The noise routine was checked for seed reproducibility and distributional moments. Aggregate order flow was verified using x₁,ₜ = 2, x₂,ₜ = -1, and uₜ = 0.5, which gives yₜ = 1.5.</w:t>
      </w:r>
    </w:p>
    <w:p>
      <w:pPr>
        <w:widowControl/>
      </w:pPr>
      <w:r>
        <w:t>Using the baseline v̄ = 1 and ξ = 500, prices of 1.01, 0.99, and 1.00 generated information-insensitive orders of -5, 5, and 0, respectively. The payoff function was checked across buying and short-selling positions under both underpricing and overpricing. An order magnitude of two and a value-price gap of 0.20 produced profits or losses of 0.40 with the expected signs.</w:t>
      </w:r>
    </w:p>
    <w:p>
      <w:pPr>
        <w:pStyle w:val="Heading2"/>
      </w:pPr>
      <w:r>
        <w:t>6.3 Integration Checkpoint A</w:t>
      </w:r>
    </w:p>
    <w:p>
      <w:pPr>
        <w:widowControl/>
      </w:pPr>
      <w:r>
        <w:t>The first integration checkpoint connected aggregate order flow, information-insensitive demand, and both informed traders' payoffs in one deterministic example. With vₜ = 1.20, a temporarily fixed pₜ = 1.01, x₁,ₜ = 2, x₂,ₜ = -1, and uₜ = 0.5, the connected functions returned yₜ = 1.5, zₜ = -5, and yₜ + zₜ = -3.5. The two informed traders earned 0.38 and -0.19. The nonzero residual imbalance is expected because the checkpoint deliberately fixed the price before the market-maker pricing rule was connected.</w:t>
      </w:r>
    </w:p>
    <w:p>
      <w:pPr>
        <w:pStyle w:val="Heading2"/>
      </w:pPr>
      <w:r>
        <w:t>6.4 Market-maker and price-rule checks</w:t>
      </w:r>
    </w:p>
    <w:p>
      <w:pPr>
        <w:widowControl/>
      </w:pPr>
      <w:r>
        <w:t>The objective evaluator was first checked with yₜ = 10, v̄ = 1, ξ = 500, θ = 0.1, and a two-point conditional belief assigning equal weight to 0.8 and 1.2. Candidate prices 1.00, 1.02, and 1.04 generated objective values 100.00400, 0.00404, and 100.00416. The comparison demonstrates that the coded objective rewards the price that nearly eliminates the residual imbalance. It does not restrict the paper's market maker to three candidate prices.</w:t>
      </w:r>
    </w:p>
    <w:p>
      <w:pPr>
        <w:widowControl/>
      </w:pPr>
      <w:r>
        <w:t>The theoretical price function was then verified independently using yₜ = 0.5, v̄ = 1, E[vₜ | yₜ] = 1.2, ξ = 2, and θ = 1. The three terms in the pricing equation were 0.20, 0.80, and 0.24, giving pₜ = 1.24. The Step 6 objective was lower at 1.24 than at nearby prices 1.14 and 1.34. These small numbers were chosen for hand calculation and are not the paper's baseline calibration.</w:t>
      </w:r>
    </w:p>
    <w:p>
      <w:pPr>
        <w:widowControl/>
      </w:pPr>
      <w:r>
        <w:t>Two limiting cases provide additional checks. When ξ = 0, information-insensitive demand is inactive and the formula reduces to pₜ = E[vₜ | yₜ]. When ξ is extremely large, the price approaches v̄ + yₜ/ξ, the value that induces information-insensitive demand to offset the observed flow. For v̄ = 1, yₜ = 0.5, and ξ = 1,000,000, this clearing limit is 1.0000005. The values 1.2, 1.24, and 1.0000005 are diagnostic outputs, not substantive results.</w:t>
      </w:r>
    </w:p>
    <w:p>
      <w:pPr>
        <w:pStyle w:val="Heading2"/>
      </w:pPr>
      <w:r>
        <w:t>6.5 Nash and cartel strategy checks</w:t>
      </w:r>
    </w:p>
    <w:p>
      <w:pPr>
        <w:widowControl/>
      </w:pPr>
      <w:r>
        <w:t>The Step 8 Nash calculation was first isolated using I = 2, λᴺ = 0.5, v̄ = 1, and vₜ = 1.3. These deliberately non-calibrated inputs imply χᴺ = 2/3 and an order of 0.20 per trader. With E[uₜ] = 0, aggregate flow is 0.40 and expected price is 1.20. Holding the other trader's order fixed, own orders of 0.10, 0.20, and 0.30 yield expected profits of 0.015, 0.020, and 0.015. The central order is therefore the individual best response in the test, and (I + 1)λᴺ χᴺ - 1 has a zero residual.</w:t>
      </w:r>
    </w:p>
    <w:p>
      <w:pPr>
        <w:widowControl/>
      </w:pPr>
      <w:r>
        <w:t>The Step 9 cartel check used the same I, v̄, vₜ, and test price impact, but varied both members' orders together. It gives χᴹ = 0.5 and an order of 0.15 per member. With expected noise zero, total flow is 0.30, expected price is 1.15, profit per member is 0.0225, and joint profit is 0.045. Coordinated orders of 0.10 and 0.20 each yield the lower joint profit 0.040, while 2I λᴹ χᴹ - 1 has a zero residual. These numbers validate the formula; they are not the paper-calibrated benchmark coefficients.</w:t>
      </w:r>
    </w:p>
    <w:p>
      <w:pPr>
        <w:widowControl/>
      </w:pPr>
      <w:r>
        <w:t>Expected noise is set to zero only when checking the analytical first-order conditions. Realized-noise tests retain the noise trader. In the Nash example, uₜ = 0.1 raises flow from 0.40 to 0.50 and price from 1.20 to 1.25. In the cartel example, it raises flow from 0.30 to 0.40 and price from 1.15 to 1.20, reducing profit per member from 0.0225 to 0.015.</w:t>
      </w:r>
    </w:p>
    <w:p>
      <w:r>
        <w:br w:type="page"/>
      </w:r>
    </w:p>
    <w:p>
      <w:pPr>
        <w:pStyle w:val="Heading2"/>
      </w:pPr>
      <w:r>
        <w:t>6.6 Fixed-point checks and baseline outputs</w:t>
      </w:r>
    </w:p>
    <w:p>
      <w:pPr>
        <w:widowControl/>
      </w:pPr>
      <w:r>
        <w:t>The coupled equations were solved with I = 2, ξ = 500, θ = 0.1, and σ̂ᵥ = 0.937969795249. Both paper noise environments were evaluated. The results below are numerical solutions implied by the paper's equations and calibration; the paper does not print these coefficient values directly.</w:t>
      </w:r>
    </w:p>
    <w:p>
      <w:pPr>
        <w:pStyle w:val="Caption"/>
        <w:keepNext/>
      </w:pPr>
      <w:r>
        <w:t>Table 1. Fixed-point coefficients under the two paper noise environments</w:t>
      </w:r>
    </w:p>
    <w:tbl>
      <w:tblPr>
        <w:tblStyle w:val="TableGrid"/>
        <w:tblW w:type="dxa" w:w="9360"/>
        <w:tblLayout w:type="fixed"/>
        <w:tblLook w:firstColumn="1" w:firstRow="1" w:lastColumn="0" w:lastRow="0" w:noHBand="0" w:noVBand="1" w:val="04A0"/>
        <w:jc w:val="left"/>
        <w:tblInd w:w="120" w:type="dxa"/>
      </w:tblPr>
      <w:tblGrid>
        <w:gridCol w:w="1500"/>
        <w:gridCol w:w="1800"/>
        <w:gridCol w:w="2020"/>
        <w:gridCol w:w="2020"/>
        <w:gridCol w:w="2020"/>
      </w:tblGrid>
      <w:tr>
        <w:trPr>
          <w:tblHeader w:val="true"/>
        </w:trPr>
        <w:tc>
          <w:tcPr>
            <w:tcW w:type="dxa" w:w="150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9"/>
              </w:rPr>
              <w:t>Noise σᵤ</w:t>
            </w:r>
          </w:p>
        </w:tc>
        <w:tc>
          <w:tcPr>
            <w:tcW w:type="dxa" w:w="180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9"/>
              </w:rPr>
              <w:t>Benchmark</w:t>
            </w:r>
          </w:p>
        </w:tc>
        <w:tc>
          <w:tcPr>
            <w:tcW w:type="dxa" w:w="202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9"/>
              </w:rPr>
              <w:t>λ</w:t>
            </w:r>
          </w:p>
        </w:tc>
        <w:tc>
          <w:tcPr>
            <w:tcW w:type="dxa" w:w="202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9"/>
              </w:rPr>
              <w:t>γ</w:t>
            </w:r>
          </w:p>
        </w:tc>
        <w:tc>
          <w:tcPr>
            <w:tcW w:type="dxa" w:w="2020"/>
            <w:tcMar>
              <w:top w:w="100" w:type="dxa"/>
              <w:start w:w="120" w:type="dxa"/>
              <w:bottom w:w="100" w:type="dxa"/>
              <w:end w:w="120" w:type="dxa"/>
            </w:tcMar>
            <w:vAlign w:val="center"/>
            <w:shd w:fill="D9EAF7" w:val="clear"/>
          </w:tcPr>
          <w:p>
            <w:pPr>
              <w:spacing w:before="0" w:after="0"/>
              <w:jc w:val="center"/>
            </w:pPr>
            <w:r>
              <w:rPr>
                <w:rFonts w:ascii="Calibri" w:hAnsi="Calibri" w:eastAsia="Calibri"/>
                <w:b/>
                <w:color w:val="0B2545"/>
                <w:sz w:val="19"/>
              </w:rPr>
              <w:t>χ</w:t>
            </w:r>
          </w:p>
        </w:tc>
      </w:tr>
      <w:tr>
        <w:tc>
          <w:tcPr>
            <w:tcW w:type="dxa" w:w="15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Low (0.1)</w:t>
            </w:r>
          </w:p>
        </w:tc>
        <w:tc>
          <w:tcPr>
            <w:tcW w:type="dxa" w:w="18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Nash</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0.002000000400</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0.003000000293</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166.666633333</w:t>
            </w:r>
          </w:p>
        </w:tc>
      </w:tr>
      <w:tr>
        <w:tc>
          <w:tcPr>
            <w:tcW w:type="dxa" w:w="15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Low (0.1)</w:t>
            </w:r>
          </w:p>
        </w:tc>
        <w:tc>
          <w:tcPr>
            <w:tcW w:type="dxa" w:w="18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Perfect cartel</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0.002000000800</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0.004000000873</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124.999950000</w:t>
            </w:r>
          </w:p>
        </w:tc>
      </w:tr>
      <w:tr>
        <w:tc>
          <w:tcPr>
            <w:tcW w:type="dxa" w:w="15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High (100)</w:t>
            </w:r>
          </w:p>
        </w:tc>
        <w:tc>
          <w:tcPr>
            <w:tcW w:type="dxa" w:w="18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Nash</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0.002000000289</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0.002721588765</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166.666642614</w:t>
            </w:r>
          </w:p>
        </w:tc>
      </w:tr>
      <w:tr>
        <w:tc>
          <w:tcPr>
            <w:tcW w:type="dxa" w:w="15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High (100)</w:t>
            </w:r>
          </w:p>
        </w:tc>
        <w:tc>
          <w:tcPr>
            <w:tcW w:type="dxa" w:w="180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Perfect cartel</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0.002000000554</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0.003384490171</w:t>
            </w:r>
          </w:p>
        </w:tc>
        <w:tc>
          <w:tcPr>
            <w:tcW w:type="dxa" w:w="2020"/>
            <w:tcMar>
              <w:top w:w="100" w:type="dxa"/>
              <w:start w:w="120" w:type="dxa"/>
              <w:bottom w:w="100" w:type="dxa"/>
              <w:end w:w="120" w:type="dxa"/>
            </w:tcMar>
            <w:vAlign w:val="center"/>
          </w:tcPr>
          <w:p>
            <w:pPr>
              <w:spacing w:before="0" w:after="0" w:line="252" w:lineRule="auto"/>
              <w:jc w:val="center"/>
            </w:pPr>
            <w:r>
              <w:rPr>
                <w:rFonts w:ascii="Calibri" w:hAnsi="Calibri" w:eastAsia="Calibri"/>
                <w:sz w:val="18"/>
              </w:rPr>
              <w:t>124.999965388</w:t>
            </w:r>
          </w:p>
        </w:tc>
      </w:tr>
    </w:tbl>
    <w:p>
      <w:pPr>
        <w:widowControl/>
      </w:pPr>
      <w:r>
        <w:t>Across all four solutions, the absolute fixed-point residual was no larger than 8.7 × 10⁻¹⁹, and the Nash or cartel first-order-condition identity residual was no larger than 1.2 × 10⁻¹⁶. These diagnostics establish numerical consistency with the implemented equations; they do not establish empirical validity or completion of the full replication.</w:t>
      </w:r>
    </w:p>
    <w:p>
      <w:pPr>
        <w:widowControl/>
      </w:pPr>
      <w:r>
        <w:t>The cartel intensity is lower than the Nash intensity in both environments, consistent with coordinated restriction of informed order flow. All four λ values remain close to 1/ξ = 0.002 because θ/(θ + ξ²) is approximately 4 × 10⁻⁷, so the inference term receives little weight in the price-impact coefficient. This proximity does not make noise irrelevant: changing σᵤ materially changes γ, and the standard deviation of the directly noise-driven price component is approximately λ σᵤ, about 0.0002 under low noise and 0.20 under high noise.</w:t>
      </w:r>
    </w:p>
    <w:p>
      <w:pPr>
        <w:pStyle w:val="Heading1"/>
      </w:pPr>
      <w:r>
        <w:t>7. Current Boundary of the Replication</w:t>
      </w:r>
    </w:p>
    <w:p>
      <w:pPr>
        <w:widowControl/>
      </w:pPr>
      <w:r>
        <w:t>The completed checks establish internal consistency for the static market foundation, theoretical pricing rule, Nash and perfect-cartel strategies, their coupled fixed points and expected profits, the 15-action grid, the 31-point price grid, and the 3,100-state representation. They do not establish that the complete implementation reproduces the paper's quantitative findings or that independent AI agents have learned to collude. The immediate next stage is Step 15: draw and validate the initial state uniformly from P × V × V. Later stages will initialize the Q-tables, implement action selection and Q updates for two independent agents, add the adaptive market maker's rolling regressions, assemble the exact within-period protocol, and reproduce the convergence criteria, outcome measures, mechanism tests, and comparative-static experiments.</w:t>
      </w:r>
    </w:p>
    <w:p>
      <w:pPr>
        <w:widowControl/>
      </w:pPr>
      <w:r>
        <w:t>This working methodology will be revised after each validated implementation checkpoint. Final claims about replication success will be made only after the full simulation has been run with saved configurations, reproducible random streams, and explicit comparison tolerances against the paper's reported results.</w:t>
      </w:r>
    </w:p>
    <w:p>
      <w:pPr>
        <w:pStyle w:val="Heading1"/>
      </w:pPr>
      <w:r>
        <w:t>References</w:t>
      </w:r>
    </w:p>
    <w:p>
      <w:pPr>
        <w:pStyle w:val="Reference"/>
      </w:pPr>
      <w:r>
        <w:t>Dou, W. W., Goldstein, I., and Ji, Y. (2025). AI-Powered Trading, Algorithmic Collusion, and Price Efficiency. NBER Working Paper No. 34054. National Bureau of Economic Research. https://www.nber.org/papers/w34054</w:t>
      </w:r>
    </w:p>
    <w:sectPr w:rsidR="00FC693F" w:rsidRPr="0006063C" w:rsidSect="00034616">
      <w:footerReference w:type="default" r:id="rId9"/>
      <w:footerReference w:type="even" r:id="rId10"/>
      <w:footerReference w:type="first" r:id="rId11"/>
      <w:pgSz w:w="12240" w:h="15840"/>
      <w:pgMar w:top="1440" w:right="1440" w:bottom="1728"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96069"/>
        <w:sz w:val="18"/>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96069"/>
        <w:sz w:val="18"/>
      </w:rPr>
      <w:t xml:space="preserve">Page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96069"/>
        <w:sz w:val="18"/>
      </w:rPr>
      <w:t xml:space="preserve">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jc w:val="left"/>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jc w:val="left"/>
    </w:pPr>
    <w:rPr>
      <w:rFonts w:asciiTheme="majorHAnsi" w:eastAsiaTheme="majorEastAsia" w:hAnsiTheme="majorHAnsi" w:cstheme="majorBidi" w:ascii="Calibri" w:hAnsi="Calibri" w:eastAsia="Calibri"/>
      <w:i w:val="0"/>
      <w:iCs/>
      <w:color w:val="59606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60" w:after="100"/>
      <w:jc w:val="left"/>
    </w:pPr>
    <w:rPr>
      <w:rFonts w:ascii="Calibri" w:hAnsi="Calibri" w:eastAsia="Calibri"/>
      <w:b/>
      <w:bCs/>
      <w:i w:val="0"/>
      <w:color w:val="1F4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Next/>
      <w:keepLines/>
      <w:widowControl/>
      <w:spacing w:before="100" w:after="160" w:line="240" w:lineRule="auto"/>
      <w:ind w:left="360" w:right="360"/>
      <w:jc w:val="center"/>
    </w:pPr>
    <w:rPr>
      <w:rFonts w:ascii="Cambria Math" w:hAnsi="Cambria Math" w:eastAsia="Cambria Math"/>
      <w:color w:val="000000"/>
      <w:sz w:val="23"/>
    </w:rPr>
  </w:style>
  <w:style w:type="paragraph" w:customStyle="1" w:styleId="DraftNote">
    <w:name w:val="Draft Note"/>
    <w:pPr>
      <w:keepLines/>
      <w:spacing w:before="80" w:after="240" w:line="288" w:lineRule="auto"/>
      <w:ind w:left="216" w:right="216"/>
      <w:jc w:val="left"/>
    </w:pPr>
    <w:rPr>
      <w:rFonts w:ascii="Calibri" w:hAnsi="Calibri" w:eastAsia="Calibri"/>
      <w:color w:val="2C343C"/>
      <w:sz w:val="21"/>
    </w:rPr>
  </w:style>
  <w:style w:type="paragraph" w:customStyle="1" w:styleId="Reference">
    <w:name w:val="Reference"/>
    <w:pPr>
      <w:spacing w:before="0" w:after="120" w:line="288" w:lineRule="auto"/>
      <w:ind w:left="432" w:hanging="432"/>
      <w:jc w:val="left"/>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 Working Draft: Market Design, Benchmarks, and Finite States</dc:title>
  <dc:subject>Working methodology draft covering implementation Steps 1-14</dc:subject>
  <dc:creator/>
  <cp:keywords>market microstructure, Q-learning, replication, methodology</cp:keywords>
  <dc:description>generated by python-docx</dc:description>
  <cp:lastModifiedBy/>
  <cp:revision>1</cp:revision>
  <dcterms:created xsi:type="dcterms:W3CDTF">2013-12-23T23:15:00Z</dcterms:created>
  <dcterms:modified xsi:type="dcterms:W3CDTF">2013-12-23T23:15:00Z</dcterms:modified>
  <cp:category/>
</cp:coreProperties>
</file>