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ind w:left="2835" w:right="2835"/>
              <w:jc w:val="center"/>
              <w:pBdr>
                <w:bottom w:val="single" w:sz="28" w:space="1" w:color="E87500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Have a question or comment?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1_SameDi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leave a question and we'll follow up by email.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Learning “same” and “different” in infancy</w:t>
            </w:r>
          </w:p>
          <w:p>
            <w:pPr>
              <w:spacing w:before="80" w:after="160"/>
              <w:ind w:left="2835" w:right="2835"/>
              <w:jc w:val="center"/>
              <w:pBdr>
                <w:bottom w:val="single" w:sz="18" w:space="1" w:color="1547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40" w:after="2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 &amp; Elizabeth Spelke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19"/>
              </w:rPr>
              <w:t>The University of Texas at Dallas  ·  Harvard University</w:t>
            </w:r>
          </w:p>
        </w:tc>
      </w:tr>
    </w:tbl>
    <w:p>
      <w:r>
        <w:br w:type="page"/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ind w:left="2835" w:right="2835"/>
              <w:jc w:val="center"/>
              <w:pBdr>
                <w:bottom w:val="single" w:sz="28" w:space="1" w:color="E87500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Interested in this study?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2_Uns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ask a question or share a comment.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How infants represent unseen objects</w:t>
            </w:r>
          </w:p>
          <w:p>
            <w:pPr>
              <w:spacing w:before="80" w:after="160"/>
              <w:ind w:left="2835" w:right="2835"/>
              <w:jc w:val="center"/>
              <w:pBdr>
                <w:bottom w:val="single" w:sz="18" w:space="1" w:color="154734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40" w:after="2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Luchkina, Emily Yang &amp; Sandra Waxman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19"/>
              </w:rPr>
              <w:t>The University of Texas at Dallas  ·  Northwestern University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