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5C231944"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r w:rsidR="00011878" w:rsidRPr="000E2621">
        <w:rPr>
          <w:rFonts w:eastAsia="Times New Roman" w:cs="Times New Roman"/>
          <w:color w:val="000000"/>
          <w:szCs w:val="24"/>
          <w:lang w:eastAsia="en-CA"/>
        </w:rPr>
        <w:t>interactions when</w:t>
      </w:r>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tbl>
      <w:tblPr>
        <w:tblStyle w:val="TableGrid"/>
        <w:tblpPr w:leftFromText="180" w:rightFromText="180" w:vertAnchor="text" w:tblpY="1"/>
        <w:tblOverlap w:val="never"/>
        <w:tblW w:w="0" w:type="auto"/>
        <w:tblLook w:val="04A0" w:firstRow="1" w:lastRow="0" w:firstColumn="1" w:lastColumn="0" w:noHBand="0" w:noVBand="1"/>
      </w:tblPr>
      <w:tblGrid>
        <w:gridCol w:w="4765"/>
      </w:tblGrid>
      <w:tr w:rsidR="00011878" w14:paraId="1D258B7B" w14:textId="77777777" w:rsidTr="00011878">
        <w:tc>
          <w:tcPr>
            <w:tcW w:w="4765" w:type="dxa"/>
          </w:tcPr>
          <w:p w14:paraId="085AC433" w14:textId="64DB9918" w:rsidR="00011878" w:rsidRDefault="00011878" w:rsidP="00011878">
            <w:pPr>
              <w:spacing w:line="480" w:lineRule="auto"/>
              <w:rPr>
                <w:rFonts w:eastAsia="Times New Roman" w:cs="Times New Roman"/>
                <w:color w:val="000000"/>
                <w:szCs w:val="24"/>
                <w:lang w:eastAsia="en-CA"/>
              </w:rPr>
            </w:pPr>
            <w:r>
              <w:rPr>
                <w:noProof/>
              </w:rPr>
              <w:drawing>
                <wp:inline distT="0" distB="0" distL="0" distR="0" wp14:anchorId="11DEA605" wp14:editId="580C7A48">
                  <wp:extent cx="2862752" cy="2210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3304" cy="2226508"/>
                          </a:xfrm>
                          <a:prstGeom prst="rect">
                            <a:avLst/>
                          </a:prstGeom>
                          <a:noFill/>
                          <a:ln>
                            <a:noFill/>
                          </a:ln>
                        </pic:spPr>
                      </pic:pic>
                    </a:graphicData>
                  </a:graphic>
                </wp:inline>
              </w:drawing>
            </w:r>
          </w:p>
        </w:tc>
      </w:tr>
      <w:tr w:rsidR="00011878" w14:paraId="667E516C" w14:textId="77777777" w:rsidTr="00011878">
        <w:tc>
          <w:tcPr>
            <w:tcW w:w="4765" w:type="dxa"/>
          </w:tcPr>
          <w:p w14:paraId="4464B4F1" w14:textId="78F8A170" w:rsidR="00011878" w:rsidRPr="00011878" w:rsidRDefault="00011878" w:rsidP="00011878">
            <w:pPr>
              <w:spacing w:line="480" w:lineRule="auto"/>
              <w:rPr>
                <w:rFonts w:eastAsia="Times New Roman" w:cs="Times New Roman"/>
                <w:i/>
                <w:iCs/>
                <w:color w:val="000000"/>
                <w:sz w:val="12"/>
                <w:szCs w:val="12"/>
                <w:lang w:eastAsia="en-CA"/>
              </w:rPr>
            </w:pPr>
            <w:r w:rsidRPr="00011878">
              <w:rPr>
                <w:rFonts w:eastAsia="Times New Roman" w:cs="Times New Roman"/>
                <w:i/>
                <w:iCs/>
                <w:color w:val="000000"/>
                <w:sz w:val="12"/>
                <w:szCs w:val="12"/>
                <w:lang w:eastAsia="en-CA"/>
              </w:rPr>
              <w:t>Figure 1.1 General mechanism behind Spontaneous Parametric Down Conversion</w:t>
            </w:r>
          </w:p>
        </w:tc>
      </w:tr>
    </w:tbl>
    <w:p w14:paraId="76CF1ADB" w14:textId="18D25BCF" w:rsidR="001D2778"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Before we continue, </w:t>
      </w:r>
      <w:r w:rsidR="00011878">
        <w:rPr>
          <w:rFonts w:eastAsia="Times New Roman" w:cs="Times New Roman"/>
          <w:color w:val="000000"/>
          <w:szCs w:val="24"/>
          <w:lang w:eastAsia="en-CA"/>
        </w:rPr>
        <w:t>let’s understand the basic principle behind SPDC</w:t>
      </w:r>
      <w:r>
        <w:rPr>
          <w:rFonts w:eastAsia="Times New Roman" w:cs="Times New Roman"/>
          <w:color w:val="000000"/>
          <w:szCs w:val="24"/>
          <w:lang w:eastAsia="en-CA"/>
        </w:rPr>
        <w:t>.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sidR="00461862">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sidR="00461862">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240CB2F" w14:textId="50E1C2BC" w:rsidR="007F62F1" w:rsidRDefault="00DC2E7F" w:rsidP="00011878">
      <w:pPr>
        <w:spacing w:after="0" w:line="480" w:lineRule="auto"/>
        <w:ind w:firstLine="720"/>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While it can be guaranteed if a photon is produced that the entangled pair is present, producing these outputs occurs with an 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w:t>
      </w:r>
      <w:r w:rsidR="00011878">
        <w:rPr>
          <w:rFonts w:eastAsia="Times New Roman" w:cs="Times New Roman"/>
          <w:color w:val="000000"/>
          <w:szCs w:val="24"/>
          <w:lang w:eastAsia="en-CA"/>
        </w:rPr>
        <w:t xml:space="preserve">.  </w:t>
      </w:r>
      <w:r w:rsidR="00CA399C">
        <w:rPr>
          <w:rFonts w:eastAsia="Times New Roman" w:cs="Times New Roman"/>
          <w:color w:val="000000"/>
          <w:szCs w:val="24"/>
          <w:lang w:eastAsia="en-CA"/>
        </w:rPr>
        <w:t>Alternative sources are considered, the most promising of which is the quantum dot</w:t>
      </w:r>
      <w:r w:rsidR="00011878">
        <w:rPr>
          <w:rFonts w:eastAsia="Times New Roman" w:cs="Times New Roman"/>
          <w:color w:val="000000"/>
          <w:szCs w:val="24"/>
          <w:lang w:eastAsia="en-CA"/>
        </w:rPr>
        <w:t>.</w:t>
      </w:r>
      <w:r w:rsidR="006D6890">
        <w:rPr>
          <w:rFonts w:eastAsia="Times New Roman" w:cs="Times New Roman"/>
          <w:color w:val="000000"/>
          <w:szCs w:val="24"/>
          <w:lang w:eastAsia="en-CA"/>
        </w:rPr>
        <w:t xml:space="preserve"> </w:t>
      </w:r>
      <w:r w:rsidR="007F62F1">
        <w:t>The quantum dot has the following benefits:</w:t>
      </w:r>
    </w:p>
    <w:p w14:paraId="7FF88BBF" w14:textId="7D161C56" w:rsidR="00011878" w:rsidRDefault="00011878" w:rsidP="00011878">
      <w:pPr>
        <w:spacing w:after="0" w:line="480" w:lineRule="auto"/>
        <w:ind w:firstLine="720"/>
      </w:pPr>
    </w:p>
    <w:p w14:paraId="0C2EC1C8" w14:textId="77777777" w:rsidR="00011878" w:rsidRPr="00011878" w:rsidRDefault="00011878" w:rsidP="00011878">
      <w:pPr>
        <w:numPr>
          <w:ilvl w:val="0"/>
          <w:numId w:val="20"/>
        </w:numPr>
        <w:shd w:val="clear" w:color="auto" w:fill="FFFFFF"/>
        <w:spacing w:before="100" w:beforeAutospacing="1" w:after="100" w:afterAutospacing="1" w:line="480" w:lineRule="auto"/>
        <w:rPr>
          <w:rFonts w:eastAsia="Times New Roman" w:cs="Times New Roman"/>
          <w:color w:val="242424"/>
          <w:szCs w:val="24"/>
          <w:lang w:eastAsia="en-CA"/>
        </w:rPr>
      </w:pPr>
      <w:r w:rsidRPr="00011878">
        <w:rPr>
          <w:rFonts w:eastAsia="Times New Roman" w:cs="Times New Roman"/>
          <w:color w:val="242424"/>
          <w:szCs w:val="24"/>
          <w:lang w:eastAsia="en-CA"/>
        </w:rPr>
        <w:t>On-demand/deterministic generation of single photons (or entangled photons via biexciton-exciton cascade)</w:t>
      </w:r>
    </w:p>
    <w:p w14:paraId="78CCD0C6" w14:textId="77777777" w:rsidR="00011878" w:rsidRPr="00011878" w:rsidRDefault="00011878" w:rsidP="00011878">
      <w:pPr>
        <w:numPr>
          <w:ilvl w:val="0"/>
          <w:numId w:val="20"/>
        </w:numPr>
        <w:shd w:val="clear" w:color="auto" w:fill="FFFFFF"/>
        <w:spacing w:before="100" w:beforeAutospacing="1" w:after="100" w:afterAutospacing="1" w:line="480" w:lineRule="auto"/>
        <w:rPr>
          <w:rFonts w:eastAsia="Times New Roman" w:cs="Times New Roman"/>
          <w:color w:val="242424"/>
          <w:szCs w:val="24"/>
          <w:lang w:eastAsia="en-CA"/>
        </w:rPr>
      </w:pPr>
      <w:r w:rsidRPr="00011878">
        <w:rPr>
          <w:rFonts w:eastAsia="Times New Roman" w:cs="Times New Roman"/>
          <w:color w:val="242424"/>
          <w:szCs w:val="24"/>
          <w:lang w:eastAsia="en-CA"/>
        </w:rPr>
        <w:t>Low multi-photon emission probabilities (g2 &lt;&lt; 1%)</w:t>
      </w:r>
    </w:p>
    <w:p w14:paraId="647221D5" w14:textId="77777777" w:rsidR="00011878" w:rsidRPr="00011878" w:rsidRDefault="00011878" w:rsidP="00011878">
      <w:pPr>
        <w:numPr>
          <w:ilvl w:val="0"/>
          <w:numId w:val="20"/>
        </w:numPr>
        <w:shd w:val="clear" w:color="auto" w:fill="FFFFFF"/>
        <w:spacing w:before="100" w:beforeAutospacing="1" w:after="100" w:afterAutospacing="1" w:line="480" w:lineRule="auto"/>
        <w:rPr>
          <w:rFonts w:eastAsia="Times New Roman" w:cs="Times New Roman"/>
          <w:color w:val="242424"/>
          <w:szCs w:val="24"/>
          <w:lang w:eastAsia="en-CA"/>
        </w:rPr>
      </w:pPr>
      <w:r w:rsidRPr="00011878">
        <w:rPr>
          <w:rFonts w:eastAsia="Times New Roman" w:cs="Times New Roman"/>
          <w:color w:val="242424"/>
          <w:szCs w:val="24"/>
          <w:lang w:eastAsia="en-CA"/>
        </w:rPr>
        <w:t>High photon flux (high extraction efficiencies via photonic nanostructures + high repetition rates &gt; GHz)</w:t>
      </w:r>
    </w:p>
    <w:p w14:paraId="0988C36C" w14:textId="77777777" w:rsidR="00011878" w:rsidRPr="00011878" w:rsidRDefault="00011878" w:rsidP="00011878">
      <w:pPr>
        <w:numPr>
          <w:ilvl w:val="0"/>
          <w:numId w:val="20"/>
        </w:numPr>
        <w:shd w:val="clear" w:color="auto" w:fill="FFFFFF"/>
        <w:spacing w:before="100" w:beforeAutospacing="1" w:after="100" w:afterAutospacing="1" w:line="480" w:lineRule="auto"/>
        <w:rPr>
          <w:rFonts w:eastAsia="Times New Roman" w:cs="Times New Roman"/>
          <w:color w:val="242424"/>
          <w:szCs w:val="24"/>
          <w:lang w:eastAsia="en-CA"/>
        </w:rPr>
      </w:pPr>
      <w:r w:rsidRPr="00011878">
        <w:rPr>
          <w:rFonts w:eastAsia="Times New Roman" w:cs="Times New Roman"/>
          <w:color w:val="242424"/>
          <w:szCs w:val="24"/>
          <w:lang w:eastAsia="en-CA"/>
        </w:rPr>
        <w:t>Emit indistinguishable photons</w:t>
      </w:r>
    </w:p>
    <w:p w14:paraId="544A1C7B" w14:textId="3B2DCAE3" w:rsidR="00011878" w:rsidRPr="00011878" w:rsidRDefault="00011878" w:rsidP="00011878">
      <w:pPr>
        <w:numPr>
          <w:ilvl w:val="0"/>
          <w:numId w:val="20"/>
        </w:numPr>
        <w:shd w:val="clear" w:color="auto" w:fill="FFFFFF"/>
        <w:spacing w:before="100" w:beforeAutospacing="1" w:after="100" w:afterAutospacing="1" w:line="480" w:lineRule="auto"/>
        <w:rPr>
          <w:rFonts w:eastAsia="Times New Roman" w:cs="Times New Roman"/>
          <w:color w:val="242424"/>
          <w:szCs w:val="24"/>
          <w:lang w:eastAsia="en-CA"/>
        </w:rPr>
      </w:pPr>
      <w:r w:rsidRPr="00011878">
        <w:rPr>
          <w:rFonts w:eastAsia="Times New Roman" w:cs="Times New Roman"/>
          <w:color w:val="242424"/>
          <w:szCs w:val="24"/>
          <w:lang w:eastAsia="en-CA"/>
        </w:rPr>
        <w:t>Numerous tuning mechanisms (E-fields, strain)</w:t>
      </w:r>
    </w:p>
    <w:p w14:paraId="6A6A1488" w14:textId="77777777" w:rsidR="00DF028C" w:rsidRDefault="00DF028C" w:rsidP="000E2621">
      <w:pPr>
        <w:spacing w:line="480" w:lineRule="auto"/>
      </w:pPr>
    </w:p>
    <w:p w14:paraId="5E42E104" w14:textId="46654757" w:rsidR="008E1F36" w:rsidRDefault="00DF028C" w:rsidP="000E2621">
      <w:pPr>
        <w:spacing w:line="480" w:lineRule="auto"/>
      </w:pPr>
      <w:r>
        <w:tab/>
        <w:t>But suppose we didn’t know any of this? How</w:t>
      </w:r>
      <w:r w:rsidR="007F62F1">
        <w:t xml:space="preserve"> can we be sure that we are using a quantum system? Outside of entangling capabilities what proof do we have?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E8000A">
        <w:t>in the analysis</w:t>
      </w:r>
      <w:r>
        <w:t xml:space="preserve"> experimental data for </w:t>
      </w:r>
      <w:r w:rsidR="006D6890">
        <w:t xml:space="preserve">the </w:t>
      </w:r>
      <w:r w:rsidR="00E8000A">
        <w:t>detection</w:t>
      </w:r>
      <w:r w:rsidR="006D6890">
        <w:t xml:space="preserve"> of Rabi </w:t>
      </w:r>
      <w:r w:rsidR="006D6890">
        <w:lastRenderedPageBreak/>
        <w:t>oscillation</w:t>
      </w:r>
      <w:r>
        <w:t>s</w:t>
      </w:r>
      <w:r w:rsidR="006D6890">
        <w:t xml:space="preserve"> </w:t>
      </w:r>
      <w:r w:rsidR="00E8000A">
        <w:t>against</w:t>
      </w:r>
      <w:r w:rsidR="006D6890">
        <w:t xml:space="preserve"> a</w:t>
      </w:r>
      <w:r w:rsidR="008E1F36">
        <w:t xml:space="preserve">n </w:t>
      </w:r>
      <w:r w:rsidR="006D6890">
        <w:t>alternative</w:t>
      </w:r>
      <w:r>
        <w:t>. This alternative</w:t>
      </w:r>
      <w:r w:rsidR="006D6890">
        <w:t xml:space="preser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12BD5A10"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Linblad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 as much as I have</w:t>
      </w:r>
      <w:r w:rsidR="00835EB5">
        <w:t>. And</w:t>
      </w:r>
      <w:r w:rsidR="00C17FB8">
        <w:t xml:space="preserve"> so</w:t>
      </w:r>
      <w:r w:rsidR="00835EB5">
        <w:t>,</w:t>
      </w:r>
      <w:r w:rsidR="00C17FB8">
        <w:t xml:space="preserve"> without further ado, onto chapter two</w:t>
      </w:r>
      <w:r w:rsidR="00E8000A">
        <w:t xml:space="preserve">. </w:t>
      </w:r>
    </w:p>
    <w:p w14:paraId="101FE728" w14:textId="77777777" w:rsidR="00011878" w:rsidRDefault="00011878" w:rsidP="00466DEF">
      <w:pPr>
        <w:pStyle w:val="Heading1"/>
        <w:rPr>
          <w:rFonts w:eastAsia="Times New Roman"/>
          <w:sz w:val="64"/>
          <w:szCs w:val="64"/>
          <w:lang w:eastAsia="en-CA"/>
        </w:rPr>
      </w:pPr>
    </w:p>
    <w:p w14:paraId="45CCF38E" w14:textId="0D9D4ECC" w:rsidR="00011878" w:rsidRDefault="00011878" w:rsidP="00466DEF">
      <w:pPr>
        <w:pStyle w:val="Heading1"/>
        <w:rPr>
          <w:rFonts w:eastAsia="Times New Roman"/>
          <w:sz w:val="24"/>
          <w:szCs w:val="24"/>
          <w:lang w:eastAsia="en-CA"/>
        </w:rPr>
      </w:pPr>
    </w:p>
    <w:p w14:paraId="140136BB" w14:textId="167BAC96" w:rsidR="00011878" w:rsidRDefault="00011878" w:rsidP="00466DEF">
      <w:pPr>
        <w:pStyle w:val="Heading1"/>
        <w:rPr>
          <w:rFonts w:eastAsia="Times New Roman"/>
          <w:sz w:val="64"/>
          <w:szCs w:val="64"/>
          <w:lang w:eastAsia="en-CA"/>
        </w:rPr>
      </w:pPr>
    </w:p>
    <w:p w14:paraId="2198BDE7" w14:textId="77777777" w:rsidR="00011878" w:rsidRPr="00011878" w:rsidRDefault="00011878" w:rsidP="00011878">
      <w:pPr>
        <w:rPr>
          <w:lang w:eastAsia="en-CA"/>
        </w:rPr>
      </w:pPr>
    </w:p>
    <w:p w14:paraId="58143D49" w14:textId="1F9436A6"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0534D02A" w:rsidR="008A1D63" w:rsidRDefault="00EE6BCB" w:rsidP="0001730D">
      <w:pPr>
        <w:spacing w:line="480" w:lineRule="auto"/>
      </w:pPr>
      <w:r>
        <w:tab/>
        <w:t xml:space="preserve">Before we can delve into the model, it is important to understand the experimental and theoretical context underlying </w:t>
      </w:r>
      <w:r w:rsidR="00A73B02">
        <w:t xml:space="preserve">it. </w:t>
      </w:r>
      <w:r>
        <w:t>In this section</w:t>
      </w:r>
      <w:r w:rsidR="00A73B02">
        <w:t>,</w:t>
      </w:r>
      <w:r>
        <w:t xml:space="preserve"> we will cover the experimental parameters </w:t>
      </w:r>
      <w:r w:rsidR="00011878">
        <w:t xml:space="preserve">of the object measured, </w:t>
      </w:r>
      <w:r>
        <w:t xml:space="preserve">along with the </w:t>
      </w:r>
      <w:r w:rsidR="00A73B02">
        <w:t>theory behind Rabi oscillations</w:t>
      </w:r>
      <w:r w:rsidR="00011878">
        <w:t xml:space="preserve"> for the process being analyzed</w:t>
      </w:r>
      <w:r w:rsidR="0001730D">
        <w:t>,</w:t>
      </w:r>
      <w:r w:rsidR="00011878">
        <w:t xml:space="preserve"> and Linblad master equations used to develop our model</w:t>
      </w:r>
      <w:r w:rsidR="00A73B02">
        <w:t xml:space="preserve">.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701486C4" w:rsidR="0001730D" w:rsidRDefault="00895658" w:rsidP="000E2621">
      <w:pPr>
        <w:spacing w:line="480" w:lineRule="auto"/>
        <w:rPr>
          <w:szCs w:val="24"/>
        </w:rPr>
      </w:pPr>
      <w:r>
        <w:rPr>
          <w:szCs w:val="24"/>
        </w:rPr>
        <w:tab/>
      </w:r>
      <w:r w:rsidR="006A2161">
        <w:rPr>
          <w:szCs w:val="24"/>
        </w:rPr>
        <w:t>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w:t>
      </w:r>
      <w:r w:rsidR="00011878">
        <w:rPr>
          <w:szCs w:val="24"/>
        </w:rPr>
        <w:t xml:space="preserve"> a</w:t>
      </w:r>
      <w:r w:rsidR="006A2161">
        <w:rPr>
          <w:szCs w:val="24"/>
        </w:rPr>
        <w:t xml:space="preserv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0CDC5E62"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spin to oscillate, this was the basis for nuclear magnetic resonance (NMR) techniques. As a secondary consequence,</w:t>
      </w:r>
      <w:r w:rsidR="00011878">
        <w:rPr>
          <w:szCs w:val="24"/>
        </w:rPr>
        <w:t xml:space="preserve"> as</w:t>
      </w:r>
      <w:r w:rsidR="004E76CE">
        <w:rPr>
          <w:szCs w:val="24"/>
        </w:rPr>
        <w:t xml:space="preserve"> this process is not unlike </w:t>
      </w:r>
      <w:r w:rsidR="00011878">
        <w:rPr>
          <w:szCs w:val="24"/>
        </w:rPr>
        <w:t>oscillations of the electron population, and as such defined Rabi oscillations as well</w:t>
      </w:r>
      <w:r w:rsidR="004E76CE">
        <w:rPr>
          <w:szCs w:val="24"/>
        </w:rPr>
        <w:t xml:space="preserve">.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36718632" w:rsidR="00C3713D" w:rsidRDefault="00C3713D" w:rsidP="00895658">
      <w:pPr>
        <w:spacing w:line="480" w:lineRule="auto"/>
      </w:pPr>
      <w:r>
        <w:tab/>
        <w:t xml:space="preserve">It is interesting to note that while </w:t>
      </w:r>
      <w:r w:rsidR="00F471D2">
        <w:t>these phenomena</w:t>
      </w:r>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2BDF15A0" w:rsidR="00C3713D" w:rsidRDefault="00C3713D" w:rsidP="00C3713D">
      <w:pPr>
        <w:spacing w:line="480" w:lineRule="auto"/>
      </w:pPr>
      <w:proofErr w:type="spellStart"/>
      <w:r>
        <w:t>Whereing</w:t>
      </w:r>
      <w:proofErr w:type="spellEnd"/>
      <w:r>
        <w:t xml:space="preserve"> T_2</w:t>
      </w:r>
      <w:r w:rsidR="00F471D2">
        <w:t xml:space="preserve"> </w:t>
      </w:r>
      <w:r>
        <w:t xml:space="preserve">star is called the overall </w:t>
      </w:r>
      <w:r w:rsidR="00F471D2">
        <w:t>decoherence and</w:t>
      </w:r>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F471D2">
      <w:pPr>
        <w:pStyle w:val="ListParagraph"/>
        <w:spacing w:line="480" w:lineRule="auto"/>
        <w:ind w:left="0"/>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2FB5E3C0" w:rsidR="0017614C" w:rsidRDefault="008A1D63" w:rsidP="008A1D63">
      <w:pPr>
        <w:spacing w:line="480" w:lineRule="auto"/>
        <w:rPr>
          <w:szCs w:val="24"/>
        </w:rPr>
      </w:pPr>
      <w:r>
        <w:rPr>
          <w:szCs w:val="24"/>
        </w:rPr>
        <w:tab/>
      </w:r>
      <w:r w:rsidR="009D4628">
        <w:rPr>
          <w:szCs w:val="24"/>
        </w:rPr>
        <w:t xml:space="preserve">While it is understood that Rabi oscillations </w:t>
      </w:r>
      <w:r w:rsidR="00F471D2">
        <w:rPr>
          <w:szCs w:val="24"/>
        </w:rPr>
        <w:t>represent the change in</w:t>
      </w:r>
      <w:r w:rsidR="008D3796">
        <w:rPr>
          <w:szCs w:val="24"/>
        </w:rPr>
        <w:t xml:space="preserve"> electron populations </w:t>
      </w:r>
      <w:r w:rsidR="00F471D2">
        <w:rPr>
          <w:szCs w:val="24"/>
        </w:rPr>
        <w:t xml:space="preserve">as they </w:t>
      </w:r>
      <w:r w:rsidR="008D3796">
        <w:rPr>
          <w:szCs w:val="24"/>
        </w:rPr>
        <w:t xml:space="preserve">oscillate between the ground and </w:t>
      </w:r>
      <w:r>
        <w:rPr>
          <w:szCs w:val="24"/>
        </w:rPr>
        <w:t>excited states</w:t>
      </w:r>
      <w:r w:rsidR="00F471D2">
        <w:rPr>
          <w:szCs w:val="24"/>
        </w:rPr>
        <w:t>; however we are unable to directly study this in any meaningful way</w:t>
      </w:r>
      <w:r>
        <w:rPr>
          <w:szCs w:val="24"/>
        </w:rPr>
        <w:t>.</w:t>
      </w:r>
      <w:r w:rsidR="00F471D2">
        <w:rPr>
          <w:szCs w:val="24"/>
        </w:rPr>
        <w:t xml:space="preserve"> However we are able to learn from the by-product of these oscillations, photon emission.</w:t>
      </w:r>
      <w:r>
        <w:rPr>
          <w:szCs w:val="24"/>
        </w:rPr>
        <w:t xml:space="preserve"> It is with these emissions that we wish to study Rabi oscillations. However, before we can do so, it is important to understand </w:t>
      </w:r>
      <w:r w:rsidR="00F471D2">
        <w:rPr>
          <w:szCs w:val="24"/>
        </w:rPr>
        <w:t xml:space="preserve">what </w:t>
      </w:r>
      <w:r>
        <w:rPr>
          <w:szCs w:val="24"/>
        </w:rPr>
        <w:t xml:space="preserve">we wish to study, so </w:t>
      </w:r>
      <w:r w:rsidR="0017614C">
        <w:rPr>
          <w:szCs w:val="24"/>
        </w:rPr>
        <w:t>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3DC1C463" w14:textId="58145C2E" w:rsidR="00F471D2" w:rsidRDefault="006D2848" w:rsidP="00270DFE">
      <w:pPr>
        <w:spacing w:line="480" w:lineRule="auto"/>
      </w:pPr>
      <w:r>
        <w:t>As N is taken to be infinitely large, we can then use Stirling’s approximation</w:t>
      </w:r>
      <w:r w:rsidR="00F471D2">
        <w:t>:</w:t>
      </w:r>
    </w:p>
    <w:p w14:paraId="5F0A4584" w14:textId="1A197CEF" w:rsidR="00F471D2" w:rsidRDefault="006D2848" w:rsidP="00F471D2">
      <w:pPr>
        <w:spacing w:line="480" w:lineRule="auto"/>
        <w:jc w:val="center"/>
      </w:pPr>
      <w:r>
        <w:t>(</w:t>
      </w:r>
      <w:r>
        <w:rPr>
          <w:color w:val="0070C0"/>
        </w:rPr>
        <w:t>The approximation</w:t>
      </w:r>
      <w:r>
        <w:t>)</w:t>
      </w:r>
    </w:p>
    <w:p w14:paraId="76F45095" w14:textId="1227C0BB" w:rsidR="006D2848" w:rsidRDefault="00F471D2" w:rsidP="00270DFE">
      <w:pPr>
        <w:spacing w:line="480" w:lineRule="auto"/>
      </w:pPr>
      <w:r>
        <w:t>We can then use this to break equation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202136C4" w:rsidR="008B004A" w:rsidRDefault="008B004A" w:rsidP="008B004A">
      <w:pPr>
        <w:spacing w:line="480" w:lineRule="auto"/>
      </w:pPr>
      <w:r>
        <w:tab/>
        <w:t>Now that we have established what it means to have a Poissonian distribution, the other classes are simple to understand. They are as follows:</w:t>
      </w:r>
    </w:p>
    <w:p w14:paraId="353EBFD1" w14:textId="77777777" w:rsidR="00F471D2" w:rsidRDefault="00F471D2" w:rsidP="008B004A">
      <w:pPr>
        <w:spacing w:line="480" w:lineRule="auto"/>
      </w:pP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lastRenderedPageBreak/>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lastRenderedPageBreak/>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lastRenderedPageBreak/>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w:t>
      </w:r>
      <w:r w:rsidR="00377C7C">
        <w:rPr>
          <w:rFonts w:eastAsia="Times New Roman" w:cs="Times New Roman"/>
          <w:color w:val="000000"/>
          <w:szCs w:val="24"/>
          <w:lang w:eastAsia="en-CA"/>
        </w:rPr>
        <w:lastRenderedPageBreak/>
        <w:t xml:space="preserve">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 xml:space="preserve">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w:t>
      </w:r>
      <w:r w:rsidR="008F5713">
        <w:rPr>
          <w:rFonts w:eastAsia="Times New Roman" w:cs="Times New Roman"/>
          <w:color w:val="000000"/>
          <w:szCs w:val="24"/>
          <w:lang w:eastAsia="en-CA"/>
        </w:rPr>
        <w:lastRenderedPageBreak/>
        <w:t>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Linblad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w:t>
      </w:r>
      <w:r w:rsidR="00CF323A">
        <w:lastRenderedPageBreak/>
        <w:t>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lastRenderedPageBreak/>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w:t>
      </w:r>
      <w:r w:rsidR="008F5A81">
        <w:rPr>
          <w:lang w:eastAsia="en-CA"/>
        </w:rPr>
        <w:lastRenderedPageBreak/>
        <w:t xml:space="preserve">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lastRenderedPageBreak/>
        <w:t xml:space="preserve">Thus we can determine the evolution of the system defined as </w:t>
      </w:r>
      <w:proofErr w:type="spellStart"/>
      <w:r>
        <w:rPr>
          <w:lang w:eastAsia="en-CA"/>
        </w:rPr>
        <w:t>rhodot</w:t>
      </w:r>
      <w:proofErr w:type="spellEnd"/>
      <w:r>
        <w:rPr>
          <w:lang w:eastAsia="en-CA"/>
        </w:rPr>
        <w:t>, which follows the Linblad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 xml:space="preserve">There are multiple powerful </w:t>
      </w:r>
      <w:proofErr w:type="spellStart"/>
      <w:r>
        <w:rPr>
          <w:lang w:eastAsia="en-CA"/>
        </w:rPr>
        <w:t>softwares</w:t>
      </w:r>
      <w:proofErr w:type="spellEnd"/>
      <w:r>
        <w:rPr>
          <w:lang w:eastAsia="en-CA"/>
        </w:rPr>
        <w:t xml:space="preserve"> that would allow me to solve the above system, however </w:t>
      </w:r>
      <w:proofErr w:type="spellStart"/>
      <w:r>
        <w:rPr>
          <w:lang w:eastAsia="en-CA"/>
        </w:rPr>
        <w:t>QuTIP</w:t>
      </w:r>
      <w:proofErr w:type="spellEnd"/>
      <w:r>
        <w:rPr>
          <w:lang w:eastAsia="en-CA"/>
        </w:rPr>
        <w:t xml:space="preserve"> jumped</w:t>
      </w:r>
      <w:r w:rsidR="00123B1E">
        <w:rPr>
          <w:lang w:eastAsia="en-CA"/>
        </w:rPr>
        <w:t xml:space="preserve"> out as an opportunity to learn something new, but also for its user friendliness. </w:t>
      </w:r>
      <w:proofErr w:type="spellStart"/>
      <w:r w:rsidR="00123B1E">
        <w:rPr>
          <w:lang w:eastAsia="en-CA"/>
        </w:rPr>
        <w:t>QuTIP</w:t>
      </w:r>
      <w:proofErr w:type="spellEnd"/>
      <w:r w:rsidR="00123B1E">
        <w:rPr>
          <w:lang w:eastAsia="en-CA"/>
        </w:rPr>
        <w:t xml:space="preserve">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 xml:space="preserve">As the paper suggests a Lindblad Master Equation, we used the master equation solver that is readily available on </w:t>
      </w:r>
      <w:proofErr w:type="spellStart"/>
      <w:r>
        <w:rPr>
          <w:lang w:eastAsia="en-CA"/>
        </w:rPr>
        <w:t>QuTIP</w:t>
      </w:r>
      <w:proofErr w:type="spellEnd"/>
      <w:r>
        <w:rPr>
          <w:lang w:eastAsia="en-CA"/>
        </w:rPr>
        <w:t>,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lastRenderedPageBreak/>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w:t>
      </w:r>
      <w:proofErr w:type="spellStart"/>
      <w:r>
        <w:rPr>
          <w:lang w:eastAsia="en-CA"/>
        </w:rPr>
        <w:t>QuTIP</w:t>
      </w:r>
      <w:proofErr w:type="spellEnd"/>
      <w:r>
        <w:rPr>
          <w:lang w:eastAsia="en-CA"/>
        </w:rPr>
        <w:t xml:space="preserve">,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033C381D" w14:textId="3DBABD8F" w:rsidR="006C6ECC"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4006F68F" w14:textId="77777777" w:rsidR="003A6814" w:rsidRDefault="003A6814"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lastRenderedPageBreak/>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7EF0970E" w14:textId="60B85CAC" w:rsidR="003A6814" w:rsidRDefault="002D468F" w:rsidP="002311B0">
      <w:pPr>
        <w:pStyle w:val="ListParagraph"/>
        <w:numPr>
          <w:ilvl w:val="3"/>
          <w:numId w:val="19"/>
        </w:numPr>
        <w:spacing w:line="480" w:lineRule="auto"/>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149DC1A1" w14:textId="2B1A8741" w:rsidR="003A6814" w:rsidRDefault="003A6814" w:rsidP="008370E2">
      <w:pPr>
        <w:pStyle w:val="ListParagraph"/>
        <w:spacing w:line="480" w:lineRule="auto"/>
        <w:ind w:left="0"/>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3by3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051F8F3B" w14:textId="26C679B7" w:rsidR="003A6814" w:rsidRDefault="003A6814" w:rsidP="008370E2">
      <w:pPr>
        <w:pStyle w:val="ListParagraph"/>
        <w:spacing w:line="480" w:lineRule="auto"/>
        <w:ind w:left="0"/>
        <w:rPr>
          <w:lang w:eastAsia="en-CA"/>
        </w:rPr>
      </w:pPr>
    </w:p>
    <w:p w14:paraId="5DBB95D0" w14:textId="05993E78" w:rsidR="00B22C51" w:rsidRDefault="003A6814" w:rsidP="008370E2">
      <w:pPr>
        <w:pStyle w:val="ListParagraph"/>
        <w:spacing w:line="480" w:lineRule="auto"/>
        <w:ind w:left="0"/>
        <w:rPr>
          <w:lang w:eastAsia="en-CA"/>
        </w:rPr>
      </w:pPr>
      <w:r>
        <w:rPr>
          <w:lang w:eastAsia="en-CA"/>
        </w:rPr>
        <w:tab/>
      </w:r>
      <w:r w:rsidR="00B22C51">
        <w:rPr>
          <w:lang w:eastAsia="en-CA"/>
        </w:rPr>
        <w:t xml:space="preserve">Suppose we consider the </w:t>
      </w:r>
      <w:proofErr w:type="spellStart"/>
      <w:r w:rsidR="00B22C51">
        <w:rPr>
          <w:lang w:eastAsia="en-CA"/>
        </w:rPr>
        <w:t>S_z</w:t>
      </w:r>
      <w:proofErr w:type="spellEnd"/>
      <w:r w:rsidR="00B22C51">
        <w:rPr>
          <w:lang w:eastAsia="en-CA"/>
        </w:rPr>
        <w:t xml:space="preserve"> basis, we know what we want when we apply raising and lowering operators on these eigenstates, which look as follows:</w:t>
      </w:r>
    </w:p>
    <w:p w14:paraId="78400AB6" w14:textId="4BE7D2E4" w:rsidR="00B22C51" w:rsidRDefault="00B22C51" w:rsidP="008370E2">
      <w:pPr>
        <w:pStyle w:val="ListParagraph"/>
        <w:spacing w:line="480" w:lineRule="auto"/>
        <w:ind w:left="0"/>
        <w:rPr>
          <w:lang w:eastAsia="en-CA"/>
        </w:rPr>
      </w:pPr>
    </w:p>
    <w:p w14:paraId="17924887" w14:textId="57EAB0E9" w:rsidR="00B22C51" w:rsidRDefault="00B22C51" w:rsidP="008370E2">
      <w:pPr>
        <w:pStyle w:val="ListParagraph"/>
        <w:spacing w:line="480" w:lineRule="auto"/>
        <w:ind w:left="0"/>
        <w:rPr>
          <w:lang w:eastAsia="en-CA"/>
        </w:rPr>
      </w:pPr>
      <w:r>
        <w:rPr>
          <w:lang w:eastAsia="en-CA"/>
        </w:rPr>
        <w:t>This results in the following matrix representation of the raising and lowering operators</w:t>
      </w:r>
    </w:p>
    <w:p w14:paraId="6191C198" w14:textId="2FBCD417" w:rsidR="00B22C51" w:rsidRDefault="00B22C51" w:rsidP="008370E2">
      <w:pPr>
        <w:pStyle w:val="ListParagraph"/>
        <w:spacing w:line="480" w:lineRule="auto"/>
        <w:ind w:left="0"/>
        <w:rPr>
          <w:lang w:eastAsia="en-CA"/>
        </w:rPr>
      </w:pPr>
    </w:p>
    <w:p w14:paraId="7A213119" w14:textId="2F816535" w:rsidR="00B22C51" w:rsidRDefault="00B22C51" w:rsidP="008370E2">
      <w:pPr>
        <w:pStyle w:val="ListParagraph"/>
        <w:spacing w:line="480" w:lineRule="auto"/>
        <w:ind w:left="0"/>
        <w:rPr>
          <w:lang w:eastAsia="en-CA"/>
        </w:rPr>
      </w:pPr>
      <w:r>
        <w:rPr>
          <w:lang w:eastAsia="en-CA"/>
        </w:rPr>
        <w:t xml:space="preserve">From this, we can easily determine all other operators by considering the following relationships. </w:t>
      </w:r>
    </w:p>
    <w:p w14:paraId="1D80F11A" w14:textId="62FE23C2" w:rsidR="003A6814" w:rsidRDefault="003A6814" w:rsidP="008370E2">
      <w:pPr>
        <w:pStyle w:val="ListParagraph"/>
        <w:spacing w:line="480" w:lineRule="auto"/>
        <w:ind w:left="0"/>
        <w:rPr>
          <w:lang w:eastAsia="en-CA"/>
        </w:rPr>
      </w:pPr>
    </w:p>
    <w:p w14:paraId="4AAEC316" w14:textId="6847255D" w:rsidR="00B22C51" w:rsidRDefault="00B22C51" w:rsidP="008370E2">
      <w:pPr>
        <w:pStyle w:val="ListParagraph"/>
        <w:spacing w:line="480" w:lineRule="auto"/>
        <w:ind w:left="0"/>
        <w:rPr>
          <w:lang w:eastAsia="en-CA"/>
        </w:rPr>
      </w:pPr>
      <w:r>
        <w:rPr>
          <w:lang w:eastAsia="en-CA"/>
        </w:rPr>
        <w:t xml:space="preserve">Given this, we now have a representation that is easily implementable in </w:t>
      </w:r>
      <w:proofErr w:type="spellStart"/>
      <w:r>
        <w:rPr>
          <w:lang w:eastAsia="en-CA"/>
        </w:rPr>
        <w:t>QuTIP</w:t>
      </w:r>
      <w:proofErr w:type="spellEnd"/>
      <w:r>
        <w:rPr>
          <w:lang w:eastAsia="en-CA"/>
        </w:rPr>
        <w:t>,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4A01E2">
      <w:pPr>
        <w:pStyle w:val="ListParagraph"/>
        <w:numPr>
          <w:ilvl w:val="3"/>
          <w:numId w:val="19"/>
        </w:numPr>
        <w:spacing w:line="480" w:lineRule="auto"/>
        <w:rPr>
          <w:lang w:eastAsia="en-CA"/>
        </w:rPr>
      </w:pPr>
      <w:r>
        <w:rPr>
          <w:lang w:eastAsia="en-CA"/>
        </w:rPr>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340B108D" w14:textId="2786B40F" w:rsidR="004A01E2" w:rsidRDefault="004A01E2" w:rsidP="004A01E2">
      <w:pPr>
        <w:pStyle w:val="ListParagraph"/>
        <w:spacing w:line="480" w:lineRule="auto"/>
        <w:ind w:left="0"/>
        <w:rPr>
          <w:lang w:eastAsia="en-CA"/>
        </w:rPr>
      </w:pPr>
    </w:p>
    <w:p w14:paraId="75B67E2F" w14:textId="438356CB" w:rsidR="004A01E2" w:rsidRDefault="004A01E2" w:rsidP="004A01E2">
      <w:pPr>
        <w:pStyle w:val="ListParagraph"/>
        <w:spacing w:line="480" w:lineRule="auto"/>
        <w:ind w:left="0"/>
        <w:rPr>
          <w:lang w:eastAsia="en-CA"/>
        </w:rPr>
      </w:pPr>
    </w:p>
    <w:p w14:paraId="20A580AA" w14:textId="7E93B799" w:rsidR="004A01E2" w:rsidRDefault="004A01E2" w:rsidP="004A01E2">
      <w:pPr>
        <w:pStyle w:val="ListParagraph"/>
        <w:spacing w:line="480" w:lineRule="auto"/>
        <w:ind w:left="0"/>
        <w:rPr>
          <w:lang w:eastAsia="en-CA"/>
        </w:rPr>
      </w:pPr>
      <w:r>
        <w:rPr>
          <w:lang w:eastAsia="en-CA"/>
        </w:rPr>
        <w:t>Assuming that this can also be used in 3-D this leaves us with the following substitutions:</w:t>
      </w:r>
    </w:p>
    <w:p w14:paraId="03F77035" w14:textId="46984C0A" w:rsidR="004A01E2" w:rsidRDefault="004A01E2" w:rsidP="004A01E2">
      <w:pPr>
        <w:pStyle w:val="ListParagraph"/>
        <w:spacing w:line="480" w:lineRule="auto"/>
        <w:ind w:left="0"/>
        <w:rPr>
          <w:lang w:eastAsia="en-CA"/>
        </w:rPr>
      </w:pPr>
    </w:p>
    <w:p w14:paraId="5BA9EA9B" w14:textId="209A2762" w:rsidR="004A01E2" w:rsidRDefault="004A01E2" w:rsidP="004A01E2">
      <w:pPr>
        <w:pStyle w:val="ListParagraph"/>
        <w:spacing w:line="480" w:lineRule="auto"/>
        <w:ind w:left="0"/>
        <w:rPr>
          <w:lang w:eastAsia="en-CA"/>
        </w:rPr>
      </w:pP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w:t>
      </w:r>
      <w:proofErr w:type="spellStart"/>
      <w:r>
        <w:rPr>
          <w:lang w:eastAsia="en-CA"/>
        </w:rPr>
        <w:t>QuTIP</w:t>
      </w:r>
      <w:proofErr w:type="spellEnd"/>
      <w:r>
        <w:rPr>
          <w:lang w:eastAsia="en-CA"/>
        </w:rPr>
        <w:t xml:space="preserve">.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ED0356">
      <w:pPr>
        <w:pStyle w:val="ListParagraph"/>
        <w:numPr>
          <w:ilvl w:val="3"/>
          <w:numId w:val="19"/>
        </w:numPr>
        <w:spacing w:line="480" w:lineRule="auto"/>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2F8546FB" w:rsidR="00ED0356" w:rsidRDefault="00ED0356" w:rsidP="00ED0356">
      <w:pPr>
        <w:spacing w:line="480" w:lineRule="auto"/>
        <w:rPr>
          <w:lang w:eastAsia="en-CA"/>
        </w:rPr>
      </w:pPr>
      <w:r>
        <w:rPr>
          <w:lang w:eastAsia="en-CA"/>
        </w:rPr>
        <w:tab/>
        <w:t xml:space="preserve">Now for the final challenge, and perhaps the hardest one, addressing the pulse shape of the incident laser. The omega of equation () is a parameter that represents the shape of the incident laser pulse. Initially we used the parameters defined in the </w:t>
      </w:r>
      <w:proofErr w:type="spellStart"/>
      <w:r>
        <w:rPr>
          <w:lang w:eastAsia="en-CA"/>
        </w:rPr>
        <w:t>QuTIP</w:t>
      </w:r>
      <w:proofErr w:type="spellEnd"/>
      <w:r>
        <w:rPr>
          <w:lang w:eastAsia="en-CA"/>
        </w:rPr>
        <w:t xml:space="preserve"> tutorial for two-photon interference. However, this just resulted in the following: </w:t>
      </w:r>
    </w:p>
    <w:p w14:paraId="2700DCB5" w14:textId="671FD734" w:rsidR="00ED0356" w:rsidRDefault="00ED0356" w:rsidP="00ED0356">
      <w:pPr>
        <w:spacing w:line="480" w:lineRule="auto"/>
        <w:rPr>
          <w:lang w:eastAsia="en-CA"/>
        </w:rPr>
      </w:pPr>
    </w:p>
    <w:p w14:paraId="283750A4" w14:textId="5E9ECBD0" w:rsidR="00ED0356" w:rsidRDefault="00ED0356" w:rsidP="00ED0356">
      <w:pPr>
        <w:spacing w:line="480" w:lineRule="auto"/>
        <w:rPr>
          <w:lang w:eastAsia="en-CA"/>
        </w:rPr>
      </w:pPr>
      <w:r>
        <w:rPr>
          <w:lang w:eastAsia="en-CA"/>
        </w:rPr>
        <w:lastRenderedPageBreak/>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02780538" w:rsidR="002311B0" w:rsidRDefault="00017947" w:rsidP="002311B0">
      <w:pPr>
        <w:pStyle w:val="ListParagraph"/>
        <w:numPr>
          <w:ilvl w:val="2"/>
          <w:numId w:val="19"/>
        </w:numPr>
        <w:spacing w:line="480" w:lineRule="auto"/>
        <w:rPr>
          <w:lang w:eastAsia="en-CA"/>
        </w:rPr>
      </w:pPr>
      <w:r>
        <w:rPr>
          <w:lang w:eastAsia="en-CA"/>
        </w:rPr>
        <w:t>Results and their Analysis</w:t>
      </w:r>
    </w:p>
    <w:p w14:paraId="538D6BB8" w14:textId="77777777" w:rsidR="002311B0" w:rsidRDefault="002311B0" w:rsidP="002311B0">
      <w:pPr>
        <w:spacing w:line="480" w:lineRule="auto"/>
        <w:rPr>
          <w:lang w:eastAsia="en-CA"/>
        </w:rPr>
      </w:pPr>
    </w:p>
    <w:p w14:paraId="2D2B0912" w14:textId="77777777" w:rsidR="002311B0" w:rsidRDefault="002311B0" w:rsidP="002311B0">
      <w:pPr>
        <w:spacing w:line="480" w:lineRule="auto"/>
        <w:rPr>
          <w:lang w:eastAsia="en-CA"/>
        </w:rPr>
      </w:pPr>
      <w:r>
        <w:rPr>
          <w:lang w:eastAsia="en-CA"/>
        </w:rPr>
        <w:tab/>
        <w:t>Having solved the above challenges, we end up with the following code:</w:t>
      </w:r>
    </w:p>
    <w:p w14:paraId="2F2108A2" w14:textId="77777777" w:rsidR="002311B0" w:rsidRDefault="002311B0" w:rsidP="002311B0">
      <w:pPr>
        <w:spacing w:line="480" w:lineRule="auto"/>
        <w:rPr>
          <w:lang w:eastAsia="en-CA"/>
        </w:rPr>
      </w:pPr>
    </w:p>
    <w:p w14:paraId="3398D2A8" w14:textId="049D5479" w:rsidR="002311B0" w:rsidRDefault="002311B0" w:rsidP="002311B0">
      <w:pPr>
        <w:spacing w:line="480" w:lineRule="auto"/>
        <w:rPr>
          <w:lang w:eastAsia="en-CA"/>
        </w:rPr>
      </w:pPr>
      <w:r>
        <w:rPr>
          <w:lang w:eastAsia="en-CA"/>
        </w:rPr>
        <w:t>Wherein the parameters used to determine this model are as follows:</w:t>
      </w:r>
    </w:p>
    <w:p w14:paraId="7D5133C8" w14:textId="77777777" w:rsidR="002311B0" w:rsidRDefault="002311B0" w:rsidP="002311B0">
      <w:pPr>
        <w:pStyle w:val="ListParagraph"/>
        <w:numPr>
          <w:ilvl w:val="1"/>
          <w:numId w:val="13"/>
        </w:numPr>
        <w:spacing w:line="480" w:lineRule="auto"/>
        <w:rPr>
          <w:lang w:eastAsia="en-CA"/>
        </w:rPr>
      </w:pPr>
      <w:r>
        <w:rPr>
          <w:lang w:eastAsia="en-CA"/>
        </w:rPr>
        <w:t>The Effective Hamiltonian</w:t>
      </w:r>
    </w:p>
    <w:p w14:paraId="2F3C8E19" w14:textId="77777777" w:rsidR="002311B0" w:rsidRDefault="002311B0" w:rsidP="002311B0">
      <w:pPr>
        <w:pStyle w:val="ListParagraph"/>
        <w:numPr>
          <w:ilvl w:val="1"/>
          <w:numId w:val="13"/>
        </w:numPr>
        <w:spacing w:line="480" w:lineRule="auto"/>
        <w:rPr>
          <w:lang w:eastAsia="en-CA"/>
        </w:rPr>
      </w:pPr>
      <w:r>
        <w:rPr>
          <w:lang w:eastAsia="en-CA"/>
        </w:rPr>
        <w:t>Wave function: Providing information on the initial state of the system</w:t>
      </w:r>
    </w:p>
    <w:p w14:paraId="41241419" w14:textId="77777777" w:rsidR="002311B0" w:rsidRDefault="002311B0" w:rsidP="002311B0">
      <w:pPr>
        <w:pStyle w:val="ListParagraph"/>
        <w:numPr>
          <w:ilvl w:val="1"/>
          <w:numId w:val="13"/>
        </w:numPr>
        <w:spacing w:line="480" w:lineRule="auto"/>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2311B0">
      <w:pPr>
        <w:pStyle w:val="ListParagraph"/>
        <w:numPr>
          <w:ilvl w:val="1"/>
          <w:numId w:val="13"/>
        </w:numPr>
        <w:spacing w:line="480" w:lineRule="auto"/>
        <w:rPr>
          <w:lang w:eastAsia="en-CA"/>
        </w:rPr>
      </w:pPr>
      <w:r>
        <w:rPr>
          <w:lang w:eastAsia="en-CA"/>
        </w:rPr>
        <w:t>A Set of Collapse Operators: Which detail dephasing within the system</w:t>
      </w:r>
    </w:p>
    <w:p w14:paraId="22BE65B9" w14:textId="5A991D45" w:rsidR="002311B0" w:rsidRDefault="002311B0" w:rsidP="002311B0">
      <w:pPr>
        <w:spacing w:line="480" w:lineRule="auto"/>
        <w:rPr>
          <w:lang w:eastAsia="en-CA"/>
        </w:rPr>
      </w:pPr>
      <w:r>
        <w:rPr>
          <w:lang w:eastAsia="en-CA"/>
        </w:rPr>
        <w:tab/>
        <w:t xml:space="preserve">Upon running this code we end up with the following plots for the exciton and biexciton populations. </w:t>
      </w:r>
    </w:p>
    <w:p w14:paraId="53745A47" w14:textId="31B84AE8" w:rsidR="002311B0" w:rsidRDefault="002311B0" w:rsidP="002311B0">
      <w:pPr>
        <w:spacing w:line="480" w:lineRule="auto"/>
        <w:rPr>
          <w:lang w:eastAsia="en-CA"/>
        </w:rPr>
      </w:pPr>
    </w:p>
    <w:p w14:paraId="061E7C74" w14:textId="53337A32" w:rsidR="002311B0" w:rsidRDefault="002311B0" w:rsidP="002311B0">
      <w:pPr>
        <w:spacing w:line="480" w:lineRule="auto"/>
        <w:rPr>
          <w:lang w:eastAsia="en-CA"/>
        </w:rPr>
      </w:pPr>
      <w:r>
        <w:rPr>
          <w:lang w:eastAsia="en-CA"/>
        </w:rPr>
        <w:lastRenderedPageBreak/>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further challenges that need to be addressed before this can be used as a fitting model for experimental data. This will be further discussed in the conclusions and future considerations of this thesis. </w:t>
      </w:r>
    </w:p>
    <w:p w14:paraId="27DF4968" w14:textId="77777777" w:rsidR="00F471D2" w:rsidRDefault="00F471D2" w:rsidP="00680062">
      <w:pPr>
        <w:pStyle w:val="Heading1"/>
        <w:rPr>
          <w:rFonts w:eastAsia="Times New Roman"/>
          <w:sz w:val="64"/>
          <w:szCs w:val="64"/>
          <w:lang w:eastAsia="en-CA"/>
        </w:rPr>
      </w:pPr>
    </w:p>
    <w:p w14:paraId="49427F4A" w14:textId="77777777" w:rsidR="00F471D2" w:rsidRDefault="00F471D2" w:rsidP="00680062">
      <w:pPr>
        <w:pStyle w:val="Heading1"/>
        <w:rPr>
          <w:rFonts w:eastAsia="Times New Roman"/>
          <w:sz w:val="64"/>
          <w:szCs w:val="64"/>
          <w:lang w:eastAsia="en-CA"/>
        </w:rPr>
      </w:pPr>
    </w:p>
    <w:p w14:paraId="5F454870" w14:textId="77777777" w:rsidR="00F471D2" w:rsidRDefault="00F471D2" w:rsidP="00680062">
      <w:pPr>
        <w:pStyle w:val="Heading1"/>
        <w:rPr>
          <w:rFonts w:eastAsia="Times New Roman"/>
          <w:sz w:val="64"/>
          <w:szCs w:val="64"/>
          <w:lang w:eastAsia="en-CA"/>
        </w:rPr>
      </w:pPr>
    </w:p>
    <w:p w14:paraId="07560505" w14:textId="77777777" w:rsidR="00F471D2" w:rsidRDefault="00F471D2" w:rsidP="00680062">
      <w:pPr>
        <w:pStyle w:val="Heading1"/>
        <w:rPr>
          <w:rFonts w:eastAsia="Times New Roman"/>
          <w:sz w:val="64"/>
          <w:szCs w:val="64"/>
          <w:lang w:eastAsia="en-CA"/>
        </w:rPr>
      </w:pPr>
    </w:p>
    <w:p w14:paraId="6CE60750" w14:textId="31878241" w:rsidR="00F471D2" w:rsidRDefault="00F471D2" w:rsidP="00680062">
      <w:pPr>
        <w:pStyle w:val="Heading1"/>
        <w:rPr>
          <w:rFonts w:eastAsia="Times New Roman"/>
          <w:sz w:val="24"/>
          <w:szCs w:val="24"/>
          <w:lang w:eastAsia="en-CA"/>
        </w:rPr>
      </w:pPr>
    </w:p>
    <w:p w14:paraId="369CC983" w14:textId="37EB6E86" w:rsidR="00F471D2" w:rsidRDefault="00F471D2" w:rsidP="00F471D2">
      <w:pPr>
        <w:rPr>
          <w:lang w:eastAsia="en-CA"/>
        </w:rPr>
      </w:pPr>
    </w:p>
    <w:p w14:paraId="5DFBCC8A" w14:textId="1FE2BD60" w:rsidR="00F471D2" w:rsidRDefault="00F471D2" w:rsidP="00F471D2">
      <w:pPr>
        <w:rPr>
          <w:lang w:eastAsia="en-CA"/>
        </w:rPr>
      </w:pPr>
    </w:p>
    <w:p w14:paraId="5887CD49" w14:textId="6CDB594F" w:rsidR="00F471D2" w:rsidRDefault="00F471D2" w:rsidP="00F471D2">
      <w:pPr>
        <w:rPr>
          <w:lang w:eastAsia="en-CA"/>
        </w:rPr>
      </w:pPr>
    </w:p>
    <w:p w14:paraId="35FE2C34" w14:textId="77777777" w:rsidR="00F471D2" w:rsidRPr="00F471D2" w:rsidRDefault="00F471D2" w:rsidP="00F471D2">
      <w:pPr>
        <w:rPr>
          <w:lang w:eastAsia="en-CA"/>
        </w:rPr>
      </w:pPr>
    </w:p>
    <w:p w14:paraId="2A5A264E" w14:textId="4FB37A7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lastRenderedPageBreak/>
        <w:t>Bibliography</w:t>
      </w:r>
    </w:p>
    <w:p w14:paraId="2AB4DE1B" w14:textId="77777777" w:rsidR="00017947" w:rsidRPr="00017947" w:rsidRDefault="00017947" w:rsidP="007E5EC2">
      <w:pPr>
        <w:rPr>
          <w:b/>
          <w:bCs/>
          <w:lang w:eastAsia="en-CA"/>
        </w:rPr>
      </w:pPr>
    </w:p>
    <w:p w14:paraId="4081CD1D" w14:textId="77777777" w:rsidR="00011878" w:rsidRDefault="00011878" w:rsidP="007E5EC2">
      <w:pPr>
        <w:rPr>
          <w:rStyle w:val="HTMLCite"/>
          <w:rFonts w:ascii="Arial" w:hAnsi="Arial" w:cs="Arial"/>
          <w:color w:val="202122"/>
          <w:sz w:val="19"/>
          <w:szCs w:val="19"/>
        </w:rPr>
      </w:pPr>
      <w:r>
        <w:rPr>
          <w:rFonts w:ascii="Arial" w:hAnsi="Arial" w:cs="Arial"/>
          <w:color w:val="202122"/>
          <w:sz w:val="19"/>
          <w:szCs w:val="19"/>
          <w:shd w:val="clear" w:color="auto" w:fill="EAF3FF"/>
        </w:rPr>
        <w:t>  </w:t>
      </w:r>
      <w:r>
        <w:rPr>
          <w:rStyle w:val="HTMLCite"/>
          <w:rFonts w:ascii="Arial" w:hAnsi="Arial" w:cs="Arial"/>
          <w:color w:val="202122"/>
          <w:sz w:val="19"/>
          <w:szCs w:val="19"/>
        </w:rPr>
        <w:t xml:space="preserve">Bock, Matthias; Lenhard, Andreas; </w:t>
      </w:r>
      <w:proofErr w:type="spellStart"/>
      <w:r>
        <w:rPr>
          <w:rStyle w:val="HTMLCite"/>
          <w:rFonts w:ascii="Arial" w:hAnsi="Arial" w:cs="Arial"/>
          <w:color w:val="202122"/>
          <w:sz w:val="19"/>
          <w:szCs w:val="19"/>
        </w:rPr>
        <w:t>Chunnilall</w:t>
      </w:r>
      <w:proofErr w:type="spellEnd"/>
      <w:r>
        <w:rPr>
          <w:rStyle w:val="HTMLCite"/>
          <w:rFonts w:ascii="Arial" w:hAnsi="Arial" w:cs="Arial"/>
          <w:color w:val="202122"/>
          <w:sz w:val="19"/>
          <w:szCs w:val="19"/>
        </w:rPr>
        <w:t>, Christopher; Becher, Christoph (17 October 2016). </w:t>
      </w:r>
      <w:hyperlink r:id="rId7" w:history="1">
        <w:r>
          <w:rPr>
            <w:rStyle w:val="Hyperlink"/>
            <w:rFonts w:ascii="Arial" w:hAnsi="Arial" w:cs="Arial"/>
            <w:i/>
            <w:iCs/>
            <w:color w:val="3366BB"/>
            <w:sz w:val="19"/>
            <w:szCs w:val="19"/>
          </w:rPr>
          <w:t>"Highly efficient heralded single-photon source for telecom wavelengths based on a PPLN waveguide"</w:t>
        </w:r>
      </w:hyperlink>
      <w:r>
        <w:rPr>
          <w:rStyle w:val="HTMLCite"/>
          <w:rFonts w:ascii="Arial" w:hAnsi="Arial" w:cs="Arial"/>
          <w:color w:val="202122"/>
          <w:sz w:val="19"/>
          <w:szCs w:val="19"/>
        </w:rPr>
        <w:t>. Optics Express. </w:t>
      </w:r>
      <w:r>
        <w:rPr>
          <w:rStyle w:val="HTMLCite"/>
          <w:rFonts w:ascii="Arial" w:hAnsi="Arial" w:cs="Arial"/>
          <w:b/>
          <w:bCs/>
          <w:color w:val="202122"/>
          <w:sz w:val="19"/>
          <w:szCs w:val="19"/>
        </w:rPr>
        <w:t>24</w:t>
      </w:r>
      <w:r>
        <w:rPr>
          <w:rStyle w:val="HTMLCite"/>
          <w:rFonts w:ascii="Arial" w:hAnsi="Arial" w:cs="Arial"/>
          <w:color w:val="202122"/>
          <w:sz w:val="19"/>
          <w:szCs w:val="19"/>
        </w:rPr>
        <w:t> (21): 23992–24001. </w:t>
      </w:r>
      <w:hyperlink r:id="rId8" w:tooltip="Bibcode (identifier)" w:history="1">
        <w:r>
          <w:rPr>
            <w:rStyle w:val="Hyperlink"/>
            <w:rFonts w:ascii="Arial" w:hAnsi="Arial" w:cs="Arial"/>
            <w:i/>
            <w:iCs/>
            <w:color w:val="0645AD"/>
            <w:sz w:val="19"/>
            <w:szCs w:val="19"/>
          </w:rPr>
          <w:t>Bibcode</w:t>
        </w:r>
      </w:hyperlink>
      <w:r>
        <w:rPr>
          <w:rStyle w:val="HTMLCite"/>
          <w:rFonts w:ascii="Arial" w:hAnsi="Arial" w:cs="Arial"/>
          <w:color w:val="202122"/>
          <w:sz w:val="19"/>
          <w:szCs w:val="19"/>
        </w:rPr>
        <w:t>:</w:t>
      </w:r>
      <w:hyperlink r:id="rId9" w:history="1">
        <w:r>
          <w:rPr>
            <w:rStyle w:val="Hyperlink"/>
            <w:rFonts w:ascii="Arial" w:hAnsi="Arial" w:cs="Arial"/>
            <w:i/>
            <w:iCs/>
            <w:color w:val="3366BB"/>
            <w:sz w:val="19"/>
            <w:szCs w:val="19"/>
          </w:rPr>
          <w:t>2016</w:t>
        </w:r>
        <w:proofErr w:type="gramStart"/>
        <w:r>
          <w:rPr>
            <w:rStyle w:val="Hyperlink"/>
            <w:rFonts w:ascii="Arial" w:hAnsi="Arial" w:cs="Arial"/>
            <w:i/>
            <w:iCs/>
            <w:color w:val="3366BB"/>
            <w:sz w:val="19"/>
            <w:szCs w:val="19"/>
          </w:rPr>
          <w:t>OExpr..</w:t>
        </w:r>
        <w:proofErr w:type="gramEnd"/>
        <w:r>
          <w:rPr>
            <w:rStyle w:val="Hyperlink"/>
            <w:rFonts w:ascii="Arial" w:hAnsi="Arial" w:cs="Arial"/>
            <w:i/>
            <w:iCs/>
            <w:color w:val="3366BB"/>
            <w:sz w:val="19"/>
            <w:szCs w:val="19"/>
          </w:rPr>
          <w:t>2423992B</w:t>
        </w:r>
      </w:hyperlink>
      <w:r>
        <w:rPr>
          <w:rStyle w:val="HTMLCite"/>
          <w:rFonts w:ascii="Arial" w:hAnsi="Arial" w:cs="Arial"/>
          <w:color w:val="202122"/>
          <w:sz w:val="19"/>
          <w:szCs w:val="19"/>
        </w:rPr>
        <w:t>. </w:t>
      </w:r>
      <w:hyperlink r:id="rId10"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11" w:history="1">
        <w:r>
          <w:rPr>
            <w:rStyle w:val="Hyperlink"/>
            <w:rFonts w:ascii="Arial" w:hAnsi="Arial" w:cs="Arial"/>
            <w:i/>
            <w:iCs/>
            <w:color w:val="3366BB"/>
            <w:sz w:val="19"/>
            <w:szCs w:val="19"/>
          </w:rPr>
          <w:t>10.1364/OE.24.023992</w:t>
        </w:r>
      </w:hyperlink>
      <w:r>
        <w:rPr>
          <w:rStyle w:val="HTMLCite"/>
          <w:rFonts w:ascii="Arial" w:hAnsi="Arial" w:cs="Arial"/>
          <w:color w:val="202122"/>
          <w:sz w:val="19"/>
          <w:szCs w:val="19"/>
        </w:rPr>
        <w:t>. </w:t>
      </w:r>
      <w:hyperlink r:id="rId12"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13" w:history="1">
        <w:r>
          <w:rPr>
            <w:rStyle w:val="Hyperlink"/>
            <w:rFonts w:ascii="Arial" w:hAnsi="Arial" w:cs="Arial"/>
            <w:i/>
            <w:iCs/>
            <w:color w:val="3366BB"/>
            <w:sz w:val="19"/>
            <w:szCs w:val="19"/>
          </w:rPr>
          <w:t>1094-4087</w:t>
        </w:r>
      </w:hyperlink>
      <w:r>
        <w:rPr>
          <w:rStyle w:val="HTMLCite"/>
          <w:rFonts w:ascii="Arial" w:hAnsi="Arial" w:cs="Arial"/>
          <w:color w:val="202122"/>
          <w:sz w:val="19"/>
          <w:szCs w:val="19"/>
        </w:rPr>
        <w:t>. </w:t>
      </w:r>
      <w:hyperlink r:id="rId14"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15" w:history="1">
        <w:r>
          <w:rPr>
            <w:rStyle w:val="Hyperlink"/>
            <w:rFonts w:ascii="Arial" w:hAnsi="Arial" w:cs="Arial"/>
            <w:i/>
            <w:iCs/>
            <w:color w:val="3366BB"/>
            <w:sz w:val="19"/>
            <w:szCs w:val="19"/>
          </w:rPr>
          <w:t>27828232</w:t>
        </w:r>
      </w:hyperlink>
    </w:p>
    <w:p w14:paraId="782AA772" w14:textId="2CC2995A" w:rsidR="007E5EC2" w:rsidRDefault="00000000" w:rsidP="007E5EC2">
      <w:pPr>
        <w:rPr>
          <w:lang w:eastAsia="en-CA"/>
        </w:rPr>
      </w:pPr>
      <w:hyperlink r:id="rId1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1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18"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19"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20"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807DE6"/>
    <w:multiLevelType w:val="hybridMultilevel"/>
    <w:tmpl w:val="4A6805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E4CC4"/>
    <w:multiLevelType w:val="multilevel"/>
    <w:tmpl w:val="6EE0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20"/>
    <w:lvlOverride w:ilvl="0">
      <w:lvl w:ilvl="0">
        <w:numFmt w:val="decimal"/>
        <w:lvlText w:val="%1."/>
        <w:lvlJc w:val="left"/>
      </w:lvl>
    </w:lvlOverride>
  </w:num>
  <w:num w:numId="3" w16cid:durableId="1876186755">
    <w:abstractNumId w:val="17"/>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9"/>
  </w:num>
  <w:num w:numId="16" w16cid:durableId="1059331030">
    <w:abstractNumId w:val="4"/>
  </w:num>
  <w:num w:numId="17" w16cid:durableId="192423754">
    <w:abstractNumId w:val="2"/>
  </w:num>
  <w:num w:numId="18" w16cid:durableId="2140344388">
    <w:abstractNumId w:val="8"/>
  </w:num>
  <w:num w:numId="19" w16cid:durableId="884562041">
    <w:abstractNumId w:val="5"/>
  </w:num>
  <w:num w:numId="20" w16cid:durableId="897546353">
    <w:abstractNumId w:val="16"/>
  </w:num>
  <w:num w:numId="21" w16cid:durableId="20342645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1878"/>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311B0"/>
    <w:rsid w:val="00270DFE"/>
    <w:rsid w:val="00271DA9"/>
    <w:rsid w:val="002D468F"/>
    <w:rsid w:val="002E0671"/>
    <w:rsid w:val="00365766"/>
    <w:rsid w:val="00377C7C"/>
    <w:rsid w:val="00387388"/>
    <w:rsid w:val="00390DE1"/>
    <w:rsid w:val="003A6814"/>
    <w:rsid w:val="003B5490"/>
    <w:rsid w:val="003C5CBB"/>
    <w:rsid w:val="003E201E"/>
    <w:rsid w:val="00447975"/>
    <w:rsid w:val="00461862"/>
    <w:rsid w:val="00466DEF"/>
    <w:rsid w:val="00494DDF"/>
    <w:rsid w:val="004A01E2"/>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215EF"/>
    <w:rsid w:val="00835EB5"/>
    <w:rsid w:val="00836DE4"/>
    <w:rsid w:val="008370E2"/>
    <w:rsid w:val="00863B68"/>
    <w:rsid w:val="00864E7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22C51"/>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DF028C"/>
    <w:rsid w:val="00E16D2E"/>
    <w:rsid w:val="00E8000A"/>
    <w:rsid w:val="00EC1061"/>
    <w:rsid w:val="00ED0356"/>
    <w:rsid w:val="00EE054F"/>
    <w:rsid w:val="00EE4F0B"/>
    <w:rsid w:val="00EE6BCB"/>
    <w:rsid w:val="00F12435"/>
    <w:rsid w:val="00F2373A"/>
    <w:rsid w:val="00F41A51"/>
    <w:rsid w:val="00F46B35"/>
    <w:rsid w:val="00F471D2"/>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 w:type="character" w:styleId="HTMLCite">
    <w:name w:val="HTML Cite"/>
    <w:basedOn w:val="DefaultParagraphFont"/>
    <w:uiPriority w:val="99"/>
    <w:semiHidden/>
    <w:unhideWhenUsed/>
    <w:rsid w:val="00011878"/>
    <w:rPr>
      <w:i/>
      <w:iCs/>
    </w:rPr>
  </w:style>
  <w:style w:type="character" w:customStyle="1" w:styleId="cs1-lock-free">
    <w:name w:val="cs1-lock-free"/>
    <w:basedOn w:val="DefaultParagraphFont"/>
    <w:rsid w:val="0001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28754">
      <w:bodyDiv w:val="1"/>
      <w:marLeft w:val="0"/>
      <w:marRight w:val="0"/>
      <w:marTop w:val="0"/>
      <w:marBottom w:val="0"/>
      <w:divBdr>
        <w:top w:val="none" w:sz="0" w:space="0" w:color="auto"/>
        <w:left w:val="none" w:sz="0" w:space="0" w:color="auto"/>
        <w:bottom w:val="none" w:sz="0" w:space="0" w:color="auto"/>
        <w:right w:val="none" w:sz="0" w:space="0" w:color="auto"/>
      </w:divBdr>
    </w:div>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bcode_(identifier)" TargetMode="External"/><Relationship Id="rId13" Type="http://schemas.openxmlformats.org/officeDocument/2006/relationships/hyperlink" Target="https://www.worldcat.org/issn/1094-4087" TargetMode="External"/><Relationship Id="rId1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364%2FOE.24.023992" TargetMode="External"/><Relationship Id="rId12" Type="http://schemas.openxmlformats.org/officeDocument/2006/relationships/hyperlink" Target="https://en.wikipedia.org/wiki/ISSN_(identifier)" TargetMode="External"/><Relationship Id="rId1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6" Type="http://schemas.openxmlformats.org/officeDocument/2006/relationships/hyperlink" Target="https://nexdot.fr/en/history-of-quantum-dots/" TargetMode="External"/><Relationship Id="rId20" Type="http://schemas.openxmlformats.org/officeDocument/2006/relationships/hyperlink" Target="https://physics.stackexchange.com/questions/287542/spin-representation-in-3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364%2FOE.24.023992" TargetMode="External"/><Relationship Id="rId5" Type="http://schemas.openxmlformats.org/officeDocument/2006/relationships/webSettings" Target="webSettings.xml"/><Relationship Id="rId15" Type="http://schemas.openxmlformats.org/officeDocument/2006/relationships/hyperlink" Target="https://pubmed.ncbi.nlm.nih.gov/27828232" TargetMode="External"/><Relationship Id="rId10" Type="http://schemas.openxmlformats.org/officeDocument/2006/relationships/hyperlink" Target="https://en.wikipedia.org/wiki/Doi_(identifier)" TargetMode="External"/><Relationship Id="rId19" Type="http://schemas.openxmlformats.org/officeDocument/2006/relationships/hyperlink" Target="https://www.benzinga.com/pressreleases/19/02/r13231898/the-history-and-future-of-quantum-dots" TargetMode="External"/><Relationship Id="rId4" Type="http://schemas.openxmlformats.org/officeDocument/2006/relationships/settings" Target="settings.xml"/><Relationship Id="rId9" Type="http://schemas.openxmlformats.org/officeDocument/2006/relationships/hyperlink" Target="https://ui.adsabs.harvard.edu/abs/2016OExpr..2423992B" TargetMode="External"/><Relationship Id="rId14" Type="http://schemas.openxmlformats.org/officeDocument/2006/relationships/hyperlink" Target="https://en.wikipedia.org/wiki/PMID_(identifi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1</Pages>
  <Words>5975</Words>
  <Characters>34059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53</cp:revision>
  <dcterms:created xsi:type="dcterms:W3CDTF">2022-09-12T19:37:00Z</dcterms:created>
  <dcterms:modified xsi:type="dcterms:W3CDTF">2023-01-07T18:40:00Z</dcterms:modified>
</cp:coreProperties>
</file>