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20" w:after="240"/>
        <w:ind w:hanging="0" w:left="0" w:right="0"/>
        <w:rPr>
          <w:color w:val="1D3F2B"/>
          <w:sz w:val="19"/>
          <w:bdr w:val="single" w:sz="8" w:space="7" w:color="1D3F2B"/>
          <w:shd w:fill="EEF5F0" w:val="clear"/>
        </w:rPr>
      </w:pPr>
      <w:r>
        <w:rPr>
          <w:b/>
          <w:color w:val="1D3F2B"/>
          <w:sz w:val="19"/>
          <w:bdr w:val="single" w:sz="8" w:space="7" w:color="1D3F2B"/>
          <w:shd w:fill="EEF5F0" w:val="clear"/>
        </w:rPr>
        <w:t>FOR REVIEW NAVIGATION ONLY — NOT PART OF THE RECORDED DOCUMENT.</w:t>
      </w:r>
      <w:r>
        <w:rPr>
          <w:color w:val="1D3F2B"/>
          <w:sz w:val="19"/>
          <w:bdr w:val="single" w:sz="8" w:space="7" w:color="1D3F2B"/>
          <w:shd w:fill="EEF5F0" w:val="clear"/>
        </w:rPr>
        <w:t xml:space="preserve"> This change index and the inline change codes are review aids only and will be stripped from the final recorded document.</w:t>
      </w:r>
    </w:p>
    <w:p>
      <w:bookmarkStart w:id="90" w:name="ChangeIndex"/>
      <w:pPr>
        <w:pStyle w:val="Heading1"/>
        <w:bidi w:val="0"/>
        <w:rPr/>
      </w:pPr>
      <w:r>
        <w:rPr/>
        <w:t>AHOA Declaration — Proposed Changes</w:t>
      </w:r>
      <w:bookmarkEnd w:id="90"/>
    </w:p>
    <w:p>
      <w:pPr>
        <w:pStyle w:val="BodyTextnote"/>
        <w:bidi w:val="0"/>
        <w:rPr/>
      </w:pPr>
      <w:r>
        <w:rPr/>
        <w:t>Each proposed change is marked in the body with its code; click a code below to jump to it. Changes are grouped by Article, in document order. (Deletions appear only in the redline version.)</w:t>
      </w:r>
    </w:p>
    <w:p>
      <w:pPr>
        <w:pStyle w:val="Heading2"/>
        <w:bidi w:val="0"/>
        <w:jc w:val="left"/>
        <w:rPr/>
      </w:pPr>
      <w:r>
        <w:rPr/>
        <w:t>ARTICLE I — DEFINITIONS</w:t>
      </w:r>
    </w:p>
    <w:p>
      <w:pPr>
        <w:pStyle w:val="BodyText"/>
        <w:bidi w:val="0"/>
        <w:ind w:hanging="0" w:left="80" w:right="80"/>
        <w:rPr/>
      </w:pPr>
      <w:hyperlink w:anchor="chg-DC-01">
        <w:r>
          <w:rPr>
            <w:rStyle w:val="Hyperlink"/>
            <w:b/>
            <w:color w:val="0A7A2C"/>
            <w:sz w:val="16"/>
            <w:bdr w:val="single" w:sz="4" w:space="1" w:color="0A7A2C"/>
          </w:rPr>
          <w:t>DC-01</w:t>
        </w:r>
        <w:r>
          <w:rPr>
            <w:rStyle w:val="Hyperlink"/>
          </w:rPr>
          <w:t xml:space="preserve">"Owner" </w:t>
        </w:r>
        <w:r>
          <w:rPr>
            <w:rStyle w:val="Hyperlink"/>
            <w:i/>
          </w:rPr>
          <w:t>(modified)</w:t>
        </w:r>
      </w:hyperlink>
      <w:r>
        <w:rPr/>
        <w:t xml:space="preserve"> </w:t>
      </w:r>
      <w:hyperlink w:anchor="chg-DC-02">
        <w:r>
          <w:rPr>
            <w:rStyle w:val="Hyperlink"/>
            <w:b/>
            <w:color w:val="0A7A2C"/>
            <w:sz w:val="16"/>
            <w:bdr w:val="single" w:sz="4" w:space="1" w:color="0A7A2C"/>
          </w:rPr>
          <w:t>DC-02</w:t>
        </w:r>
        <w:r>
          <w:rPr>
            <w:rStyle w:val="Hyperlink"/>
          </w:rPr>
          <w:t xml:space="preserve">"Structure" </w:t>
        </w:r>
        <w:r>
          <w:rPr>
            <w:rStyle w:val="Hyperlink"/>
            <w:i/>
          </w:rPr>
          <w:t>(inserted)</w:t>
        </w:r>
      </w:hyperlink>
      <w:r>
        <w:rPr/>
        <w:t xml:space="preserve"> </w:t>
      </w:r>
      <w:hyperlink w:anchor="chg-DC-03">
        <w:r>
          <w:rPr>
            <w:rStyle w:val="Hyperlink"/>
            <w:b/>
            <w:color w:val="0A7A2C"/>
            <w:sz w:val="16"/>
            <w:bdr w:val="single" w:sz="4" w:space="1" w:color="0A7A2C"/>
          </w:rPr>
          <w:t>DC-03</w:t>
        </w:r>
        <w:r>
          <w:rPr>
            <w:rStyle w:val="Hyperlink"/>
          </w:rPr>
          <w:t xml:space="preserve">"Standard Unit" </w:t>
        </w:r>
        <w:r>
          <w:rPr>
            <w:rStyle w:val="Hyperlink"/>
            <w:i/>
          </w:rPr>
          <w:t>(inserted)</w:t>
        </w:r>
      </w:hyperlink>
      <w:r>
        <w:rPr/>
        <w:t xml:space="preserve"> </w:t>
      </w:r>
    </w:p>
    <w:p>
      <w:pPr>
        <w:pStyle w:val="Heading2"/>
        <w:bidi w:val="0"/>
        <w:jc w:val="left"/>
        <w:rPr/>
      </w:pPr>
      <w:r>
        <w:rPr/>
        <w:t>ARTICLE II — COMMON AREA</w:t>
      </w:r>
    </w:p>
    <w:p>
      <w:pPr>
        <w:pStyle w:val="BodyText"/>
        <w:bidi w:val="0"/>
        <w:ind w:hanging="0" w:left="80" w:right="80"/>
        <w:rPr/>
      </w:pPr>
      <w:hyperlink w:anchor="chg-DC-04">
        <w:r>
          <w:rPr>
            <w:rStyle w:val="Hyperlink"/>
            <w:b/>
            <w:color w:val="0A7A2C"/>
            <w:sz w:val="16"/>
            <w:bdr w:val="single" w:sz="4" w:space="1" w:color="0A7A2C"/>
          </w:rPr>
          <w:t>DC-04</w:t>
        </w:r>
        <w:r>
          <w:rPr>
            <w:rStyle w:val="Hyperlink"/>
          </w:rPr>
          <w:t xml:space="preserve">Owners' Easements of Enjoyment. Every owner shall have a rig… </w:t>
        </w:r>
        <w:r>
          <w:rPr>
            <w:rStyle w:val="Hyperlink"/>
            <w:i/>
          </w:rPr>
          <w:t>(modified)</w:t>
        </w:r>
      </w:hyperlink>
      <w:r>
        <w:rPr/>
        <w:t xml:space="preserve"> </w:t>
      </w:r>
      <w:hyperlink w:anchor="chg-DC-05">
        <w:r>
          <w:rPr>
            <w:rStyle w:val="Hyperlink"/>
            <w:b/>
            <w:color w:val="0A7A2C"/>
            <w:sz w:val="16"/>
            <w:bdr w:val="single" w:sz="4" w:space="1" w:color="0A7A2C"/>
          </w:rPr>
          <w:t>DC-05</w:t>
        </w:r>
        <w:r>
          <w:rPr>
            <w:rStyle w:val="Hyperlink"/>
          </w:rPr>
          <w:t xml:space="preserve">Maintenance by the Association. The Association shall mainta… </w:t>
        </w:r>
        <w:r>
          <w:rPr>
            <w:rStyle w:val="Hyperlink"/>
            <w:i/>
          </w:rPr>
          <w:t>(modified)</w:t>
        </w:r>
      </w:hyperlink>
      <w:r>
        <w:rPr/>
        <w:t xml:space="preserve"> </w:t>
      </w:r>
    </w:p>
    <w:p>
      <w:pPr>
        <w:pStyle w:val="Heading2"/>
        <w:bidi w:val="0"/>
        <w:jc w:val="left"/>
        <w:rPr/>
      </w:pPr>
      <w:r>
        <w:rPr/>
        <w:t>ARTICLE III — USE OF THE PROPERTIES</w:t>
      </w:r>
    </w:p>
    <w:p>
      <w:pPr>
        <w:pStyle w:val="BodyText"/>
        <w:bidi w:val="0"/>
        <w:ind w:hanging="0" w:left="80" w:right="80"/>
        <w:rPr/>
      </w:pPr>
      <w:hyperlink w:anchor="chg-DC-06">
        <w:r>
          <w:rPr>
            <w:rStyle w:val="Hyperlink"/>
            <w:b/>
            <w:color w:val="0A7A2C"/>
            <w:sz w:val="16"/>
            <w:bdr w:val="single" w:sz="4" w:space="1" w:color="0A7A2C"/>
          </w:rPr>
          <w:t>DC-06</w:t>
        </w:r>
        <w:r>
          <w:rPr>
            <w:rStyle w:val="Hyperlink"/>
          </w:rPr>
          <w:t xml:space="preserve">Rules of Conduct. The following rules and restrictions are i… </w:t>
        </w:r>
        <w:r>
          <w:rPr>
            <w:rStyle w:val="Hyperlink"/>
            <w:i/>
          </w:rPr>
          <w:t>(modified)</w:t>
        </w:r>
      </w:hyperlink>
      <w:r>
        <w:rPr/>
        <w:t xml:space="preserve"> </w:t>
      </w:r>
    </w:p>
    <w:p>
      <w:pPr>
        <w:pStyle w:val="Heading2"/>
        <w:bidi w:val="0"/>
        <w:jc w:val="left"/>
        <w:rPr/>
      </w:pPr>
      <w:r>
        <w:rPr/>
        <w:t>ARTICLE IV — MEMBERSHIP AND VOTING RIGHTS</w:t>
      </w:r>
    </w:p>
    <w:p>
      <w:pPr>
        <w:pStyle w:val="BodyText"/>
        <w:bidi w:val="0"/>
        <w:ind w:hanging="0" w:left="80" w:right="80"/>
        <w:rPr/>
      </w:pPr>
      <w:hyperlink w:anchor="chg-DC-07">
        <w:r>
          <w:rPr>
            <w:rStyle w:val="Hyperlink"/>
            <w:b/>
            <w:color w:val="0A7A2C"/>
            <w:sz w:val="16"/>
            <w:bdr w:val="single" w:sz="4" w:space="1" w:color="0A7A2C"/>
          </w:rPr>
          <w:t>DC-07</w:t>
        </w:r>
        <w:r>
          <w:rPr>
            <w:rStyle w:val="Hyperlink"/>
          </w:rPr>
          <w:t xml:space="preserve">The Membership. Upon becoming the owner of a unit, the owner… </w:t>
        </w:r>
        <w:r>
          <w:rPr>
            <w:rStyle w:val="Hyperlink"/>
            <w:i/>
          </w:rPr>
          <w:t>(modified)</w:t>
        </w:r>
      </w:hyperlink>
      <w:r>
        <w:rPr/>
        <w:t xml:space="preserve"> </w:t>
      </w:r>
    </w:p>
    <w:p>
      <w:pPr>
        <w:pStyle w:val="Heading2"/>
        <w:bidi w:val="0"/>
        <w:jc w:val="left"/>
        <w:rPr/>
      </w:pPr>
      <w:r>
        <w:rPr/>
        <w:t>ARTICLE V — COVENANT FOR ASSESSMENTS</w:t>
      </w:r>
    </w:p>
    <w:p>
      <w:pPr>
        <w:pStyle w:val="BodyText"/>
        <w:bidi w:val="0"/>
        <w:ind w:hanging="0" w:left="80" w:right="80"/>
        <w:rPr/>
      </w:pPr>
      <w:hyperlink w:anchor="chg-DC-08">
        <w:r>
          <w:rPr>
            <w:rStyle w:val="Hyperlink"/>
            <w:b/>
            <w:color w:val="0A7A2C"/>
            <w:sz w:val="16"/>
            <w:bdr w:val="single" w:sz="4" w:space="1" w:color="0A7A2C"/>
          </w:rPr>
          <w:t>DC-08</w:t>
        </w:r>
        <w:r>
          <w:rPr>
            <w:rStyle w:val="Hyperlink"/>
          </w:rPr>
          <w:t xml:space="preserve">Creation of the Lien and Personal Obligation of Assessments.… </w:t>
        </w:r>
        <w:r>
          <w:rPr>
            <w:rStyle w:val="Hyperlink"/>
            <w:i/>
          </w:rPr>
          <w:t>(modified)</w:t>
        </w:r>
      </w:hyperlink>
      <w:r>
        <w:rPr/>
        <w:t xml:space="preserve"> </w:t>
      </w:r>
      <w:hyperlink w:anchor="chg-DC-09">
        <w:r>
          <w:rPr>
            <w:rStyle w:val="Hyperlink"/>
            <w:b/>
            <w:color w:val="0A7A2C"/>
            <w:sz w:val="16"/>
            <w:bdr w:val="single" w:sz="4" w:space="1" w:color="0A7A2C"/>
          </w:rPr>
          <w:t>DC-09</w:t>
        </w:r>
        <w:r>
          <w:rPr>
            <w:rStyle w:val="Hyperlink"/>
          </w:rPr>
          <w:t xml:space="preserve">Purpose of Assessments. The assessments levied by the Associ… </w:t>
        </w:r>
        <w:r>
          <w:rPr>
            <w:rStyle w:val="Hyperlink"/>
            <w:i/>
          </w:rPr>
          <w:t>(modified)</w:t>
        </w:r>
      </w:hyperlink>
      <w:r>
        <w:rPr/>
        <w:t xml:space="preserve"> </w:t>
      </w:r>
      <w:hyperlink w:anchor="chg-DC-10">
        <w:r>
          <w:rPr>
            <w:rStyle w:val="Hyperlink"/>
            <w:b/>
            <w:color w:val="0A7A2C"/>
            <w:sz w:val="16"/>
            <w:bdr w:val="single" w:sz="4" w:space="1" w:color="0A7A2C"/>
          </w:rPr>
          <w:t>DC-10</w:t>
        </w:r>
        <w:r>
          <w:rPr>
            <w:rStyle w:val="Hyperlink"/>
          </w:rPr>
          <w:t xml:space="preserve">Special Assessments for Capital Improvements. In addition to… </w:t>
        </w:r>
        <w:r>
          <w:rPr>
            <w:rStyle w:val="Hyperlink"/>
            <w:i/>
          </w:rPr>
          <w:t>(modified)</w:t>
        </w:r>
      </w:hyperlink>
      <w:r>
        <w:rPr/>
        <w:t xml:space="preserve"> </w:t>
      </w:r>
      <w:hyperlink w:anchor="chg-DC-11">
        <w:r>
          <w:rPr>
            <w:rStyle w:val="Hyperlink"/>
            <w:b/>
            <w:color w:val="0A7A2C"/>
            <w:sz w:val="16"/>
            <w:bdr w:val="single" w:sz="4" w:space="1" w:color="0A7A2C"/>
          </w:rPr>
          <w:t>DC-11</w:t>
        </w:r>
        <w:r>
          <w:rPr>
            <w:rStyle w:val="Hyperlink"/>
          </w:rPr>
          <w:t xml:space="preserve">Allocation of Common Profits. Any common profits or surplus… </w:t>
        </w:r>
        <w:r>
          <w:rPr>
            <w:rStyle w:val="Hyperlink"/>
            <w:i/>
          </w:rPr>
          <w:t>(inserted)</w:t>
        </w:r>
      </w:hyperlink>
      <w:r>
        <w:rPr/>
        <w:t xml:space="preserve"> </w:t>
      </w:r>
      <w:hyperlink w:anchor="chg-DC-12">
        <w:r>
          <w:rPr>
            <w:rStyle w:val="Hyperlink"/>
            <w:b/>
            <w:color w:val="0A7A2C"/>
            <w:sz w:val="16"/>
            <w:bdr w:val="single" w:sz="4" w:space="1" w:color="0A7A2C"/>
          </w:rPr>
          <w:t>DC-12</w:t>
        </w:r>
        <w:r>
          <w:rPr>
            <w:rStyle w:val="Hyperlink"/>
          </w:rPr>
          <w:t xml:space="preserve">Subordination of the Lien to Mortgages. The lien of the asse… </w:t>
        </w:r>
        <w:r>
          <w:rPr>
            <w:rStyle w:val="Hyperlink"/>
            <w:i/>
          </w:rPr>
          <w:t>(modified)</w:t>
        </w:r>
      </w:hyperlink>
      <w:r>
        <w:rPr/>
        <w:t xml:space="preserve"> </w:t>
      </w:r>
    </w:p>
    <w:p>
      <w:pPr>
        <w:pStyle w:val="Heading2"/>
        <w:bidi w:val="0"/>
        <w:jc w:val="left"/>
        <w:rPr/>
      </w:pPr>
      <w:r>
        <w:rPr/>
        <w:t>ARTICLE VI — COLLECTION OF ASSESSMENT; ENFORCEMENT</w:t>
      </w:r>
    </w:p>
    <w:p>
      <w:pPr>
        <w:pStyle w:val="BodyText"/>
        <w:bidi w:val="0"/>
        <w:ind w:hanging="0" w:left="80" w:right="80"/>
        <w:rPr/>
      </w:pPr>
      <w:hyperlink w:anchor="chg-DC-13">
        <w:r>
          <w:rPr>
            <w:rStyle w:val="Hyperlink"/>
            <w:b/>
            <w:color w:val="0A7A2C"/>
            <w:sz w:val="16"/>
            <w:bdr w:val="single" w:sz="4" w:space="1" w:color="0A7A2C"/>
          </w:rPr>
          <w:t>DC-13</w:t>
        </w:r>
        <w:r>
          <w:rPr>
            <w:rStyle w:val="Hyperlink"/>
          </w:rPr>
          <w:t xml:space="preserve">Authority to Enforce and Collect. The Board of Directors sha… </w:t>
        </w:r>
        <w:r>
          <w:rPr>
            <w:rStyle w:val="Hyperlink"/>
            <w:i/>
          </w:rPr>
          <w:t>(modified)</w:t>
        </w:r>
      </w:hyperlink>
      <w:r>
        <w:rPr/>
        <w:t xml:space="preserve"> </w:t>
      </w:r>
      <w:hyperlink w:anchor="chg-DC-14">
        <w:r>
          <w:rPr>
            <w:rStyle w:val="Hyperlink"/>
            <w:b/>
            <w:color w:val="0A7A2C"/>
            <w:sz w:val="16"/>
            <w:bdr w:val="single" w:sz="4" w:space="1" w:color="0A7A2C"/>
          </w:rPr>
          <w:t>DC-14</w:t>
        </w:r>
        <w:r>
          <w:rPr>
            <w:rStyle w:val="Hyperlink"/>
          </w:rPr>
          <w:t xml:space="preserve">Abatement and Enjoining of Violations. In the event an owner… </w:t>
        </w:r>
        <w:r>
          <w:rPr>
            <w:rStyle w:val="Hyperlink"/>
            <w:i/>
          </w:rPr>
          <w:t>(modified)</w:t>
        </w:r>
      </w:hyperlink>
      <w:r>
        <w:rPr/>
        <w:t xml:space="preserve"> </w:t>
      </w:r>
      <w:hyperlink w:anchor="chg-DC-15">
        <w:r>
          <w:rPr>
            <w:rStyle w:val="Hyperlink"/>
            <w:b/>
            <w:color w:val="0A7A2C"/>
            <w:sz w:val="16"/>
            <w:bdr w:val="single" w:sz="4" w:space="1" w:color="0A7A2C"/>
          </w:rPr>
          <w:t>DC-15</w:t>
        </w:r>
        <w:r>
          <w:rPr>
            <w:rStyle w:val="Hyperlink"/>
          </w:rPr>
          <w:t xml:space="preserve">Interest; Late Charges; Fines. Interest shall accrue on any… </w:t>
        </w:r>
        <w:r>
          <w:rPr>
            <w:rStyle w:val="Hyperlink"/>
            <w:i/>
          </w:rPr>
          <w:t>(modified)</w:t>
        </w:r>
      </w:hyperlink>
      <w:r>
        <w:rPr/>
        <w:t xml:space="preserve"> </w:t>
      </w:r>
      <w:hyperlink w:anchor="chg-DC-16">
        <w:r>
          <w:rPr>
            <w:rStyle w:val="Hyperlink"/>
            <w:b/>
            <w:color w:val="0A7A2C"/>
            <w:sz w:val="16"/>
            <w:bdr w:val="single" w:sz="4" w:space="1" w:color="0A7A2C"/>
          </w:rPr>
          <w:t>DC-16</w:t>
        </w:r>
        <w:r>
          <w:rPr>
            <w:rStyle w:val="Hyperlink"/>
          </w:rPr>
          <w:t xml:space="preserve">Acceleration of Assessment. In the event that an owner fails… </w:t>
        </w:r>
        <w:r>
          <w:rPr>
            <w:rStyle w:val="Hyperlink"/>
            <w:i/>
          </w:rPr>
          <w:t>(modified)</w:t>
        </w:r>
      </w:hyperlink>
      <w:r>
        <w:rPr/>
        <w:t xml:space="preserve"> </w:t>
      </w:r>
      <w:hyperlink w:anchor="chg-DC-17">
        <w:r>
          <w:rPr>
            <w:rStyle w:val="Hyperlink"/>
            <w:b/>
            <w:color w:val="0A7A2C"/>
            <w:sz w:val="16"/>
            <w:bdr w:val="single" w:sz="4" w:space="1" w:color="0A7A2C"/>
          </w:rPr>
          <w:t>DC-17</w:t>
        </w:r>
        <w:r>
          <w:rPr>
            <w:rStyle w:val="Hyperlink"/>
          </w:rPr>
          <w:t xml:space="preserve">Recordation and Duration of Lien; Foreclosure of Lien Agains… </w:t>
        </w:r>
        <w:r>
          <w:rPr>
            <w:rStyle w:val="Hyperlink"/>
            <w:i/>
          </w:rPr>
          <w:t>(modified)</w:t>
        </w:r>
      </w:hyperlink>
      <w:r>
        <w:rPr/>
        <w:t xml:space="preserve"> </w:t>
      </w:r>
      <w:hyperlink w:anchor="chg-DC-18">
        <w:r>
          <w:rPr>
            <w:rStyle w:val="Hyperlink"/>
            <w:b/>
            <w:color w:val="0A7A2C"/>
            <w:sz w:val="16"/>
            <w:bdr w:val="single" w:sz="4" w:space="1" w:color="0A7A2C"/>
          </w:rPr>
          <w:t>DC-18</w:t>
        </w:r>
        <w:r>
          <w:rPr>
            <w:rStyle w:val="Hyperlink"/>
          </w:rPr>
          <w:t xml:space="preserve">Action to Obtain and Recover a Money Judgment. The Board of… </w:t>
        </w:r>
        <w:r>
          <w:rPr>
            <w:rStyle w:val="Hyperlink"/>
            <w:i/>
          </w:rPr>
          <w:t>(modified)</w:t>
        </w:r>
      </w:hyperlink>
      <w:r>
        <w:rPr/>
        <w:t xml:space="preserve"> </w:t>
      </w:r>
      <w:hyperlink w:anchor="chg-DC-19">
        <w:r>
          <w:rPr>
            <w:rStyle w:val="Hyperlink"/>
            <w:b/>
            <w:color w:val="0A7A2C"/>
            <w:sz w:val="16"/>
            <w:bdr w:val="single" w:sz="4" w:space="1" w:color="0A7A2C"/>
          </w:rPr>
          <w:t>DC-19</w:t>
        </w:r>
        <w:r>
          <w:rPr>
            <w:rStyle w:val="Hyperlink"/>
          </w:rPr>
          <w:t xml:space="preserve">Professional Management. The Board of Directors may employ a… </w:t>
        </w:r>
        <w:r>
          <w:rPr>
            <w:rStyle w:val="Hyperlink"/>
            <w:i/>
          </w:rPr>
          <w:t>(inserted)</w:t>
        </w:r>
      </w:hyperlink>
      <w:r>
        <w:rPr/>
        <w:t xml:space="preserve"> </w:t>
      </w:r>
    </w:p>
    <w:p>
      <w:pPr>
        <w:pStyle w:val="Heading2"/>
        <w:bidi w:val="0"/>
        <w:jc w:val="left"/>
        <w:rPr/>
      </w:pPr>
      <w:r>
        <w:rPr/>
        <w:t>ARTICLE VII — EXTERIOR MAINTENANCE</w:t>
      </w:r>
    </w:p>
    <w:p>
      <w:pPr>
        <w:pStyle w:val="BodyText"/>
        <w:bidi w:val="0"/>
        <w:ind w:hanging="0" w:left="80" w:right="80"/>
        <w:rPr/>
      </w:pPr>
      <w:hyperlink w:anchor="chg-DC-20">
        <w:r>
          <w:rPr>
            <w:rStyle w:val="Hyperlink"/>
            <w:b/>
            <w:color w:val="0A7A2C"/>
            <w:sz w:val="16"/>
            <w:bdr w:val="single" w:sz="4" w:space="1" w:color="0A7A2C"/>
          </w:rPr>
          <w:t>DC-20</w:t>
        </w:r>
        <w:r>
          <w:rPr>
            <w:rStyle w:val="Hyperlink"/>
          </w:rPr>
          <w:t xml:space="preserve">Owner Responsibility for Structure Exterior. The owners with… </w:t>
        </w:r>
        <w:r>
          <w:rPr>
            <w:rStyle w:val="Hyperlink"/>
            <w:i/>
          </w:rPr>
          <w:t>(inserted)</w:t>
        </w:r>
      </w:hyperlink>
      <w:r>
        <w:rPr/>
        <w:t xml:space="preserve"> </w:t>
      </w:r>
      <w:hyperlink w:anchor="chg-DC-21">
        <w:r>
          <w:rPr>
            <w:rStyle w:val="Hyperlink"/>
            <w:b/>
            <w:color w:val="0A7A2C"/>
            <w:sz w:val="16"/>
            <w:bdr w:val="single" w:sz="4" w:space="1" w:color="0A7A2C"/>
          </w:rPr>
          <w:t>DC-21</w:t>
        </w:r>
        <w:r>
          <w:rPr>
            <w:rStyle w:val="Hyperlink"/>
          </w:rPr>
          <w:t xml:space="preserve">Sharing of Exterior Cost Within a Structure. The owners with… </w:t>
        </w:r>
        <w:r>
          <w:rPr>
            <w:rStyle w:val="Hyperlink"/>
            <w:i/>
          </w:rPr>
          <w:t>(inserted)</w:t>
        </w:r>
      </w:hyperlink>
      <w:r>
        <w:rPr/>
        <w:t xml:space="preserve"> </w:t>
      </w:r>
      <w:hyperlink w:anchor="chg-DC-22">
        <w:r>
          <w:rPr>
            <w:rStyle w:val="Hyperlink"/>
            <w:b/>
            <w:color w:val="0A7A2C"/>
            <w:sz w:val="16"/>
            <w:bdr w:val="single" w:sz="4" w:space="1" w:color="0A7A2C"/>
          </w:rPr>
          <w:t>DC-22</w:t>
        </w:r>
        <w:r>
          <w:rPr>
            <w:rStyle w:val="Hyperlink"/>
          </w:rPr>
          <w:t xml:space="preserve">Improvements and Betterments. Any exterior improvement, bett… </w:t>
        </w:r>
        <w:r>
          <w:rPr>
            <w:rStyle w:val="Hyperlink"/>
            <w:i/>
          </w:rPr>
          <w:t>(inserted)</w:t>
        </w:r>
      </w:hyperlink>
      <w:r>
        <w:rPr/>
        <w:t xml:space="preserve"> </w:t>
      </w:r>
      <w:hyperlink w:anchor="chg-DC-23">
        <w:r>
          <w:rPr>
            <w:rStyle w:val="Hyperlink"/>
            <w:b/>
            <w:color w:val="0A7A2C"/>
            <w:sz w:val="16"/>
            <w:bdr w:val="single" w:sz="4" w:space="1" w:color="0A7A2C"/>
          </w:rPr>
          <w:t>DC-23</w:t>
        </w:r>
        <w:r>
          <w:rPr>
            <w:rStyle w:val="Hyperlink"/>
          </w:rPr>
          <w:t xml:space="preserve">Interior. The interior of each unit is that owner's responsi… </w:t>
        </w:r>
        <w:r>
          <w:rPr>
            <w:rStyle w:val="Hyperlink"/>
            <w:i/>
          </w:rPr>
          <w:t>(inserted)</w:t>
        </w:r>
      </w:hyperlink>
      <w:r>
        <w:rPr/>
        <w:t xml:space="preserve"> </w:t>
      </w:r>
      <w:hyperlink w:anchor="chg-DC-24">
        <w:r>
          <w:rPr>
            <w:rStyle w:val="Hyperlink"/>
            <w:b/>
            <w:color w:val="0A7A2C"/>
            <w:sz w:val="16"/>
            <w:bdr w:val="single" w:sz="4" w:space="1" w:color="0A7A2C"/>
          </w:rPr>
          <w:t>DC-24</w:t>
        </w:r>
        <w:r>
          <w:rPr>
            <w:rStyle w:val="Hyperlink"/>
          </w:rPr>
          <w:t xml:space="preserve">Association Role. (a) The Association maintains the Common… </w:t>
        </w:r>
        <w:r>
          <w:rPr>
            <w:rStyle w:val="Hyperlink"/>
            <w:i/>
          </w:rPr>
          <w:t>(inserted)</w:t>
        </w:r>
      </w:hyperlink>
      <w:r>
        <w:rPr/>
        <w:t xml:space="preserve"> </w:t>
      </w:r>
      <w:hyperlink w:anchor="chg-DC-25">
        <w:r>
          <w:rPr>
            <w:rStyle w:val="Hyperlink"/>
            <w:b/>
            <w:color w:val="0A7A2C"/>
            <w:sz w:val="16"/>
            <w:bdr w:val="single" w:sz="4" w:space="1" w:color="0A7A2C"/>
          </w:rPr>
          <w:t>DC-25</w:t>
        </w:r>
        <w:r>
          <w:rPr>
            <w:rStyle w:val="Hyperlink"/>
          </w:rPr>
          <w:t xml:space="preserve">Resolution of Disagreements and Maintenance Failures Within… </w:t>
        </w:r>
        <w:r>
          <w:rPr>
            <w:rStyle w:val="Hyperlink"/>
            <w:i/>
          </w:rPr>
          <w:t>(inserted)</w:t>
        </w:r>
      </w:hyperlink>
      <w:r>
        <w:rPr/>
        <w:t xml:space="preserve"> </w:t>
      </w:r>
    </w:p>
    <w:p>
      <w:pPr>
        <w:pStyle w:val="Heading2"/>
        <w:bidi w:val="0"/>
        <w:jc w:val="left"/>
        <w:rPr/>
      </w:pPr>
      <w:r>
        <w:rPr/>
        <w:t>ARTICLE VIII — PARTY WALLS</w:t>
      </w:r>
    </w:p>
    <w:p>
      <w:pPr>
        <w:pStyle w:val="BodyText"/>
        <w:bidi w:val="0"/>
        <w:ind w:hanging="0" w:left="80" w:right="80"/>
        <w:rPr/>
      </w:pPr>
      <w:hyperlink w:anchor="chg-DC-26">
        <w:r>
          <w:rPr>
            <w:rStyle w:val="Hyperlink"/>
            <w:b/>
            <w:color w:val="0A7A2C"/>
            <w:sz w:val="16"/>
            <w:bdr w:val="single" w:sz="4" w:space="1" w:color="0A7A2C"/>
          </w:rPr>
          <w:t>DC-26</w:t>
        </w:r>
        <w:r>
          <w:rPr>
            <w:rStyle w:val="Hyperlink"/>
          </w:rPr>
          <w:t xml:space="preserve">Sharing of Repair and Maintenance. The cost of reasonable re… </w:t>
        </w:r>
        <w:r>
          <w:rPr>
            <w:rStyle w:val="Hyperlink"/>
            <w:i/>
          </w:rPr>
          <w:t>(modified)</w:t>
        </w:r>
      </w:hyperlink>
      <w:r>
        <w:rPr/>
        <w:t xml:space="preserve"> </w:t>
      </w:r>
    </w:p>
    <w:p>
      <w:pPr>
        <w:pStyle w:val="Heading2"/>
        <w:bidi w:val="0"/>
        <w:jc w:val="left"/>
        <w:rPr/>
      </w:pPr>
      <w:r>
        <w:rPr/>
        <w:t>ARTICLE X — MORTGAGES</w:t>
      </w:r>
    </w:p>
    <w:p>
      <w:pPr>
        <w:pStyle w:val="BodyText"/>
        <w:bidi w:val="0"/>
        <w:ind w:hanging="0" w:left="80" w:right="80"/>
        <w:rPr/>
      </w:pPr>
      <w:hyperlink w:anchor="chg-DC-27">
        <w:r>
          <w:rPr>
            <w:rStyle w:val="Hyperlink"/>
            <w:b/>
            <w:color w:val="0A7A2C"/>
            <w:sz w:val="16"/>
            <w:bdr w:val="single" w:sz="4" w:space="1" w:color="0A7A2C"/>
          </w:rPr>
          <w:t>DC-27</w:t>
        </w:r>
        <w:r>
          <w:rPr>
            <w:rStyle w:val="Hyperlink"/>
          </w:rPr>
          <w:t xml:space="preserve">Definitions. As used in this Article, "Mortgage" means a rec… </w:t>
        </w:r>
        <w:r>
          <w:rPr>
            <w:rStyle w:val="Hyperlink"/>
            <w:i/>
          </w:rPr>
          <w:t>(modified)</w:t>
        </w:r>
      </w:hyperlink>
      <w:r>
        <w:rPr/>
        <w:t xml:space="preserve"> </w:t>
      </w:r>
      <w:hyperlink w:anchor="chg-DC-28">
        <w:r>
          <w:rPr>
            <w:rStyle w:val="Hyperlink"/>
            <w:b/>
            <w:color w:val="0A7A2C"/>
            <w:sz w:val="16"/>
            <w:bdr w:val="single" w:sz="4" w:space="1" w:color="0A7A2C"/>
          </w:rPr>
          <w:t>DC-28</w:t>
        </w:r>
        <w:r>
          <w:rPr>
            <w:rStyle w:val="Hyperlink"/>
          </w:rPr>
          <w:t xml:space="preserve">Owner Responsibility for Mortgagee Consents and Notices. Eac… </w:t>
        </w:r>
        <w:r>
          <w:rPr>
            <w:rStyle w:val="Hyperlink"/>
            <w:i/>
          </w:rPr>
          <w:t>(inserted)</w:t>
        </w:r>
      </w:hyperlink>
      <w:r>
        <w:rPr/>
        <w:t xml:space="preserve"> </w:t>
      </w:r>
      <w:hyperlink w:anchor="chg-DC-29">
        <w:r>
          <w:rPr>
            <w:rStyle w:val="Hyperlink"/>
            <w:b/>
            <w:color w:val="0A7A2C"/>
            <w:sz w:val="16"/>
            <w:bdr w:val="single" w:sz="4" w:space="1" w:color="0A7A2C"/>
          </w:rPr>
          <w:t>DC-29</w:t>
        </w:r>
        <w:r>
          <w:rPr>
            <w:rStyle w:val="Hyperlink"/>
          </w:rPr>
          <w:t xml:space="preserve">Subordination of Assessment Lien. The lien of assessments is… </w:t>
        </w:r>
        <w:r>
          <w:rPr>
            <w:rStyle w:val="Hyperlink"/>
            <w:i/>
          </w:rPr>
          <w:t>(inserted)</w:t>
        </w:r>
      </w:hyperlink>
      <w:r>
        <w:rPr/>
        <w:t xml:space="preserve"> </w:t>
      </w:r>
      <w:hyperlink w:anchor="chg-DC-32">
        <w:r>
          <w:rPr>
            <w:rStyle w:val="Hyperlink"/>
            <w:b/>
            <w:color w:val="0A7A2C"/>
            <w:sz w:val="16"/>
            <w:bdr w:val="single" w:sz="4" w:space="1" w:color="0A7A2C"/>
          </w:rPr>
          <w:t>DC-32</w:t>
        </w:r>
        <w:r>
          <w:rPr>
            <w:rStyle w:val="Hyperlink"/>
          </w:rPr>
          <w:t xml:space="preserve">Consent to Termination of the Association. Except with respe… </w:t>
        </w:r>
        <w:r>
          <w:rPr>
            <w:rStyle w:val="Hyperlink"/>
            <w:i/>
          </w:rPr>
          <w:t>(modified)</w:t>
        </w:r>
      </w:hyperlink>
      <w:r>
        <w:rPr/>
        <w:t xml:space="preserve"> </w:t>
      </w:r>
      <w:hyperlink w:anchor="chg-DC-36">
        <w:r>
          <w:rPr>
            <w:rStyle w:val="Hyperlink"/>
            <w:b/>
            <w:color w:val="0A7A2C"/>
            <w:sz w:val="16"/>
            <w:bdr w:val="single" w:sz="4" w:space="1" w:color="0A7A2C"/>
          </w:rPr>
          <w:t>DC-36</w:t>
        </w:r>
        <w:r>
          <w:rPr>
            <w:rStyle w:val="Hyperlink"/>
          </w:rPr>
          <w:t xml:space="preserve">Right to Receive Written Notice of Meetings. A holder of a f… </w:t>
        </w:r>
        <w:r>
          <w:rPr>
            <w:rStyle w:val="Hyperlink"/>
            <w:i/>
          </w:rPr>
          <w:t>(modified)</w:t>
        </w:r>
      </w:hyperlink>
      <w:r>
        <w:rPr/>
        <w:t xml:space="preserve"> </w:t>
      </w:r>
    </w:p>
    <w:p>
      <w:pPr>
        <w:pStyle w:val="Heading2"/>
        <w:bidi w:val="0"/>
        <w:jc w:val="left"/>
        <w:rPr/>
      </w:pPr>
      <w:r>
        <w:rPr/>
        <w:t>ARTICLE XI — RIGHT OF ENTRY, EASEMENTS, ENCROACHMENTS</w:t>
      </w:r>
    </w:p>
    <w:p>
      <w:pPr>
        <w:pStyle w:val="BodyText"/>
        <w:bidi w:val="0"/>
        <w:ind w:hanging="0" w:left="80" w:right="80"/>
        <w:rPr/>
      </w:pPr>
      <w:hyperlink w:anchor="chg-DC-37">
        <w:r>
          <w:rPr>
            <w:rStyle w:val="Hyperlink"/>
            <w:b/>
            <w:color w:val="0A7A2C"/>
            <w:sz w:val="16"/>
            <w:bdr w:val="single" w:sz="4" w:space="1" w:color="0A7A2C"/>
          </w:rPr>
          <w:t>DC-37</w:t>
        </w:r>
        <w:r>
          <w:rPr>
            <w:rStyle w:val="Hyperlink"/>
          </w:rPr>
          <w:t xml:space="preserve">Encroachments. Each unit shall have an easement over all adj… </w:t>
        </w:r>
        <w:r>
          <w:rPr>
            <w:rStyle w:val="Hyperlink"/>
            <w:i/>
          </w:rPr>
          <w:t>(modified)</w:t>
        </w:r>
      </w:hyperlink>
      <w:r>
        <w:rPr/>
        <w:t xml:space="preserve"> </w:t>
      </w:r>
      <w:hyperlink w:anchor="chg-DC-38">
        <w:r>
          <w:rPr>
            <w:rStyle w:val="Hyperlink"/>
            <w:b/>
            <w:color w:val="0A7A2C"/>
            <w:sz w:val="16"/>
            <w:bdr w:val="single" w:sz="4" w:space="1" w:color="0A7A2C"/>
          </w:rPr>
          <w:t>DC-38</w:t>
        </w:r>
        <w:r>
          <w:rPr>
            <w:rStyle w:val="Hyperlink"/>
          </w:rPr>
          <w:t xml:space="preserve">Utility Easements. There is hereby created a blanket easemen… </w:t>
        </w:r>
        <w:r>
          <w:rPr>
            <w:rStyle w:val="Hyperlink"/>
            <w:i/>
          </w:rPr>
          <w:t>(modified)</w:t>
        </w:r>
      </w:hyperlink>
      <w:r>
        <w:rPr/>
        <w:t xml:space="preserve"> </w:t>
      </w:r>
    </w:p>
    <w:p>
      <w:pPr>
        <w:pStyle w:val="Heading2"/>
        <w:bidi w:val="0"/>
        <w:jc w:val="left"/>
        <w:rPr/>
      </w:pPr>
      <w:r>
        <w:rPr/>
        <w:t>ARTICLE XII — GENERAL PROVISIONS</w:t>
      </w:r>
    </w:p>
    <w:p>
      <w:pPr>
        <w:pStyle w:val="BodyText"/>
        <w:bidi w:val="0"/>
        <w:ind w:hanging="0" w:left="80" w:right="80"/>
        <w:rPr/>
        <w:sectPr>
          <w:headerReference w:type="default" r:id="rId10"/>
          <w:headerReference w:type="first" r:id="rId11"/>
          <w:footerReference w:type="default" r:id="rId12"/>
          <w:footerReference w:type="first" r:id="rId13"/>
          <w:type w:val="nextPage"/>
          <w:pgSz w:w="11906" w:h="16838"/>
          <w:pgMar w:left="1440" w:right="1440" w:gutter="0" w:header="0" w:top="1440" w:footer="0" w:bottom="1440"/>
          <w:pgNumType w:fmt="decimal"/>
          <w:formProt w:val="false"/>
          <w:titlePg/>
          <w:textDirection w:val="lrTb"/>
          <w:docGrid w:type="default" w:linePitch="600" w:charSpace="36864"/>
        </w:sectPr>
      </w:pPr>
      <w:hyperlink w:anchor="chg-DC-39">
        <w:r>
          <w:rPr>
            <w:rStyle w:val="Hyperlink"/>
            <w:b/>
            <w:color w:val="0A7A2C"/>
            <w:sz w:val="16"/>
            <w:bdr w:val="single" w:sz="4" w:space="1" w:color="0A7A2C"/>
          </w:rPr>
          <w:t>DC-39</w:t>
        </w:r>
        <w:r>
          <w:rPr>
            <w:rStyle w:val="Hyperlink"/>
          </w:rPr>
          <w:t xml:space="preserve">Severability. Invalidation of any one of these covenants or… </w:t>
        </w:r>
        <w:r>
          <w:rPr>
            <w:rStyle w:val="Hyperlink"/>
            <w:i/>
          </w:rPr>
          <w:t>(modified)</w:t>
        </w:r>
      </w:hyperlink>
      <w:r>
        <w:rPr/>
        <w:t xml:space="preserve"> </w:t>
      </w:r>
      <w:hyperlink w:anchor="chg-DC-40">
        <w:r>
          <w:rPr>
            <w:rStyle w:val="Hyperlink"/>
            <w:b/>
            <w:color w:val="0A7A2C"/>
            <w:sz w:val="16"/>
            <w:bdr w:val="single" w:sz="4" w:space="1" w:color="0A7A2C"/>
          </w:rPr>
          <w:t>DC-40</w:t>
        </w:r>
        <w:r>
          <w:rPr>
            <w:rStyle w:val="Hyperlink"/>
          </w:rPr>
          <w:t xml:space="preserve">Amendment. The covenants and restrictions of this Declaratio… </w:t>
        </w:r>
        <w:r>
          <w:rPr>
            <w:rStyle w:val="Hyperlink"/>
            <w:i/>
          </w:rPr>
          <w:t>(modified)</w:t>
        </w:r>
      </w:hyperlink>
      <w:r>
        <w:rPr/>
        <w:t xml:space="preserve"> </w:t>
      </w:r>
      <w:hyperlink w:anchor="chg-DC-41">
        <w:r>
          <w:rPr>
            <w:rStyle w:val="Hyperlink"/>
            <w:b/>
            <w:color w:val="0A7A2C"/>
            <w:sz w:val="16"/>
            <w:bdr w:val="single" w:sz="4" w:space="1" w:color="0A7A2C"/>
          </w:rPr>
          <w:t>DC-41</w:t>
        </w:r>
        <w:r>
          <w:rPr>
            <w:rStyle w:val="Hyperlink"/>
          </w:rPr>
          <w:t xml:space="preserve">Termination of Association. Except with respect to terminati… </w:t>
        </w:r>
        <w:r>
          <w:rPr>
            <w:rStyle w:val="Hyperlink"/>
            <w:i/>
          </w:rPr>
          <w:t>(modified)</w:t>
        </w:r>
      </w:hyperlink>
      <w:r>
        <w:rPr/>
        <w:t xml:space="preserve"> </w:t>
      </w:r>
    </w:p>
    <w:p>
      <w:pPr>
        <w:jc w:val="center"/>
        <w:sectPr>
          <w:headerReference w:type="default" r:id="rId6"/>
          <w:headerReference w:type="first" r:id="rId7"/>
          <w:footerReference w:type="default" r:id="rId8"/>
          <w:footerReference w:type="first" r:id="rId9"/>
          <w:type w:val="nextPage"/>
          <w:pgSz w:w="11906" w:h="16838"/>
          <w:pgMar w:left="1440" w:right="1440" w:gutter="0" w:header="0" w:top="1440" w:footer="0" w:bottom="1440"/>
          <w:pgNumType w:fmt="decimal"/>
          <w:formProt w:val="false"/>
          <w:textDirection w:val="lrTb"/>
          <w:docGrid w:type="default" w:linePitch="600" w:charSpace="36864"/>
        </w:sectPr>
      </w:pPr>
      <w:r>
        <w:drawing>
          <wp:inline xmlns:a="http://schemas.openxmlformats.org/drawingml/2006/main">
            <wp:extent cx="6858000" cy="8875059"/>
            <wp:docPr id="1" name="Picture 1"/>
            <wp:cNvGraphicFramePr>
              <a:graphicFrameLocks noChangeAspect="1"/>
            </wp:cNvGraphicFramePr>
            <a:graphic>
              <a:graphicData uri="http://schemas.openxmlformats.org/drawingml/2006/picture">
                <pic:pic>
                  <pic:nvPicPr>
                    <pic:cNvPr id="0" name="AHOA-Declaration-CLEAN-Amended_v2026-08-20A_cover.png"/>
                    <pic:cNvPicPr/>
                  </pic:nvPicPr>
                  <pic:blipFill>
                    <a:blip r:embed="rId5"/>
                    <a:stretch>
                      <a:fillRect/>
                    </a:stretch>
                  </pic:blipFill>
                  <pic:spPr>
                    <a:xfrm>
                      <a:off x="0" y="0"/>
                      <a:ext cx="6858000" cy="8875059"/>
                    </a:xfrm>
                    <a:prstGeom prst="rect"/>
                  </pic:spPr>
                </pic:pic>
              </a:graphicData>
            </a:graphic>
          </wp:inline>
        </w:drawing>
      </w:r>
    </w:p>
    <w:p>
      <w:pPr>
        <w:pStyle w:val="Heading1"/>
        <w:bidi w:val="0"/>
        <w:rPr/>
      </w:pPr>
      <w:r>
        <w:rPr/>
        <w:t>THIRD AMENDMENT TO DECLARATION</w:t>
      </w:r>
    </w:p>
    <w:p>
      <w:pPr>
        <w:pStyle w:val="Heading1"/>
        <w:bidi w:val="0"/>
        <w:rPr/>
      </w:pPr>
      <w:r>
        <w:rPr/>
        <w:t>OF COVENANTS, CONDITIONS AND RESTRICTIONS</w:t>
      </w:r>
    </w:p>
    <w:p>
      <w:pPr>
        <w:pStyle w:val="Heading2"/>
        <w:bidi w:val="0"/>
        <w:jc w:val="left"/>
        <w:rPr/>
      </w:pPr>
      <w:r>
        <w:rPr/>
        <w:t>FOR ARMADALE TOWNHOMES</w:t>
      </w:r>
    </w:p>
    <w:p>
      <w:pPr>
        <w:pStyle w:val="BodyText"/>
        <w:bidi w:val="0"/>
        <w:rPr/>
      </w:pPr>
      <w:r>
        <w:rPr/>
        <w:t>THIS THIRD AMENDMENT TO THE DECLARATION OF COVENANTS, CONDITIONS AND RESTRICTIONS FOR ARMADALE TOWNHOMES is made on the date hereinafter set forth by the Armadale Townhomes Owners Association, an Oregon non-profit corporation, subject to the Declaration recorded in the deed records of Hood River County Records and Assessments as microfilm no. 921430 on May 12, 1992, the First Amendment to Declaration recorded in the deed records of Hood River County Records and Assessments as microfilm no. 20013894 on September 13, 2001, and the Second Amendment to Declaration recorded in the deed records of Hood River County Records and Assessments as fee nos. 2023-01359 and 2023-01361 on July 3, 2023.</w:t>
      </w:r>
    </w:p>
    <w:p>
      <w:pPr>
        <w:pStyle w:val="BodyText"/>
        <w:bidi w:val="0"/>
        <w:rPr/>
      </w:pPr>
      <w:r>
        <w:rPr/>
        <w:t>The Association, by and through the requisite vote of its members, amends the Declaration by replacing and restating it in its entirety as follows:</w:t>
      </w:r>
    </w:p>
    <w:p>
      <w:pPr>
        <w:pStyle w:val="Heading2"/>
        <w:bidi w:val="0"/>
        <w:jc w:val="left"/>
        <w:rPr/>
      </w:pPr>
      <w:r>
        <w:rPr/>
        <w:t>RECITALS</w:t>
      </w:r>
    </w:p>
    <w:p>
      <w:pPr>
        <w:pStyle w:val="BodyText"/>
        <w:bidi w:val="0"/>
        <w:rPr/>
      </w:pPr>
      <w:r>
        <w:rPr/>
        <w:t>Pursuant to Article XII, Section 3 of the Declaration, the Association desires to amend the Declaration by replacing and restating the Declaration as follows:</w:t>
      </w:r>
    </w:p>
    <w:p>
      <w:pPr>
        <w:pStyle w:val="BodyText"/>
        <w:bidi w:val="0"/>
        <w:rPr/>
      </w:pPr>
      <w:r>
        <w:rPr/>
        <w:t>Armadale Townhomes is a Class II planned community subject to ORS Ch. 94, as amended, whose adopted bylaws under ORS Ch. 94, as amended, must be and are recorded in the County Records. The Association is the owner of certain property in the City of Hood River, County of Hood River, State of Oregon, according to the duly filed plat of ARMADALE TOWNHOMES, filed June 4, 1991, with the plat adjusted on February 6, 1997, and again on January 25, 2000, in the Records of Hood River County, Oregon.</w:t>
      </w:r>
    </w:p>
    <w:p>
      <w:pPr>
        <w:pStyle w:val="BodyText"/>
        <w:bidi w:val="0"/>
        <w:rPr/>
      </w:pPr>
      <w:r>
        <w:rPr/>
        <w:t>There are three residential buildings — one building containing three units with Tax Lots 2804, 2805 and 2806, and two buildings each containing two units with Tax Lots 2807, 2809, 2810 and 2812; the units in each building share common walls or party walls. Tax Lot 2801 is for use as the common area ("Common Area"). The Common Area is owned and maintained by the Association for the use and enjoyment of all of the owners.</w:t>
      </w:r>
    </w:p>
    <w:p>
      <w:pPr>
        <w:pStyle w:val="BodyText"/>
        <w:bidi w:val="0"/>
        <w:rPr/>
      </w:pPr>
      <w:r>
        <w:rPr/>
        <w:t>The Association hereby declares that all of said real property described above shall be held, sold and conveyed subject to the following easements, restrictions, covenants and conditions, which are for the purpose of protecting the value and desirability of, and which shall run with, the real property and be binding on all parties having any right, title or interest in the described properties or any part thereof, their heirs, successors and assigns, and shall inure to the benefit of each owner thereof.</w:t>
      </w:r>
    </w:p>
    <w:p>
      <w:pPr>
        <w:pStyle w:val="Heading2"/>
        <w:bidi w:val="0"/>
        <w:jc w:val="left"/>
        <w:rPr/>
      </w:pPr>
      <w:r>
        <w:rPr/>
        <w:t>ARTICLE I</w:t>
      </w:r>
    </w:p>
    <w:p>
      <w:pPr>
        <w:pStyle w:val="Heading3"/>
        <w:bidi w:val="0"/>
        <w:jc w:val="left"/>
        <w:rPr/>
      </w:pPr>
      <w:r>
        <w:rPr/>
        <w:t>DEFINITIONS</w:t>
      </w:r>
    </w:p>
    <w:p>
      <w:pPr>
        <w:pStyle w:val="BodyText"/>
        <w:bidi w:val="0"/>
        <w:rPr/>
      </w:pPr>
      <w:r>
        <w:rPr>
          <w:rStyle w:val="Strong"/>
        </w:rPr>
        <w:t>Section 1.</w:t>
      </w:r>
      <w:r>
        <w:rPr/>
        <w:t xml:space="preserve"> "Association" means the Armadale Townhomes Owners Association, an Oregon nonprofit corporation.</w:t>
      </w:r>
    </w:p>
    <w:p>
      <w:pPr>
        <w:pStyle w:val="BodyTextsection-hl"/>
        <w:bidi w:val="0"/>
        <w:ind w:hanging="0" w:left="120" w:right="120"/>
        <w:rPr/>
      </w:pPr>
      <w:r>
        <w:rPr>
          <w:rStyle w:val="Strong"/>
        </w:rPr>
        <w:t>Section 2.</w:t>
      </w:r>
      <w:r>
        <w:rPr/>
        <w:t xml:space="preserve"> </w:t>
      </w:r>
      <w:bookmarkStart w:id="0" w:name="chg-DC-01"/>
      <w:bookmarkEnd w:id="0"/>
      <w:r>
        <w:rPr>
          <w:b/>
          <w:color w:val="0A7A2C"/>
          <w:sz w:val="16"/>
          <w:bdr w:val="single" w:sz="4" w:space="1" w:color="0A7A2C"/>
        </w:rPr>
        <w:t>DC-01</w:t>
      </w:r>
      <w:r>
        <w:rPr/>
        <w:t xml:space="preserve"> "Owner" means the legal owner or contract purchaser of any tax lot which is a part of the </w:t>
      </w:r>
      <w:r>
        <w:rPr>
          <w:b/>
          <w:color w:val="0A7A2C"/>
          <w:u w:val="single"/>
        </w:rPr>
        <w:t>properties,</w:t>
      </w:r>
      <w:r>
        <w:rPr/>
        <w:t xml:space="preserve"> but excluding those having such interest merely as security for the performance of an obligation.</w:t>
      </w:r>
    </w:p>
    <w:p>
      <w:pPr>
        <w:pStyle w:val="BodyText"/>
        <w:bidi w:val="0"/>
        <w:rPr/>
      </w:pPr>
      <w:r>
        <w:rPr>
          <w:rStyle w:val="Strong"/>
        </w:rPr>
        <w:t>Section 3.</w:t>
      </w:r>
      <w:r>
        <w:rPr/>
        <w:t xml:space="preserve"> "Properties" means that certain real property hereinbefore described.</w:t>
      </w:r>
    </w:p>
    <w:p>
      <w:pPr>
        <w:pStyle w:val="BodyText"/>
        <w:bidi w:val="0"/>
        <w:rPr/>
      </w:pPr>
      <w:r>
        <w:rPr>
          <w:rStyle w:val="Strong"/>
        </w:rPr>
        <w:t>Section 4.</w:t>
      </w:r>
      <w:r>
        <w:rPr/>
        <w:t xml:space="preserve"> "Common Area" means all real property (including the improvements thereto) owned by the Association for the common use and enjoyment of the owners. The Common Area to be owned by the Association at the time of conveyance of the first unit is described as Tax Lot 2801 of the duly filed plat of ARMADALE TOWNHOMES.</w:t>
      </w:r>
    </w:p>
    <w:p>
      <w:pPr>
        <w:pStyle w:val="BodyText"/>
        <w:bidi w:val="0"/>
        <w:rPr/>
      </w:pPr>
      <w:r>
        <w:rPr>
          <w:rStyle w:val="Strong"/>
        </w:rPr>
        <w:t>Section 5.</w:t>
      </w:r>
      <w:r>
        <w:rPr/>
        <w:t xml:space="preserve"> "Unit" means one of the seven separate tax lots, designated 2804, 2805, 2806, 2807, 2809, 2810, and 2812, and includes any improvements thereon.</w:t>
      </w:r>
    </w:p>
    <w:p>
      <w:pPr>
        <w:pStyle w:val="BodyText"/>
        <w:bidi w:val="0"/>
        <w:rPr/>
      </w:pPr>
      <w:r>
        <w:rPr>
          <w:rStyle w:val="Strong"/>
        </w:rPr>
        <w:t>Section 6.</w:t>
      </w:r>
      <w:r>
        <w:rPr/>
        <w:t xml:space="preserve"> "Declaration" means this Declaration of Covenants, Conditions and Restrictions; "Articles of Incorporation" means those articles filed with the Oregon Corporation Commissioner's office for the Association; "Bylaws" means the bylaws adopted by the initial Board of Directors for the Association.</w:t>
      </w:r>
    </w:p>
    <w:p>
      <w:pPr>
        <w:pStyle w:val="BodyText"/>
        <w:bidi w:val="0"/>
        <w:rPr/>
      </w:pPr>
      <w:r>
        <w:rPr>
          <w:rStyle w:val="Strong"/>
        </w:rPr>
        <w:t>Section 7.</w:t>
      </w:r>
      <w:r>
        <w:rPr/>
        <w:t xml:space="preserve"> "Board of Directors" means the Board of Directors of the Association.</w:t>
      </w:r>
    </w:p>
    <w:p>
      <w:pPr>
        <w:pStyle w:val="BodyTextsection-hl"/>
        <w:bidi w:val="0"/>
        <w:ind w:hanging="0" w:left="120" w:right="120"/>
        <w:rPr/>
      </w:pPr>
      <w:r>
        <w:rPr>
          <w:rStyle w:val="Strong"/>
        </w:rPr>
        <w:t>Section 8.</w:t>
      </w:r>
      <w:r>
        <w:rPr/>
        <w:t xml:space="preserve"> </w:t>
      </w:r>
      <w:bookmarkStart w:id="1" w:name="chg-DC-02"/>
      <w:bookmarkEnd w:id="1"/>
      <w:r>
        <w:rPr>
          <w:b/>
          <w:color w:val="0A7A2C"/>
          <w:sz w:val="16"/>
          <w:bdr w:val="single" w:sz="4" w:space="1" w:color="0A7A2C"/>
        </w:rPr>
        <w:t>DC-02</w:t>
      </w:r>
      <w:r>
        <w:rPr/>
        <w:t xml:space="preserve"> </w:t>
      </w:r>
      <w:r>
        <w:rPr>
          <w:b/>
          <w:color w:val="0A7A2C"/>
          <w:u w:val="single"/>
        </w:rPr>
        <w:t>"Structure" means one of the three residential buildings comprising the properties, grouped by lot as follows: the Triplex (Lots 2804, 2805 and 2806); Duplex A (Lots 2807 and 2809); and Duplex B (Lots 2810 and 2812). The owners of the units within a Structure are collectively the "owners within that Structure" for purposes of the maintenance, repair, replacement, and cost-sharing provisions of this Declaration.</w:t>
      </w:r>
    </w:p>
    <w:p>
      <w:pPr>
        <w:pStyle w:val="BodyTextsection-hl"/>
        <w:bidi w:val="0"/>
        <w:ind w:hanging="0" w:left="120" w:right="120"/>
        <w:rPr/>
      </w:pPr>
      <w:r>
        <w:rPr>
          <w:rStyle w:val="Strong"/>
        </w:rPr>
        <w:t>Section 9.</w:t>
      </w:r>
      <w:r>
        <w:rPr/>
        <w:t xml:space="preserve"> </w:t>
      </w:r>
      <w:bookmarkStart w:id="2" w:name="chg-DC-03"/>
      <w:bookmarkEnd w:id="2"/>
      <w:r>
        <w:rPr>
          <w:b/>
          <w:color w:val="0A7A2C"/>
          <w:sz w:val="16"/>
          <w:bdr w:val="single" w:sz="4" w:space="1" w:color="0A7A2C"/>
        </w:rPr>
        <w:t>DC-03</w:t>
      </w:r>
      <w:r>
        <w:rPr/>
        <w:t xml:space="preserve"> </w:t>
      </w:r>
      <w:r>
        <w:rPr>
          <w:b/>
          <w:color w:val="0A7A2C"/>
          <w:u w:val="single"/>
        </w:rPr>
        <w:t>"Standard Unit" (the Original Building Standard) means each Structure as originally designed and constructed in accordance with the developer's original building plans and specifications, excluding any owner improvement, betterment, or modification above that original standard.</w:t>
      </w:r>
    </w:p>
    <w:p>
      <w:pPr>
        <w:pStyle w:val="Heading2"/>
        <w:bidi w:val="0"/>
        <w:jc w:val="left"/>
        <w:rPr/>
      </w:pPr>
      <w:r>
        <w:rPr/>
        <w:t>ARTICLE II</w:t>
      </w:r>
    </w:p>
    <w:p>
      <w:pPr>
        <w:pStyle w:val="Heading3"/>
        <w:bidi w:val="0"/>
        <w:jc w:val="left"/>
        <w:rPr/>
      </w:pPr>
      <w:r>
        <w:rPr/>
        <w:t>COMMON AREA</w:t>
      </w:r>
    </w:p>
    <w:p>
      <w:pPr>
        <w:pStyle w:val="BodyTextsection-hl"/>
        <w:bidi w:val="0"/>
        <w:ind w:hanging="0" w:left="120" w:right="120"/>
        <w:rPr/>
      </w:pPr>
      <w:r>
        <w:rPr>
          <w:rStyle w:val="Strong"/>
        </w:rPr>
        <w:t>Section 1.</w:t>
      </w:r>
      <w:r>
        <w:rPr/>
        <w:t xml:space="preserve"> </w:t>
      </w:r>
      <w:bookmarkStart w:id="3" w:name="chg-DC-04"/>
      <w:bookmarkEnd w:id="3"/>
      <w:r>
        <w:rPr>
          <w:b/>
          <w:color w:val="0A7A2C"/>
          <w:sz w:val="16"/>
          <w:bdr w:val="single" w:sz="4" w:space="1" w:color="0A7A2C"/>
        </w:rPr>
        <w:t>DC-04</w:t>
      </w:r>
      <w:r>
        <w:rPr/>
        <w:t xml:space="preserve"> Owners' Easements of Enjoyment. Every owner shall have a right and easement of enjoyment in and to the Common Area which shall be appurtenant to and shall pass with the title to every unit, subject to the following provisions:</w:t>
        <w:br/>
        <w:br/>
        <w:t>(a) The right of the Association to adopt reasonable rules and regulations for the use of the Common Area for the intended purpose.</w:t>
        <w:br/>
        <w:br/>
        <w:t xml:space="preserve">(b) The right of the Association to suspend the right of any owner to use the Common Area for any period during which any assessment against his unit remains unpaid and for a period not to exceed 60 days for any infraction of the Association's rules and </w:t>
      </w:r>
      <w:r>
        <w:rPr>
          <w:b/>
          <w:color w:val="0A7A2C"/>
          <w:u w:val="single"/>
        </w:rPr>
        <w:t>regulations;</w:t>
      </w:r>
      <w:r>
        <w:rPr/>
        <w:t xml:space="preserve"> provided, however, that the Association shall not prevent an owner from having access to the owner's unit.</w:t>
        <w:br/>
        <w:br/>
        <w:t xml:space="preserve">(c) The right of the Association to mortgage or dedicate or transfer all or any part of the Common Area to any public agency or authority or utility for such purposes and subject to such conditions as may be agreed to by the owners; provided, however, that no such mortgage, dedication </w:t>
      </w:r>
      <w:r>
        <w:rPr>
          <w:b/>
          <w:color w:val="0A7A2C"/>
          <w:u w:val="single"/>
        </w:rPr>
        <w:t xml:space="preserve">or </w:t>
      </w:r>
      <w:r>
        <w:rPr/>
        <w:t>transfer shall be effective unless an instrument agreeing to such mortgage, dedication or transfer of the Common Area has been recorded; provided, further, that any encumbrance, dedication, or transfer of the Common Area shall be subject to the owners' easement of use and enjoyment.</w:t>
      </w:r>
    </w:p>
    <w:p>
      <w:pPr>
        <w:pStyle w:val="BodyText"/>
        <w:bidi w:val="0"/>
        <w:rPr/>
      </w:pPr>
      <w:r>
        <w:rPr>
          <w:rStyle w:val="Strong"/>
        </w:rPr>
        <w:t>Section 2.</w:t>
      </w:r>
      <w:r>
        <w:rPr/>
        <w:t xml:space="preserve"> Delegation of Use. Any owner may delegate his right of enjoyment to the Common Area to the members of his family, his tenants, or his invitees.</w:t>
      </w:r>
    </w:p>
    <w:p>
      <w:pPr>
        <w:pStyle w:val="BodyTextsection-hl"/>
        <w:bidi w:val="0"/>
        <w:ind w:hanging="0" w:left="120" w:right="120"/>
        <w:rPr/>
      </w:pPr>
      <w:r>
        <w:rPr>
          <w:rStyle w:val="Strong"/>
        </w:rPr>
        <w:t>Section 3.</w:t>
      </w:r>
      <w:r>
        <w:rPr/>
        <w:t xml:space="preserve"> </w:t>
      </w:r>
      <w:bookmarkStart w:id="4" w:name="chg-DC-05"/>
      <w:bookmarkEnd w:id="4"/>
      <w:r>
        <w:rPr>
          <w:b/>
          <w:color w:val="0A7A2C"/>
          <w:sz w:val="16"/>
          <w:bdr w:val="single" w:sz="4" w:space="1" w:color="0A7A2C"/>
        </w:rPr>
        <w:t>DC-05</w:t>
      </w:r>
      <w:r>
        <w:rPr/>
        <w:t xml:space="preserve"> Maintenance by the Association. The Association shall maintain and repair the Common Area and any improvements thereon at the expense of the Association; </w:t>
      </w:r>
      <w:r>
        <w:rPr>
          <w:b/>
          <w:color w:val="0A7A2C"/>
          <w:u w:val="single"/>
        </w:rPr>
        <w:t>provided,</w:t>
      </w:r>
      <w:r>
        <w:rPr/>
        <w:t xml:space="preserve"> however, that in the event the need for repair or maintenance is caused through the willful or negligent acts of an owner, or through the willful or negligent acts of the family, guests or invitees of an owner, the Board of Directors may assess the owner for the cost of such maintenance or repair as a special assessment, which shall be added to and become part of the regular assessment to which the owner's unit and owner are subject.</w:t>
      </w:r>
    </w:p>
    <w:p>
      <w:pPr>
        <w:pStyle w:val="Heading2"/>
        <w:bidi w:val="0"/>
        <w:jc w:val="left"/>
        <w:rPr/>
      </w:pPr>
      <w:r>
        <w:rPr/>
        <w:t>ARTICLE III</w:t>
      </w:r>
    </w:p>
    <w:p>
      <w:pPr>
        <w:pStyle w:val="Heading3"/>
        <w:bidi w:val="0"/>
        <w:jc w:val="left"/>
        <w:rPr/>
      </w:pPr>
      <w:r>
        <w:rPr/>
        <w:t>USE OF THE PROPERTIES</w:t>
      </w:r>
    </w:p>
    <w:p>
      <w:pPr>
        <w:pStyle w:val="BodyText"/>
        <w:bidi w:val="0"/>
        <w:rPr/>
      </w:pPr>
      <w:r>
        <w:rPr>
          <w:rStyle w:val="Strong"/>
        </w:rPr>
        <w:t>Section 1.</w:t>
      </w:r>
      <w:r>
        <w:rPr/>
        <w:t xml:space="preserve"> Use of Units; Leases. All units shall be used for residential purposes only. No owner shall rent or lease his unit for less than 30 days. All rental or lease agreements shall be in writing and shall provide that the terms of the rental or lease agreement shall be subject in all respects to the provisions of the Declaration, Bylaws, and Articles of Incorporation and that any failure by the lessee to comply with the terms of such documents shall be a default under the rental or lease agreement.</w:t>
      </w:r>
    </w:p>
    <w:p>
      <w:pPr>
        <w:pStyle w:val="BodyTextsection-hl"/>
        <w:bidi w:val="0"/>
        <w:ind w:hanging="0" w:left="120" w:right="120"/>
        <w:rPr/>
      </w:pPr>
      <w:r>
        <w:rPr>
          <w:rStyle w:val="Strong"/>
        </w:rPr>
        <w:t>Section 2.</w:t>
      </w:r>
      <w:r>
        <w:rPr/>
        <w:t xml:space="preserve"> </w:t>
      </w:r>
      <w:bookmarkStart w:id="5" w:name="chg-DC-06"/>
      <w:bookmarkEnd w:id="5"/>
      <w:r>
        <w:rPr>
          <w:b/>
          <w:color w:val="0A7A2C"/>
          <w:sz w:val="16"/>
          <w:bdr w:val="single" w:sz="4" w:space="1" w:color="0A7A2C"/>
        </w:rPr>
        <w:t>DC-06</w:t>
      </w:r>
      <w:r>
        <w:rPr/>
        <w:t xml:space="preserve"> Rules of Conduct. The following rules and restrictions are in addition to all other restrictions and requirements contained in the Declaration and the Bylaws:</w:t>
        <w:br/>
        <w:br/>
        <w:t xml:space="preserve">(a) No animals or fowls shall be raised, kept or permitted within the properties, except that the owner of each unit may keep </w:t>
      </w:r>
      <w:r>
        <w:rPr>
          <w:b/>
          <w:color w:val="0A7A2C"/>
          <w:u w:val="single"/>
        </w:rPr>
        <w:t xml:space="preserve">no more than </w:t>
      </w:r>
      <w:r>
        <w:rPr/>
        <w:t xml:space="preserve">two </w:t>
      </w:r>
      <w:r>
        <w:rPr>
          <w:b/>
          <w:color w:val="0A7A2C"/>
          <w:u w:val="single"/>
        </w:rPr>
        <w:t xml:space="preserve">(2) </w:t>
      </w:r>
      <w:r>
        <w:rPr/>
        <w:t xml:space="preserve">common household </w:t>
      </w:r>
      <w:r>
        <w:rPr>
          <w:b/>
          <w:color w:val="0A7A2C"/>
          <w:u w:val="single"/>
        </w:rPr>
        <w:t xml:space="preserve">pets, such as dogs or cats, within a unit. No animals of any kind shall be kept, bred or raised for commercial purposes. Those owners keeping </w:t>
      </w:r>
      <w:r>
        <w:rPr/>
        <w:t xml:space="preserve">pets </w:t>
      </w:r>
      <w:r>
        <w:rPr>
          <w:b/>
          <w:color w:val="0A7A2C"/>
          <w:u w:val="single"/>
        </w:rPr>
        <w:t>shall abide by municipal sanitary regulations, leash laws, and rules or regulations promulgated by the Board of Directors. An owner may be required to remove</w:t>
      </w:r>
      <w:r>
        <w:rPr/>
        <w:t xml:space="preserve"> a </w:t>
      </w:r>
      <w:r>
        <w:rPr>
          <w:b/>
          <w:color w:val="0A7A2C"/>
          <w:u w:val="single"/>
        </w:rPr>
        <w:t>nuisance animal following written notice from the Board of Directors and an opportunity to cure. Notwithstanding the foregoing, nothing in this Section limits an owner's right to keep a service or assistance animal as a reasonable accommodation required</w:t>
      </w:r>
      <w:r>
        <w:rPr/>
        <w:t xml:space="preserve"> by </w:t>
      </w:r>
      <w:r>
        <w:rPr>
          <w:b/>
          <w:color w:val="0A7A2C"/>
          <w:u w:val="single"/>
        </w:rPr>
        <w:t>applicable fair-housing law.</w:t>
      </w:r>
      <w:r>
        <w:rPr/>
        <w:br/>
        <w:br/>
        <w:t>(b) No house trailers, motor homes, pickup campers, mobile homes, boats, motorcycles or like recreational vehicles shall be parked on the properties except within the confines of a garage. Owner vehicles that are for regular use that will not fit in the garage have to be parked on the cement pad in front of the owner's garage. The Common Area and the cement pads in front of the units are not to be used for storage of any type of vehicle. Guests can park the vehicles they arrived in on the lower parking level of the common area but only during the time they are visiting one of the owners.</w:t>
        <w:br/>
        <w:br/>
        <w:t>(c) No owner shall use the Common Area in such a manner so as to hinder the other owners' use and enjoyment of the Common Area.</w:t>
        <w:br/>
        <w:br/>
        <w:t xml:space="preserve">(d) No commercial activities of any kind shall be carried </w:t>
      </w:r>
      <w:r>
        <w:rPr>
          <w:b/>
          <w:color w:val="0A7A2C"/>
          <w:u w:val="single"/>
        </w:rPr>
        <w:t>on</w:t>
      </w:r>
      <w:r>
        <w:rPr/>
        <w:t xml:space="preserve"> in any unit </w:t>
      </w:r>
      <w:r>
        <w:rPr>
          <w:b/>
          <w:color w:val="0A7A2C"/>
          <w:u w:val="single"/>
        </w:rPr>
        <w:t>or</w:t>
      </w:r>
      <w:r>
        <w:rPr/>
        <w:t xml:space="preserve"> in any other portion of the properties, except activities relating to the sale or rental of units. This provision, however, shall not be construed so as to prevent or prohibit an owner from maintaining his professional personal library, keeping his personal business or professional records or accounts, handling his personal business or professional telephone </w:t>
      </w:r>
      <w:r>
        <w:rPr>
          <w:b/>
          <w:color w:val="0A7A2C"/>
          <w:u w:val="single"/>
        </w:rPr>
        <w:t>calls,</w:t>
      </w:r>
      <w:r>
        <w:rPr/>
        <w:t xml:space="preserve"> or occasionally conferring with business or professional associates in his unit.</w:t>
        <w:br/>
        <w:br/>
        <w:t xml:space="preserve">(e) </w:t>
      </w:r>
      <w:r>
        <w:rPr>
          <w:b/>
          <w:color w:val="0A7A2C"/>
          <w:u w:val="single"/>
        </w:rPr>
        <w:t xml:space="preserve">Owner maintenance responsibilities. </w:t>
      </w:r>
      <w:r>
        <w:rPr/>
        <w:t xml:space="preserve">Each owner </w:t>
      </w:r>
      <w:r>
        <w:rPr>
          <w:b/>
          <w:color w:val="0A7A2C"/>
          <w:u w:val="single"/>
        </w:rPr>
        <w:t>is responsible for maintaining, repairing, and replacing (i) the interior of that owner's unit — including interior walls and drywall, paint and finishes, flooring, cabinetry and built-ins, and the plumbing, electrical, mechanical/HVAC, water-heater, and appliance systems serving only that unit (including any heating or cooling equipment serving that unit, such as heat pumps or heat exchangers, even where located outside the unit); and (ii) the yard and landscaping within that owner's lot lines, provided that specific landscaping tasks (such as mowing) may instead be performed as a common expense shared by</w:t>
      </w:r>
      <w:r>
        <w:rPr/>
        <w:t xml:space="preserve"> all </w:t>
      </w:r>
      <w:r>
        <w:rPr>
          <w:b/>
          <w:color w:val="0A7A2C"/>
          <w:u w:val="single"/>
        </w:rPr>
        <w:t>owners when the owners so agree pursuant to Article V, Section 2(g). Maintenance of each building's</w:t>
      </w:r>
      <w:r>
        <w:rPr/>
        <w:t xml:space="preserve"> exterior </w:t>
      </w:r>
      <w:r>
        <w:rPr>
          <w:b/>
          <w:color w:val="0A7A2C"/>
          <w:u w:val="single"/>
        </w:rPr>
        <w:t>structure is addressed in Article VII.</w:t>
      </w:r>
      <w:r>
        <w:rPr/>
        <w:br/>
        <w:br/>
        <w:t>(f) No owner shall place any objects on the deck or patio of the unit other than barbecues, furniture, hot tubs, and similar such items that are commonly placed on decks or patios.</w:t>
        <w:br/>
        <w:br/>
        <w:t xml:space="preserve">(g) In addition, the Board of Directors from time to time may adopt, modify, or revoke rules and regulations governing the conduct of persons and the operation and use of the properties as it may deem necessary or appropriate in order to assure the peaceful and orderly use and enjoyment of the properties. Such action may be modified by vote of not less than 75 percent </w:t>
      </w:r>
      <w:r>
        <w:rPr>
          <w:b/>
          <w:color w:val="0A7A2C"/>
          <w:u w:val="single"/>
        </w:rPr>
        <w:t xml:space="preserve">of the members voting in person or by proxy at a meeting duly called for this purpose. A copy of the rules and regulations, upon adoption, and a copy of </w:t>
      </w:r>
      <w:r>
        <w:rPr/>
        <w:t xml:space="preserve">each </w:t>
      </w:r>
      <w:r>
        <w:rPr>
          <w:b/>
          <w:color w:val="0A7A2C"/>
          <w:u w:val="single"/>
        </w:rPr>
        <w:t>amendment, modification or revocation thereof, shall be delivered</w:t>
      </w:r>
      <w:r>
        <w:rPr/>
        <w:t xml:space="preserve"> by </w:t>
      </w:r>
      <w:r>
        <w:rPr>
          <w:b/>
          <w:color w:val="0A7A2C"/>
          <w:u w:val="single"/>
        </w:rPr>
        <w:t>the Secretary promptly to each owner and shall be binding</w:t>
      </w:r>
      <w:r>
        <w:rPr/>
        <w:t xml:space="preserve"> upon all owners and occupants of all units from the date of delivery.</w:t>
      </w:r>
    </w:p>
    <w:p>
      <w:pPr>
        <w:pStyle w:val="Heading2"/>
        <w:bidi w:val="0"/>
        <w:jc w:val="left"/>
        <w:rPr/>
      </w:pPr>
      <w:r>
        <w:rPr/>
        <w:t>ARTICLE IV</w:t>
      </w:r>
    </w:p>
    <w:p>
      <w:pPr>
        <w:pStyle w:val="Heading3"/>
        <w:bidi w:val="0"/>
        <w:jc w:val="left"/>
        <w:rPr/>
      </w:pPr>
      <w:r>
        <w:rPr/>
        <w:t>MEMBERSHIP AND VOTING RIGHTS</w:t>
      </w:r>
    </w:p>
    <w:p>
      <w:pPr>
        <w:pStyle w:val="BodyTextsection-hl"/>
        <w:bidi w:val="0"/>
        <w:ind w:hanging="0" w:left="80" w:right="80"/>
        <w:rPr/>
      </w:pPr>
      <w:r>
        <w:rPr>
          <w:rStyle w:val="Strong"/>
        </w:rPr>
        <w:t>Section 1.</w:t>
      </w:r>
      <w:r>
        <w:rPr/>
        <w:t xml:space="preserve"> </w:t>
      </w:r>
      <w:bookmarkStart w:id="6" w:name="chg-DC-07"/>
      <w:bookmarkEnd w:id="6"/>
      <w:r>
        <w:rPr>
          <w:b/>
          <w:color w:val="0A7A2C"/>
          <w:sz w:val="16"/>
          <w:bdr w:val="single" w:sz="4" w:space="1" w:color="0A7A2C"/>
        </w:rPr>
        <w:t>DC-07</w:t>
      </w:r>
      <w:r>
        <w:rPr/>
        <w:t xml:space="preserve"> The Membership. Upon becoming the owner of a unit, the owner shall automatically be a member of the Association and shall remain a member until his ownership ceases for any reason. Membership shall be appurtenant to and may not be separated from ownership of the unit.</w:t>
      </w:r>
    </w:p>
    <w:p>
      <w:pPr>
        <w:pStyle w:val="BodyText"/>
        <w:bidi w:val="0"/>
        <w:rPr/>
      </w:pPr>
      <w:r>
        <w:rPr>
          <w:rStyle w:val="Strong"/>
        </w:rPr>
        <w:t>Section 2.</w:t>
      </w:r>
      <w:r>
        <w:rPr/>
        <w:t xml:space="preserve"> The Association shall have one class of voting membership.</w:t>
      </w:r>
    </w:p>
    <w:p>
      <w:pPr>
        <w:pStyle w:val="BodyText"/>
        <w:bidi w:val="0"/>
        <w:rPr/>
      </w:pPr>
      <w:r>
        <w:rPr/>
        <w:t>Class A. Class A members shall be all owners of a unit. Class A members shall be entitled to one vote for each unit owned. When more than one person holds an interest in a unit, all such persons shall be members. The vote for such unit shall be exercised as they determine; in the absence of written protest, any one Co-Owner may exercise the vote on behalf of all co-owners of the unit. In no event shall more than one vote be cast with respect to any one unit.</w:t>
      </w:r>
    </w:p>
    <w:p>
      <w:pPr>
        <w:pStyle w:val="Heading2"/>
        <w:bidi w:val="0"/>
        <w:jc w:val="left"/>
        <w:rPr/>
      </w:pPr>
      <w:r>
        <w:rPr/>
        <w:t>ARTICLE V</w:t>
      </w:r>
    </w:p>
    <w:p>
      <w:pPr>
        <w:pStyle w:val="Heading3"/>
        <w:bidi w:val="0"/>
        <w:jc w:val="left"/>
        <w:rPr/>
      </w:pPr>
      <w:r>
        <w:rPr/>
        <w:t>COVENANT FOR ASSESSMENTS</w:t>
      </w:r>
    </w:p>
    <w:p>
      <w:pPr>
        <w:pStyle w:val="BodyTextsection-hl"/>
        <w:bidi w:val="0"/>
        <w:ind w:hanging="0" w:left="120" w:right="120"/>
        <w:rPr/>
      </w:pPr>
      <w:r>
        <w:rPr>
          <w:rStyle w:val="Strong"/>
        </w:rPr>
        <w:t>Section 1.</w:t>
      </w:r>
      <w:r>
        <w:rPr/>
        <w:t xml:space="preserve"> </w:t>
      </w:r>
      <w:bookmarkStart w:id="7" w:name="chg-DC-08"/>
      <w:bookmarkEnd w:id="7"/>
      <w:r>
        <w:rPr>
          <w:b/>
          <w:color w:val="0A7A2C"/>
          <w:sz w:val="16"/>
          <w:bdr w:val="single" w:sz="4" w:space="1" w:color="0A7A2C"/>
        </w:rPr>
        <w:t>DC-08</w:t>
      </w:r>
      <w:r>
        <w:rPr/>
        <w:t xml:space="preserve"> Creation of the Lien and Personal Obligation of Assessments. Each owner of a </w:t>
      </w:r>
      <w:r>
        <w:rPr>
          <w:b/>
          <w:color w:val="0A7A2C"/>
          <w:u w:val="single"/>
        </w:rPr>
        <w:t xml:space="preserve">unit, by acceptance of a deed or a contract to convey title therefor, whether or not it shall be so expressed in such deed or contract, is deemed to covenant and agree to pay to the Association: (a) regular assessments or charges, and (b) special assessments, such assessments to be established and collected as hereinafter provided. The regular and special assessments, together with interest, late charges, costs, and attorney's fees, shall be a charge on the land and shall be a continuing lien upon the </w:t>
      </w:r>
      <w:r>
        <w:rPr/>
        <w:t xml:space="preserve">unit </w:t>
      </w:r>
      <w:r>
        <w:rPr>
          <w:b/>
          <w:color w:val="0A7A2C"/>
          <w:u w:val="single"/>
        </w:rPr>
        <w:t xml:space="preserve">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w:t>
      </w:r>
      <w:r>
        <w:rPr/>
        <w:t>by abandonment of his unit.</w:t>
      </w:r>
    </w:p>
    <w:p>
      <w:pPr>
        <w:pStyle w:val="BodyTextsection-hl"/>
        <w:bidi w:val="0"/>
        <w:ind w:hanging="0" w:left="120" w:right="120"/>
        <w:rPr/>
      </w:pPr>
      <w:r>
        <w:rPr>
          <w:rStyle w:val="Strong"/>
        </w:rPr>
        <w:t>Section 2.</w:t>
      </w:r>
      <w:r>
        <w:rPr/>
        <w:t xml:space="preserve"> </w:t>
      </w:r>
      <w:bookmarkStart w:id="8" w:name="chg-DC-09"/>
      <w:bookmarkEnd w:id="8"/>
      <w:r>
        <w:rPr>
          <w:b/>
          <w:color w:val="0A7A2C"/>
          <w:sz w:val="16"/>
          <w:bdr w:val="single" w:sz="4" w:space="1" w:color="0A7A2C"/>
        </w:rPr>
        <w:t>DC-09</w:t>
      </w:r>
      <w:r>
        <w:rPr/>
        <w:t xml:space="preserve"> Purpose of Assessments. The assessments levied by the Association shall be used exclusively to promote the health, safety, and welfare of the owners, to maintain and repair the Common </w:t>
      </w:r>
      <w:r>
        <w:rPr>
          <w:b/>
          <w:color w:val="0A7A2C"/>
          <w:u w:val="single"/>
        </w:rPr>
        <w:t>Area, to fund the Association's limited role under Article VII, and to pay the common expenses of the Association. Permanent maintenance, repair, and replacement of the Structures' exteriors is the responsibility of the owners</w:t>
      </w:r>
      <w:r>
        <w:rPr/>
        <w:t xml:space="preserve"> as provided </w:t>
      </w:r>
      <w:r>
        <w:rPr>
          <w:b/>
          <w:color w:val="0A7A2C"/>
          <w:u w:val="single"/>
        </w:rPr>
        <w:t>in Article VII, and is not a general</w:t>
      </w:r>
      <w:r>
        <w:rPr/>
        <w:t xml:space="preserve"> common </w:t>
      </w:r>
      <w:r>
        <w:rPr>
          <w:b/>
          <w:color w:val="0A7A2C"/>
          <w:u w:val="single"/>
        </w:rPr>
        <w:t xml:space="preserve">expense funded by Association-wide assessment except to the extent of the Association's limited backstop and emergency role described in that Article. Maintenance responsibility is separate from insurance coverage: the Association's master policy insures each Structure to the original building standard regardless of who performs the maintenance (Bylaws Article XII), while the owners' maintenance obligations are allocated as set out above and in Article VII. Common </w:t>
      </w:r>
      <w:r>
        <w:rPr/>
        <w:t xml:space="preserve">expenses </w:t>
      </w:r>
      <w:r>
        <w:rPr>
          <w:b/>
          <w:color w:val="0A7A2C"/>
          <w:u w:val="single"/>
        </w:rPr>
        <w:t>shall include:</w:t>
        <w:br/>
        <w:br/>
        <w:t>(a) Expenses of administration.</w:t>
        <w:br/>
        <w:br/>
        <w:t>(b) Expenses of maintenance and repair of the Common Area.</w:t>
        <w:br/>
        <w:br/>
        <w:t>(c) Cost of the Association's master-policy insurance premiums and bonds as provided in the Bylaws (a common expense). The owners' responsibility for the master-policy deductible, and each owner's own upgrade/betterment insurance, are not common expenses and are borne by the owners individually (ORS 94.685).</w:t>
        <w:br/>
        <w:br/>
        <w:t>(d) Costs of funding any reserves the Association elects to maintain, as provided in this Article; provided, however, that reserves are not required for a Class II planned community under ORS 94.570(2).</w:t>
        <w:br/>
        <w:br/>
        <w:t>(e) Any deficit in common expenses for any prior period.</w:t>
        <w:br/>
        <w:br/>
        <w:t xml:space="preserve">(f) Any other items properly chargeable as an expense </w:t>
      </w:r>
      <w:r>
        <w:rPr/>
        <w:t>of the Association.</w:t>
      </w:r>
      <w:r>
        <w:rPr>
          <w:b/>
          <w:color w:val="0A7A2C"/>
          <w:u w:val="single"/>
        </w:rPr>
        <w:br/>
        <w:br/>
        <w:t>(g) Any other items agreed upon as common</w:t>
      </w:r>
      <w:r>
        <w:rPr/>
        <w:t xml:space="preserve"> expenses by owners.</w:t>
      </w:r>
    </w:p>
    <w:p>
      <w:pPr>
        <w:pStyle w:val="BodyText"/>
        <w:bidi w:val="0"/>
        <w:rPr/>
      </w:pPr>
      <w:r>
        <w:rPr>
          <w:rStyle w:val="Strong"/>
        </w:rPr>
        <w:t>Section 3.</w:t>
      </w:r>
      <w:r>
        <w:rPr/>
        <w:t xml:space="preserve"> Regular Assessment. A regular assessment shall be levied each year in an amount estimated to pay all of the common expenses of the Association during the coming year or fiscal period. The budget and estimated assessment shall be determined by the Board of Directors. Account shall be taken of any expected income and any surplus available from the prior year's operations. If the sums budgeted and assessed prove inadequate for any reason (including an owner's failure to pay assessments for any reason), the Board of Directors may at any time levy a further assessment. The regular assessment may be made payable on a monthly, quarterly, or annual basis.</w:t>
      </w:r>
    </w:p>
    <w:p>
      <w:pPr>
        <w:pStyle w:val="BodyTextsection-hl"/>
        <w:bidi w:val="0"/>
        <w:ind w:hanging="0" w:left="120" w:right="120"/>
        <w:rPr/>
      </w:pPr>
      <w:r>
        <w:rPr>
          <w:rStyle w:val="Strong"/>
        </w:rPr>
        <w:t>Section 4.</w:t>
      </w:r>
      <w:r>
        <w:rPr/>
        <w:t xml:space="preserve"> </w:t>
      </w:r>
      <w:bookmarkStart w:id="9" w:name="chg-DC-10"/>
      <w:bookmarkEnd w:id="9"/>
      <w:r>
        <w:rPr>
          <w:b/>
          <w:color w:val="0A7A2C"/>
          <w:sz w:val="16"/>
          <w:bdr w:val="single" w:sz="4" w:space="1" w:color="0A7A2C"/>
        </w:rPr>
        <w:t>DC-10</w:t>
      </w:r>
      <w:r>
        <w:rPr/>
        <w:t xml:space="preserve"> Special Assessments for Capital Improvements. In addition to the regular assessments authorized above, the Association may levy, in any assessment year, a special assessment applicable to that year only for the purpose of defraying, in whole or in part, the cost of any construction, reconstruction, repair or replacement of a capital improvement upon the properties, provided that any such assessment shall have the assent of at least 75 percent of the members voting in person or by </w:t>
      </w:r>
      <w:r>
        <w:rPr>
          <w:b/>
          <w:color w:val="0A7A2C"/>
          <w:u w:val="single"/>
        </w:rPr>
        <w:t>proxy</w:t>
      </w:r>
      <w:r>
        <w:rPr/>
        <w:t xml:space="preserve"> at a meeting duly called for this purpose. The special assessment may be made payable on a monthly, quarterly, or annual basis.</w:t>
      </w:r>
    </w:p>
    <w:p>
      <w:pPr>
        <w:pStyle w:val="BodyText"/>
        <w:bidi w:val="0"/>
        <w:rPr/>
      </w:pPr>
      <w:r>
        <w:rPr>
          <w:rStyle w:val="Strong"/>
        </w:rPr>
        <w:t>Section 5.</w:t>
      </w:r>
      <w:r>
        <w:rPr/>
        <w:t xml:space="preserve"> Rate of Assessment. Except as otherwise provided in this Declaration, both regular and special assessments shall be fixed at a uniform rate for all buildings. The assessment for units in the buildings with three (3) residential units per building shall be fixed at one third (1/3) of the rate of assessment for the building. The assessment for units in the buildings with two (2) residential units per building shall be fixed at one half (1/2) of the rate of assessment for the building.</w:t>
      </w:r>
    </w:p>
    <w:p>
      <w:pPr>
        <w:pStyle w:val="BodyTextsection-hl"/>
        <w:bidi w:val="0"/>
        <w:ind w:hanging="0" w:left="120" w:right="120"/>
        <w:rPr/>
      </w:pPr>
      <w:r>
        <w:rPr>
          <w:rStyle w:val="Strong"/>
        </w:rPr>
        <w:t>Section 6.</w:t>
      </w:r>
      <w:r>
        <w:rPr/>
        <w:t xml:space="preserve"> </w:t>
      </w:r>
      <w:bookmarkStart w:id="10" w:name="chg-DC-11"/>
      <w:bookmarkEnd w:id="10"/>
      <w:r>
        <w:rPr>
          <w:b/>
          <w:color w:val="0A7A2C"/>
          <w:sz w:val="16"/>
          <w:bdr w:val="single" w:sz="4" w:space="1" w:color="0A7A2C"/>
        </w:rPr>
        <w:t>DC-11</w:t>
      </w:r>
      <w:r>
        <w:rPr/>
        <w:t xml:space="preserve"> </w:t>
      </w:r>
      <w:r>
        <w:rPr>
          <w:b/>
          <w:color w:val="0A7A2C"/>
          <w:u w:val="single"/>
        </w:rPr>
        <w:t>Allocation of Common Profits. Any common profits or surplus remaining after the common expenses for a fiscal year are paid shall be applied to the common expenses of the following year and retained by the Association for common purposes. No owner is entitled to any payment, distribution, or refund. (ORS 94.580(2)(i).)</w:t>
      </w:r>
    </w:p>
    <w:p>
      <w:pPr>
        <w:pStyle w:val="BodyTextsection-hl"/>
        <w:bidi w:val="0"/>
        <w:ind w:hanging="0" w:left="80" w:right="80"/>
        <w:rPr/>
      </w:pPr>
      <w:r>
        <w:rPr>
          <w:rStyle w:val="Strong"/>
        </w:rPr>
        <w:t>Section 7.</w:t>
      </w:r>
      <w:r>
        <w:rPr/>
        <w:t xml:space="preserve"> </w:t>
      </w:r>
      <w:bookmarkStart w:id="11" w:name="chg-DC-12"/>
      <w:bookmarkEnd w:id="11"/>
      <w:r>
        <w:rPr>
          <w:b/>
          <w:color w:val="0A7A2C"/>
          <w:sz w:val="16"/>
          <w:bdr w:val="single" w:sz="4" w:space="1" w:color="0A7A2C"/>
        </w:rPr>
        <w:t>DC-12</w:t>
      </w:r>
      <w:r>
        <w:rPr/>
        <w:t xml:space="preserve"> Subordination of the Lien to Mortgages. The lien of the assessments provided for herein shall be subordinate to the lien of any first mortgage which was recorded before the assessment became due. The sale or transfer of any unit shall not affect the assessment lien. However, the sale or transfer of any unit pursuant to the foreclosure of a first mortgage with priority over the lien shall extinguish the lien of such assessments as to payments which became due prior to such sale or transfer, and such unpaid expenses or assessments shall be deemed a common expense of the Association. No sale or transfer shall relieve such unit from liability for any assessments thereafter becoming due or from the lien thereof.</w:t>
        <w:br/>
        <w:br/>
        <w:t>Junior lienholders or purchasers who acquire title to a unit as a result of foreclosure of such junior lien shall take title subject to the lien of any unpaid assessments.</w:t>
        <w:br/>
        <w:br/>
        <w:t>In a voluntary conveyance of a unit, the grantee shall take title subject to the lien of any unpaid assessments.</w:t>
      </w:r>
    </w:p>
    <w:p>
      <w:pPr>
        <w:pStyle w:val="Heading2"/>
        <w:bidi w:val="0"/>
        <w:jc w:val="left"/>
        <w:rPr/>
      </w:pPr>
      <w:r>
        <w:rPr/>
        <w:t>ARTICLE VI</w:t>
      </w:r>
    </w:p>
    <w:p>
      <w:pPr>
        <w:pStyle w:val="Heading3"/>
        <w:bidi w:val="0"/>
        <w:jc w:val="left"/>
        <w:rPr/>
      </w:pPr>
      <w:r>
        <w:rPr/>
        <w:t>COLLECTION OF ASSESSMENT; ENFORCEMENT</w:t>
      </w:r>
    </w:p>
    <w:p>
      <w:pPr>
        <w:pStyle w:val="BodyText"/>
        <w:bidi w:val="0"/>
        <w:rPr/>
      </w:pPr>
      <w:r>
        <w:rPr>
          <w:rStyle w:val="Strong"/>
        </w:rPr>
        <w:t>Section 1.</w:t>
      </w:r>
      <w:r>
        <w:rPr/>
        <w:t xml:space="preserve"> Compliance With Declaration, Bylaws, Rules and Regulations. Each owner shall comply with the Declaration, Bylaws, and rules and regulations adopted pursuant thereto.</w:t>
      </w:r>
    </w:p>
    <w:p>
      <w:pPr>
        <w:pStyle w:val="BodyTextsection-hl"/>
        <w:bidi w:val="0"/>
        <w:ind w:hanging="0" w:left="120" w:right="120"/>
        <w:rPr/>
      </w:pPr>
      <w:r>
        <w:rPr>
          <w:rStyle w:val="Strong"/>
        </w:rPr>
        <w:t>Section 2.</w:t>
      </w:r>
      <w:r>
        <w:rPr/>
        <w:t xml:space="preserve"> </w:t>
      </w:r>
      <w:bookmarkStart w:id="12" w:name="chg-DC-13"/>
      <w:bookmarkEnd w:id="12"/>
      <w:r>
        <w:rPr>
          <w:b/>
          <w:color w:val="0A7A2C"/>
          <w:sz w:val="16"/>
          <w:bdr w:val="single" w:sz="4" w:space="1" w:color="0A7A2C"/>
        </w:rPr>
        <w:t>DC-13</w:t>
      </w:r>
      <w:r>
        <w:rPr/>
        <w:t xml:space="preserve"> Authority to Enforce and Collect. The Board of Directors shall take prompt action against any violator to enforce the provisions of the Declaration, Bylaws, </w:t>
      </w:r>
      <w:r>
        <w:rPr>
          <w:b/>
          <w:color w:val="0A7A2C"/>
          <w:u w:val="single"/>
        </w:rPr>
        <w:t xml:space="preserve">and rules and </w:t>
      </w:r>
      <w:r>
        <w:rPr/>
        <w:t>regulations adopted pursuant thereto, including prompt action to collect any unpaid assessment.</w:t>
      </w:r>
      <w:r>
        <w:rPr>
          <w:color w:val="0A7A2C"/>
          <w:u w:val="single"/>
        </w:rPr>
        <w:t xml:space="preserve"> </w:t>
      </w:r>
      <w:r>
        <w:rPr>
          <w:b/>
          <w:color w:val="0A7A2C"/>
          <w:u w:val="single"/>
        </w:rPr>
        <w:t>In doing so, the Board may exercise</w:t>
      </w:r>
      <w:r>
        <w:rPr/>
        <w:t xml:space="preserve"> one or more of the remedies, separately or concurrently, specified in the Declaration or Bylaws, as well as any other remedies which may be available at law. In addition, any aggrieved owner may bring an action by appropriate legal proceedings to recover damages or to enjoin, abate, or remedy any noncompliance or breach.</w:t>
      </w:r>
    </w:p>
    <w:p>
      <w:pPr>
        <w:pStyle w:val="BodyTextsection-hl"/>
        <w:bidi w:val="0"/>
        <w:ind w:hanging="0" w:left="120" w:right="120"/>
        <w:rPr/>
      </w:pPr>
      <w:r>
        <w:rPr>
          <w:rStyle w:val="Strong"/>
        </w:rPr>
        <w:t>Section 3.</w:t>
      </w:r>
      <w:r>
        <w:rPr/>
        <w:t xml:space="preserve"> </w:t>
      </w:r>
      <w:bookmarkStart w:id="13" w:name="chg-DC-14"/>
      <w:bookmarkEnd w:id="13"/>
      <w:r>
        <w:rPr>
          <w:b/>
          <w:color w:val="0A7A2C"/>
          <w:sz w:val="16"/>
          <w:bdr w:val="single" w:sz="4" w:space="1" w:color="0A7A2C"/>
        </w:rPr>
        <w:t>DC-14</w:t>
      </w:r>
      <w:r>
        <w:rPr/>
        <w:t xml:space="preserve"> Abatement and Enjoining of Violations. In the event an owner violates provisions of the Declaration, Bylaws, or any rules or regulations adopted pursuant thereto, the Board of Directors shall have the right to:</w:t>
        <w:br/>
        <w:br/>
        <w:t xml:space="preserve">(a) Enter the Common Area or the lot in which or as to which such violation exists and summarily abate and remove, at the expense of the defaulting owner, any thing or condition that may exist therein contrary to the intent and meaning of the </w:t>
      </w:r>
      <w:r>
        <w:rPr>
          <w:b/>
          <w:color w:val="0A7A2C"/>
          <w:u w:val="single"/>
        </w:rPr>
        <w:t xml:space="preserve">provisions hereof, and the Board shall not thereby be deemed in any manner guilty of trespass; provided, that the Board may not use this </w:t>
      </w:r>
      <w:r>
        <w:rPr/>
        <w:t xml:space="preserve">provision to </w:t>
      </w:r>
      <w:r>
        <w:rPr>
          <w:b/>
          <w:color w:val="0A7A2C"/>
          <w:u w:val="single"/>
        </w:rPr>
        <w:t xml:space="preserve">abate or remove new </w:t>
      </w:r>
      <w:r>
        <w:rPr/>
        <w:t>construction; or</w:t>
        <w:br/>
        <w:br/>
        <w:t xml:space="preserve">(b) Enjoin, abate, or remedy such thing or condition, including removal or alteration of </w:t>
      </w:r>
      <w:r>
        <w:rPr>
          <w:b/>
          <w:color w:val="0A7A2C"/>
          <w:u w:val="single"/>
        </w:rPr>
        <w:t>construction,</w:t>
      </w:r>
      <w:r>
        <w:rPr/>
        <w:t xml:space="preserve"> by appropriate legal proceedings.</w:t>
      </w:r>
    </w:p>
    <w:p>
      <w:pPr>
        <w:pStyle w:val="BodyTextsection-hl"/>
        <w:bidi w:val="0"/>
        <w:ind w:hanging="0" w:left="120" w:right="120"/>
        <w:rPr/>
      </w:pPr>
      <w:r>
        <w:rPr>
          <w:rStyle w:val="Strong"/>
        </w:rPr>
        <w:t>Section 4.</w:t>
      </w:r>
      <w:r>
        <w:rPr/>
        <w:t xml:space="preserve"> </w:t>
      </w:r>
      <w:bookmarkStart w:id="14" w:name="chg-DC-15"/>
      <w:bookmarkEnd w:id="14"/>
      <w:r>
        <w:rPr>
          <w:b/>
          <w:color w:val="0A7A2C"/>
          <w:sz w:val="16"/>
          <w:bdr w:val="single" w:sz="4" w:space="1" w:color="0A7A2C"/>
        </w:rPr>
        <w:t>DC-15</w:t>
      </w:r>
      <w:r>
        <w:rPr/>
        <w:t xml:space="preserve"> Interest; Late Charges; Fines. Interest shall accrue on any assessment or portion thereof not paid when due at </w:t>
      </w:r>
      <w:r>
        <w:rPr>
          <w:b/>
          <w:color w:val="0A7A2C"/>
          <w:u w:val="single"/>
        </w:rPr>
        <w:t>a</w:t>
      </w:r>
      <w:r>
        <w:rPr/>
        <w:t xml:space="preserve"> rate </w:t>
      </w:r>
      <w:r>
        <w:rPr>
          <w:b/>
          <w:color w:val="0A7A2C"/>
          <w:u w:val="single"/>
        </w:rPr>
        <w:t>set</w:t>
      </w:r>
      <w:r>
        <w:rPr/>
        <w:t xml:space="preserve"> </w:t>
      </w:r>
      <w:r>
        <w:rPr>
          <w:b/>
          <w:color w:val="0A7A2C"/>
          <w:u w:val="single"/>
        </w:rPr>
        <w:t>by</w:t>
      </w:r>
      <w:r>
        <w:rPr/>
        <w:t xml:space="preserve"> </w:t>
      </w:r>
      <w:r>
        <w:rPr>
          <w:b/>
          <w:color w:val="0A7A2C"/>
          <w:u w:val="single"/>
        </w:rPr>
        <w:t>the</w:t>
      </w:r>
      <w:r>
        <w:rPr/>
        <w:t xml:space="preserve"> </w:t>
      </w:r>
      <w:r>
        <w:rPr>
          <w:b/>
          <w:color w:val="0A7A2C"/>
          <w:u w:val="single"/>
        </w:rPr>
        <w:t>Board</w:t>
      </w:r>
      <w:r>
        <w:rPr/>
        <w:t xml:space="preserve"> </w:t>
      </w:r>
      <w:r>
        <w:rPr>
          <w:b/>
          <w:color w:val="0A7A2C"/>
          <w:u w:val="single"/>
        </w:rPr>
        <w:t>from time to time, not to exceed the maximum rate permitted by Oregon law,</w:t>
      </w:r>
      <w:r>
        <w:rPr/>
        <w:t xml:space="preserve"> until paid. The Board of Directors may, if it deems appropriate, impose charges for late payments of assessments and, after giving notice and an opportunity to be heard, levy reasonable fines against the owner for violations of the Declaration, Bylaws, and rules and regulations adopted pursuant thereto.</w:t>
      </w:r>
    </w:p>
    <w:p>
      <w:pPr>
        <w:pStyle w:val="BodyTextsection-hl"/>
        <w:bidi w:val="0"/>
        <w:ind w:hanging="0" w:left="120" w:right="120"/>
        <w:rPr/>
      </w:pPr>
      <w:r>
        <w:rPr>
          <w:rStyle w:val="Strong"/>
        </w:rPr>
        <w:t>Section 5.</w:t>
      </w:r>
      <w:r>
        <w:rPr/>
        <w:t xml:space="preserve"> </w:t>
      </w:r>
      <w:bookmarkStart w:id="15" w:name="chg-DC-16"/>
      <w:bookmarkEnd w:id="15"/>
      <w:r>
        <w:rPr>
          <w:b/>
          <w:color w:val="0A7A2C"/>
          <w:sz w:val="16"/>
          <w:bdr w:val="single" w:sz="4" w:space="1" w:color="0A7A2C"/>
        </w:rPr>
        <w:t>DC-16</w:t>
      </w:r>
      <w:r>
        <w:rPr/>
        <w:t xml:space="preserve"> Acceleration of Assessment. In the event that an owner fails to pay any installment of an assessment when it is due, the Board may, after ten days' written notice, declare the entire amount of the unpaid annual or fiscal period assessment </w:t>
      </w:r>
      <w:r>
        <w:rPr>
          <w:b/>
          <w:color w:val="0A7A2C"/>
          <w:u w:val="single"/>
        </w:rPr>
        <w:t>immediately due and payable,</w:t>
      </w:r>
      <w:r>
        <w:rPr/>
        <w:t xml:space="preserve"> and interest </w:t>
      </w:r>
      <w:r>
        <w:rPr>
          <w:b/>
          <w:color w:val="0A7A2C"/>
          <w:u w:val="single"/>
        </w:rPr>
        <w:t>thereon</w:t>
      </w:r>
      <w:r>
        <w:rPr/>
        <w:t xml:space="preserve"> shall accrue on the entire assessment at </w:t>
      </w:r>
      <w:r>
        <w:rPr>
          <w:b/>
          <w:color w:val="0A7A2C"/>
          <w:u w:val="single"/>
        </w:rPr>
        <w:t>a</w:t>
      </w:r>
      <w:r>
        <w:rPr/>
        <w:t xml:space="preserve"> </w:t>
      </w:r>
      <w:r>
        <w:rPr>
          <w:b/>
          <w:color w:val="0A7A2C"/>
          <w:u w:val="single"/>
        </w:rPr>
        <w:t>rate</w:t>
      </w:r>
      <w:r>
        <w:rPr/>
        <w:t xml:space="preserve"> </w:t>
      </w:r>
      <w:r>
        <w:rPr>
          <w:b/>
          <w:color w:val="0A7A2C"/>
          <w:u w:val="single"/>
        </w:rPr>
        <w:t>set</w:t>
      </w:r>
      <w:r>
        <w:rPr/>
        <w:t xml:space="preserve"> </w:t>
      </w:r>
      <w:r>
        <w:rPr>
          <w:b/>
          <w:color w:val="0A7A2C"/>
          <w:u w:val="single"/>
        </w:rPr>
        <w:t>by the Board from time to time, not to exceed the maximum rate permitted by Oregon law,</w:t>
      </w:r>
      <w:r>
        <w:rPr/>
        <w:t xml:space="preserve"> until paid.</w:t>
      </w:r>
    </w:p>
    <w:p>
      <w:pPr>
        <w:pStyle w:val="BodyTextsection-hl"/>
        <w:bidi w:val="0"/>
        <w:ind w:hanging="0" w:left="120" w:right="120"/>
        <w:rPr/>
      </w:pPr>
      <w:r>
        <w:rPr>
          <w:rStyle w:val="Strong"/>
        </w:rPr>
        <w:t>Section 6.</w:t>
      </w:r>
      <w:r>
        <w:rPr/>
        <w:t xml:space="preserve"> </w:t>
      </w:r>
      <w:bookmarkStart w:id="16" w:name="chg-DC-17"/>
      <w:bookmarkEnd w:id="16"/>
      <w:r>
        <w:rPr>
          <w:b/>
          <w:color w:val="0A7A2C"/>
          <w:sz w:val="16"/>
          <w:bdr w:val="single" w:sz="4" w:space="1" w:color="0A7A2C"/>
        </w:rPr>
        <w:t>DC-17</w:t>
      </w:r>
      <w:r>
        <w:rPr/>
        <w:t xml:space="preserve"> Recordation and Duration of Lien; Foreclosure of Lien Against Unit; Appointment of Receiver; Power to Bid at Foreclosure Sale. In addition to regular and </w:t>
      </w:r>
      <w:r>
        <w:rPr>
          <w:b/>
          <w:color w:val="0A7A2C"/>
          <w:u w:val="single"/>
        </w:rPr>
        <w:t xml:space="preserve">special assessments </w:t>
      </w:r>
      <w:r>
        <w:rPr/>
        <w:t xml:space="preserve">unpaid pursuant to this Article, the Association may enforce its collection by foreclosure of the assessment lien on the unit in the manner provided for the foreclosure of mortgages. Within thirty days after the date on which any unpaid assessment was first delinquent, the Association may make and record a notice of claim of lien. The claim shall be signed and verified by an officer or agent of the Association and shall contain at least the following information: the name of the unit owner, if known to the Association, or, if not known, a statement that the name is unknown; the description of the unit; the amount of the unpaid assessment; the date when due; the amount remaining unpaid; and a statement that the claim of lien is made by the Association pursuant to this Declaration. The recording of a notice of claim of lien shall not constitute the exclusive means of perfecting and enforcing liens, and recordation of a claim shall in no way affect any foreclosure or other enforcement of a lien provided for in this Declaration. Such recordation shall not be required as a prerequisite or condition to bringing any action to recover a money judgment for unpaid assessments, nor shall the absence of any such recordation impair or otherwise affect a defendant owner's right to </w:t>
      </w:r>
      <w:r>
        <w:rPr>
          <w:b/>
          <w:color w:val="0A7A2C"/>
          <w:u w:val="single"/>
        </w:rPr>
        <w:t>assert,</w:t>
      </w:r>
      <w:r>
        <w:rPr/>
        <w:t xml:space="preserve"> as an offset or counterclaim, the failure of the Association to comply with this section.</w:t>
        <w:br/>
        <w:br/>
        <w:t xml:space="preserve">The proceeding to foreclose the lien shall conform as nearly as possible to the proceedings to foreclose liens created by ORS 87.010, except </w:t>
      </w:r>
      <w:r>
        <w:rPr>
          <w:b/>
          <w:color w:val="0A7A2C"/>
          <w:u w:val="single"/>
        </w:rPr>
        <w:t>that,</w:t>
      </w:r>
      <w:r>
        <w:rPr/>
        <w:t xml:space="preserve"> notwithstanding ORS 87.055, a lien may be continued in force for a period of time not to exceed six (6) years from the date the lien is filed. </w:t>
      </w:r>
      <w:r>
        <w:rPr>
          <w:b/>
          <w:color w:val="0A7A2C"/>
          <w:u w:val="single"/>
        </w:rPr>
        <w:t>If any subsequent unpaid assessment remains unpaid six (6) years from</w:t>
      </w:r>
      <w:r>
        <w:rPr/>
        <w:t xml:space="preserve"> the date the claim was filed, the </w:t>
      </w:r>
      <w:r>
        <w:rPr>
          <w:b/>
          <w:color w:val="0A7A2C"/>
          <w:u w:val="single"/>
        </w:rPr>
        <w:t xml:space="preserve">Association may bring an action to enforce the lien and proceed to foreclosure as in the case of any other mortgage and lien; the owner shall be liable for the costs of the </w:t>
      </w:r>
      <w:r>
        <w:rPr/>
        <w:t xml:space="preserve">Association, </w:t>
      </w:r>
      <w:r>
        <w:rPr>
          <w:b/>
          <w:color w:val="0A7A2C"/>
          <w:u w:val="single"/>
        </w:rPr>
        <w:t xml:space="preserve">including reasonable rental for the unit. The plaintiff in such foreclosure suit shall be entitled to the appointment of a receiver to collect the rent. The Board of Directors, </w:t>
      </w:r>
      <w:r>
        <w:rPr/>
        <w:t xml:space="preserve">acting on behalf of the Association, </w:t>
      </w:r>
      <w:r>
        <w:rPr>
          <w:b/>
          <w:color w:val="0A7A2C"/>
          <w:u w:val="single"/>
        </w:rPr>
        <w:t>shall have the power to bid on the unit at the</w:t>
      </w:r>
      <w:r>
        <w:rPr/>
        <w:t xml:space="preserve"> foreclosure </w:t>
      </w:r>
      <w:r>
        <w:rPr>
          <w:b/>
          <w:color w:val="0A7A2C"/>
          <w:u w:val="single"/>
        </w:rPr>
        <w:t>sale, and to acquire and hold, lease,</w:t>
      </w:r>
      <w:r>
        <w:rPr/>
        <w:t xml:space="preserve"> mortgage and </w:t>
      </w:r>
      <w:r>
        <w:rPr>
          <w:b/>
          <w:color w:val="0A7A2C"/>
          <w:u w:val="single"/>
        </w:rPr>
        <w:t>convey the same,</w:t>
      </w:r>
      <w:r>
        <w:rPr/>
        <w:t xml:space="preserve"> on behalf of the Association.</w:t>
      </w:r>
    </w:p>
    <w:p>
      <w:pPr>
        <w:pStyle w:val="BodyTextsection-hl"/>
        <w:bidi w:val="0"/>
        <w:ind w:hanging="0" w:left="80" w:right="80"/>
        <w:rPr/>
      </w:pPr>
      <w:r>
        <w:rPr>
          <w:rStyle w:val="Strong"/>
        </w:rPr>
        <w:t>Section 7.</w:t>
      </w:r>
      <w:r>
        <w:rPr/>
        <w:t xml:space="preserve"> </w:t>
      </w:r>
      <w:bookmarkStart w:id="17" w:name="chg-DC-18"/>
      <w:bookmarkEnd w:id="17"/>
      <w:r>
        <w:rPr>
          <w:b/>
          <w:color w:val="0A7A2C"/>
          <w:sz w:val="16"/>
          <w:bdr w:val="single" w:sz="4" w:space="1" w:color="0A7A2C"/>
        </w:rPr>
        <w:t>DC-18</w:t>
      </w:r>
      <w:r>
        <w:rPr/>
        <w:t xml:space="preserve"> Action to Obtain and Recover a Money Judgment. The Board of Directors may bring an action to obtain a money judgment against an owner for damages for the owner's breach or noncompliance with the provisions of the Declaration, Bylaws, or rules and regulations adopted pursuant thereto.</w:t>
      </w:r>
    </w:p>
    <w:p>
      <w:pPr>
        <w:pStyle w:val="BodyText"/>
        <w:bidi w:val="0"/>
        <w:rPr/>
      </w:pPr>
      <w:r>
        <w:rPr>
          <w:rStyle w:val="Strong"/>
        </w:rPr>
        <w:t>Section 8.</w:t>
      </w:r>
      <w:r>
        <w:rPr/>
        <w:t xml:space="preserve"> Collection Costs; Attorneys' Fees. Owners who fail to pay assessments when due shall be obligated to pay actual fees and costs including, but not limited to, attorneys' fees incurred in connection with the Board of Directors' efforts to collect the delinquent or unpaid assessments, whether or not suit is commenced. In the event the Board of Directors commences suit or action for the collection of any amounts due or for action to enforce the provisions of the Declaration, Bylaws, or rules and regulations adopted pursuant thereto, the defendant owner or owners, jointly and severally, will be liable for the costs of such suit or action, including reasonable attorneys' fees to be fixed by the court or courts, both at trial and on appeal, in addition to all other sums or obligations.</w:t>
      </w:r>
    </w:p>
    <w:p>
      <w:pPr>
        <w:pStyle w:val="BodyTextsection-hl"/>
        <w:bidi w:val="0"/>
        <w:ind w:hanging="0" w:left="120" w:right="120"/>
        <w:rPr/>
      </w:pPr>
      <w:r>
        <w:rPr>
          <w:rStyle w:val="Strong"/>
        </w:rPr>
        <w:t>Section 9.</w:t>
      </w:r>
      <w:r>
        <w:rPr/>
        <w:t xml:space="preserve"> </w:t>
      </w:r>
      <w:bookmarkStart w:id="18" w:name="chg-DC-19"/>
      <w:bookmarkEnd w:id="18"/>
      <w:r>
        <w:rPr>
          <w:b/>
          <w:color w:val="0A7A2C"/>
          <w:sz w:val="16"/>
          <w:bdr w:val="single" w:sz="4" w:space="1" w:color="0A7A2C"/>
        </w:rPr>
        <w:t>DC-19</w:t>
      </w:r>
      <w:r>
        <w:rPr/>
        <w:t xml:space="preserve"> </w:t>
      </w:r>
      <w:r>
        <w:rPr>
          <w:b/>
          <w:color w:val="0A7A2C"/>
          <w:u w:val="single"/>
        </w:rPr>
        <w:t>Professional Management. The Board of Directors may employ a professional manager to manage the affairs of the Association, or the Association may self-manage its affairs. Any agreement for professional management shall be consistent with the Bylaws.</w:t>
      </w:r>
    </w:p>
    <w:p>
      <w:pPr>
        <w:pStyle w:val="Heading2"/>
        <w:bidi w:val="0"/>
        <w:jc w:val="left"/>
        <w:rPr/>
      </w:pPr>
      <w:r>
        <w:rPr/>
        <w:t>ARTICLE VII</w:t>
      </w:r>
    </w:p>
    <w:p>
      <w:pPr>
        <w:pStyle w:val="Heading3"/>
        <w:bidi w:val="0"/>
        <w:jc w:val="left"/>
        <w:rPr/>
      </w:pPr>
      <w:r>
        <w:rPr/>
        <w:t>EXTERIOR MAINTENANCE</w:t>
      </w:r>
    </w:p>
    <w:p>
      <w:pPr>
        <w:pStyle w:val="BodyTextsection-hl"/>
        <w:bidi w:val="0"/>
        <w:ind w:hanging="0" w:left="120" w:right="120"/>
        <w:rPr/>
      </w:pPr>
      <w:r>
        <w:rPr>
          <w:rStyle w:val="Strong"/>
        </w:rPr>
        <w:t>Section 1.</w:t>
      </w:r>
      <w:r>
        <w:rPr/>
        <w:t xml:space="preserve"> </w:t>
      </w:r>
      <w:bookmarkStart w:id="19" w:name="chg-DC-20"/>
      <w:bookmarkEnd w:id="19"/>
      <w:r>
        <w:rPr>
          <w:b/>
          <w:color w:val="0A7A2C"/>
          <w:sz w:val="16"/>
          <w:bdr w:val="single" w:sz="4" w:space="1" w:color="0A7A2C"/>
        </w:rPr>
        <w:t>DC-20</w:t>
      </w:r>
      <w:r>
        <w:rPr/>
        <w:t xml:space="preserve"> </w:t>
      </w:r>
      <w:r>
        <w:rPr>
          <w:b/>
          <w:color w:val="0A7A2C"/>
          <w:u w:val="single"/>
        </w:rPr>
        <w:t>Owner Responsibility for Structure Exterior. The owners within each Structure are collectively responsible for the maintenance, repair, and replacement of that Structure's exterior envelope to the original building standard (the Standard Unit), including but not limited to the roof, siding, exterior paint, original exterior windows and doors, and structural components. The Association's master policy separately insures this Structure exterior to the original building standard; maintaining the exterior and insuring it are distinct responsibilities (see Bylaws Article XII).</w:t>
      </w:r>
    </w:p>
    <w:p>
      <w:pPr>
        <w:pStyle w:val="BodyTextsection-hl"/>
        <w:bidi w:val="0"/>
        <w:ind w:hanging="0" w:left="120" w:right="120"/>
        <w:rPr/>
      </w:pPr>
      <w:r>
        <w:rPr>
          <w:rStyle w:val="Strong"/>
        </w:rPr>
        <w:t>Section 2.</w:t>
      </w:r>
      <w:r>
        <w:rPr/>
        <w:t xml:space="preserve"> </w:t>
      </w:r>
      <w:bookmarkStart w:id="20" w:name="chg-DC-21"/>
      <w:bookmarkEnd w:id="20"/>
      <w:r>
        <w:rPr>
          <w:b/>
          <w:color w:val="0A7A2C"/>
          <w:sz w:val="16"/>
          <w:bdr w:val="single" w:sz="4" w:space="1" w:color="0A7A2C"/>
        </w:rPr>
        <w:t>DC-21</w:t>
      </w:r>
      <w:r>
        <w:rPr/>
        <w:t xml:space="preserve"> </w:t>
      </w:r>
      <w:r>
        <w:rPr>
          <w:b/>
          <w:color w:val="0A7A2C"/>
          <w:u w:val="single"/>
        </w:rPr>
        <w:t>Sharing of Exterior Cost Within a Structure. The owners within a Structure share the cost of the maintenance, repair, and replacement described in Section 1 equally: each unit in the Triplex bears one-third (1/3), and each unit in a Duplex bears one-half (1/2), of that Structure's exterior cost.</w:t>
      </w:r>
    </w:p>
    <w:p>
      <w:pPr>
        <w:pStyle w:val="BodyTextsection-hl"/>
        <w:bidi w:val="0"/>
        <w:ind w:hanging="0" w:left="120" w:right="120"/>
        <w:rPr/>
      </w:pPr>
      <w:r>
        <w:rPr>
          <w:rStyle w:val="Strong"/>
        </w:rPr>
        <w:t>Section 3.</w:t>
      </w:r>
      <w:r>
        <w:rPr/>
        <w:t xml:space="preserve"> </w:t>
      </w:r>
      <w:bookmarkStart w:id="21" w:name="chg-DC-22"/>
      <w:bookmarkEnd w:id="21"/>
      <w:r>
        <w:rPr>
          <w:b/>
          <w:color w:val="0A7A2C"/>
          <w:sz w:val="16"/>
          <w:bdr w:val="single" w:sz="4" w:space="1" w:color="0A7A2C"/>
        </w:rPr>
        <w:t>DC-22</w:t>
      </w:r>
      <w:r>
        <w:rPr/>
        <w:t xml:space="preserve"> </w:t>
      </w:r>
      <w:r>
        <w:rPr>
          <w:b/>
          <w:color w:val="0A7A2C"/>
          <w:u w:val="single"/>
        </w:rPr>
        <w:t>Improvements and Betterments. Any exterior improvement, betterment, or modification above the original building plan — including but not limited to an enclosed deck and the associated changes to siding, windows, or roofline — is the sole responsibility of the owner who owns or made it, for both maintenance and insurance.</w:t>
      </w:r>
    </w:p>
    <w:p>
      <w:pPr>
        <w:pStyle w:val="BodyTextsection-hl"/>
        <w:bidi w:val="0"/>
        <w:ind w:hanging="0" w:left="120" w:right="120"/>
        <w:rPr/>
      </w:pPr>
      <w:r>
        <w:rPr>
          <w:rStyle w:val="Strong"/>
        </w:rPr>
        <w:t>Section 4.</w:t>
      </w:r>
      <w:r>
        <w:rPr/>
        <w:t xml:space="preserve"> </w:t>
      </w:r>
      <w:bookmarkStart w:id="22" w:name="chg-DC-23"/>
      <w:bookmarkEnd w:id="22"/>
      <w:r>
        <w:rPr>
          <w:b/>
          <w:color w:val="0A7A2C"/>
          <w:sz w:val="16"/>
          <w:bdr w:val="single" w:sz="4" w:space="1" w:color="0A7A2C"/>
        </w:rPr>
        <w:t>DC-23</w:t>
      </w:r>
      <w:r>
        <w:rPr/>
        <w:t xml:space="preserve"> </w:t>
      </w:r>
      <w:r>
        <w:rPr>
          <w:b/>
          <w:color w:val="0A7A2C"/>
          <w:u w:val="single"/>
        </w:rPr>
        <w:t>Interior. The interior of each unit is that owner's responsibility, as provided in Article III, Section 2.</w:t>
      </w:r>
    </w:p>
    <w:p>
      <w:pPr>
        <w:pStyle w:val="BodyTextsection-hl"/>
        <w:bidi w:val="0"/>
        <w:ind w:hanging="0" w:left="120" w:right="120"/>
        <w:rPr/>
      </w:pPr>
      <w:r>
        <w:rPr>
          <w:rStyle w:val="Strong"/>
        </w:rPr>
        <w:t>Section 5.</w:t>
      </w:r>
      <w:r>
        <w:rPr/>
        <w:t xml:space="preserve"> </w:t>
      </w:r>
      <w:bookmarkStart w:id="23" w:name="chg-DC-24"/>
      <w:bookmarkEnd w:id="23"/>
      <w:r>
        <w:rPr>
          <w:b/>
          <w:color w:val="0A7A2C"/>
          <w:sz w:val="16"/>
          <w:bdr w:val="single" w:sz="4" w:space="1" w:color="0A7A2C"/>
        </w:rPr>
        <w:t>DC-24</w:t>
      </w:r>
      <w:r>
        <w:rPr/>
        <w:t xml:space="preserve"> </w:t>
      </w:r>
      <w:r>
        <w:rPr>
          <w:b/>
          <w:color w:val="0A7A2C"/>
          <w:u w:val="single"/>
        </w:rPr>
        <w:t>Association Role.</w:t>
        <w:br/>
        <w:br/>
        <w:t>(a) The Association maintains the Common Area as provided in Article II, Section 3.</w:t>
        <w:br/>
        <w:br/>
        <w:t>(b) In the event of an emergency repair needed to the exterior portion of a Structure, the Board of Directors may make temporary repairs to avoid further damage until the responsible owner or owners can make permanent repairs, and may assess the responsible owner or owners for the cost of such repair as a special assessment, which shall be added to and become part of the regular assessment to which such unit and owner are subject.</w:t>
        <w:br/>
        <w:br/>
        <w:t>(c) Backstop. If the owners within a Structure fail to perform the maintenance, repair, or replacement required under this Article, the Association may, after notice and an opportunity to be heard, perform the work and assess the cost exclusively against that Structure's owners (as permitted by ORS 94.704(6)), as a special assessment with lien rights, allocated among those owners on the cost-sharing basis set forth in Section 2.</w:t>
      </w:r>
    </w:p>
    <w:p>
      <w:pPr>
        <w:pStyle w:val="BodyTextsection-hl"/>
        <w:bidi w:val="0"/>
        <w:ind w:hanging="0" w:left="120" w:right="120"/>
        <w:rPr/>
      </w:pPr>
      <w:r>
        <w:rPr>
          <w:rStyle w:val="Strong"/>
        </w:rPr>
        <w:t>Section 6.</w:t>
      </w:r>
      <w:r>
        <w:rPr/>
        <w:t xml:space="preserve"> </w:t>
      </w:r>
      <w:bookmarkStart w:id="24" w:name="chg-DC-25"/>
      <w:bookmarkEnd w:id="24"/>
      <w:r>
        <w:rPr>
          <w:b/>
          <w:color w:val="0A7A2C"/>
          <w:sz w:val="16"/>
          <w:bdr w:val="single" w:sz="4" w:space="1" w:color="0A7A2C"/>
        </w:rPr>
        <w:t>DC-25</w:t>
      </w:r>
      <w:r>
        <w:rPr/>
        <w:t xml:space="preserve"> </w:t>
      </w:r>
      <w:r>
        <w:rPr>
          <w:b/>
          <w:color w:val="0A7A2C"/>
          <w:u w:val="single"/>
        </w:rPr>
        <w:t>Resolution of Disagreements and Maintenance Failures Within a Structure.</w:t>
        <w:br/>
        <w:br/>
        <w:t>(a) Decision by the Structure's owners. A decision whether to undertake, and how to carry out, any maintenance, repair, or replacement for which the owners within a Structure are collectively responsible under this Article shall be made by the owners holding more than one-half (1/2) of that Structure's cost-sharing responsibility under Section 2. Each owner within the Structure is bound to that owner's Section 2 share of the cost of any maintenance, repair, or replacement so decided, whether or not that owner concurred. In a Structure whose cost shares are held equally by two owners (each Duplex), no such majority can be formed when those owners disagree; in that event, and in any other case where the owners cannot form a majority, the matter is resolved by petition to the Board of Directors under subsection (b).</w:t>
        <w:br/>
        <w:br/>
        <w:t>(b) Grounds for Board involvement. Any owner within a Structure may petition the Board of Directors in writing, and the Board of Directors may also act on its own initiative, when: (i) the owners within the Structure are unable to reach a decision under subsection (a), including any Structure in which the cost shares are held equally by two owners; (ii) an owner disputes whether an item of maintenance, repair, or replacement is required; or (iii) one or more owners within the Structure are failing to perform maintenance, repair, or replacement required of them under this Article.</w:t>
        <w:br/>
        <w:br/>
        <w:t>(c) Board determination. Upon a petition or on its own initiative under subsection (b), the Board of Directors shall give the Structure's owners written notice and a reasonable opportunity to be heard, and shall then determine whether the maintenance, repair, or replacement is reasonably necessary to maintain the exterior of the Structure to the standard required by this Article. The determination is limited to that question and does not extend to matters of aesthetic preference among the owners. If the Board of Directors determines the work is reasonably necessary, it shall so notify the owners and direct that the work be performed within a stated, reasonable time.</w:t>
        <w:br/>
        <w:br/>
        <w:t>(d) Association performance and assessment. If the Structure's owners fail to perform work directed by the Board of Directors under subsection (c) within the time stated, the Association may perform the work and assess the cost exclusively against that Structure's owners (as permitted by ORS 94.704(6)), as a special assessment with lien rights, allocated among those owners on the cost-sharing basis set forth in Section 2.</w:t>
        <w:br/>
        <w:br/>
        <w:t>(e) Relationship to Section 5. This Section supplements the Association's emergency and backstop authority under Section 5; where a maintenance failure falls within both this Section and Section 5(c), the Association may proceed under either.</w:t>
        <w:br/>
        <w:br/>
        <w:t>(f) Good faith. Neither the Board of Directors nor any of its members shall be liable to any owner for any determination or action taken in good faith under this Section.</w:t>
      </w:r>
    </w:p>
    <w:p>
      <w:pPr>
        <w:pStyle w:val="Heading2"/>
        <w:bidi w:val="0"/>
        <w:jc w:val="left"/>
        <w:rPr/>
      </w:pPr>
      <w:r>
        <w:rPr/>
        <w:t>ARTICLE VIII</w:t>
      </w:r>
    </w:p>
    <w:p>
      <w:pPr>
        <w:pStyle w:val="Heading3"/>
        <w:bidi w:val="0"/>
        <w:jc w:val="left"/>
        <w:rPr/>
      </w:pPr>
      <w:r>
        <w:rPr/>
        <w:t>PARTY WALLS</w:t>
      </w:r>
    </w:p>
    <w:p>
      <w:pPr>
        <w:pStyle w:val="BodyText"/>
        <w:bidi w:val="0"/>
        <w:rPr/>
      </w:pPr>
      <w:r>
        <w:rPr>
          <w:rStyle w:val="Strong"/>
        </w:rPr>
        <w:t>Section 1.</w:t>
      </w:r>
      <w:r>
        <w:rPr/>
        <w:t xml:space="preserve"> General Rules of Law to Apply. Each wall which is built as a part of the original construction of the residences upon the properties and placed on the dividing line between the lots shall constitute a party wall and, to the extent not inconsistent with the provisions of this Declaration or the Bylaws, the general rules of law regarding party walls and liability for property damage due to negligence or willful acts or omissions shall apply thereto.</w:t>
      </w:r>
    </w:p>
    <w:p>
      <w:pPr>
        <w:pStyle w:val="BodyTextsection-hl"/>
        <w:bidi w:val="0"/>
        <w:ind w:hanging="0" w:left="120" w:right="120"/>
        <w:rPr/>
      </w:pPr>
      <w:r>
        <w:rPr>
          <w:rStyle w:val="Strong"/>
        </w:rPr>
        <w:t>Section 2.</w:t>
      </w:r>
      <w:r>
        <w:rPr/>
        <w:t xml:space="preserve"> </w:t>
      </w:r>
      <w:bookmarkStart w:id="25" w:name="chg-DC-26"/>
      <w:bookmarkEnd w:id="25"/>
      <w:r>
        <w:rPr>
          <w:b/>
          <w:color w:val="0A7A2C"/>
          <w:sz w:val="16"/>
          <w:bdr w:val="single" w:sz="4" w:space="1" w:color="0A7A2C"/>
        </w:rPr>
        <w:t>DC-26</w:t>
      </w:r>
      <w:r>
        <w:rPr/>
        <w:t xml:space="preserve"> Sharing of Repair and Maintenance. The cost of reasonable repair and maintenance of a party wall shall be shared by the </w:t>
      </w:r>
      <w:r>
        <w:rPr>
          <w:b/>
          <w:color w:val="0A7A2C"/>
          <w:u w:val="single"/>
        </w:rPr>
        <w:t xml:space="preserve">adjoining </w:t>
      </w:r>
      <w:r>
        <w:rPr/>
        <w:t xml:space="preserve">owners who make use of the wall, </w:t>
      </w:r>
      <w:r>
        <w:rPr>
          <w:b/>
          <w:color w:val="0A7A2C"/>
          <w:u w:val="single"/>
        </w:rPr>
        <w:t>consistent</w:t>
      </w:r>
      <w:r>
        <w:rPr/>
        <w:t xml:space="preserve"> </w:t>
      </w:r>
      <w:r>
        <w:rPr>
          <w:b/>
          <w:color w:val="0A7A2C"/>
          <w:u w:val="single"/>
        </w:rPr>
        <w:t>with</w:t>
      </w:r>
      <w:r>
        <w:rPr/>
        <w:t xml:space="preserve"> </w:t>
      </w:r>
      <w:r>
        <w:rPr>
          <w:b/>
          <w:color w:val="0A7A2C"/>
          <w:u w:val="single"/>
        </w:rPr>
        <w:t>Article</w:t>
      </w:r>
      <w:r>
        <w:rPr/>
        <w:t xml:space="preserve"> </w:t>
      </w:r>
      <w:r>
        <w:rPr>
          <w:b/>
          <w:color w:val="0A7A2C"/>
          <w:u w:val="single"/>
        </w:rPr>
        <w:t>VII.</w:t>
      </w:r>
    </w:p>
    <w:p>
      <w:pPr>
        <w:pStyle w:val="Heading2"/>
        <w:bidi w:val="0"/>
        <w:jc w:val="left"/>
        <w:rPr/>
      </w:pPr>
      <w:r>
        <w:rPr/>
        <w:t>ARTICLE IX</w:t>
      </w:r>
    </w:p>
    <w:p>
      <w:pPr>
        <w:pStyle w:val="Heading3"/>
        <w:bidi w:val="0"/>
        <w:jc w:val="left"/>
        <w:rPr/>
      </w:pPr>
      <w:r>
        <w:rPr/>
        <w:t>EXTERNAL ARCHITECTURAL CONTROL</w:t>
      </w:r>
    </w:p>
    <w:p>
      <w:pPr>
        <w:pStyle w:val="BodyText"/>
        <w:bidi w:val="0"/>
        <w:rPr/>
      </w:pPr>
      <w:r>
        <w:rPr/>
        <w:t>Without prior written approval from the Board of Directors, no owner shall:</w:t>
      </w:r>
    </w:p>
    <w:p>
      <w:pPr>
        <w:pStyle w:val="BodyText"/>
        <w:bidi w:val="0"/>
        <w:rPr/>
      </w:pPr>
      <w:r>
        <w:rPr/>
        <w:t>(a) Erect or construct any fence, wall or other structure or improvement on his lot; or</w:t>
      </w:r>
    </w:p>
    <w:p>
      <w:pPr>
        <w:pStyle w:val="BodyText"/>
        <w:bidi w:val="0"/>
        <w:rPr/>
      </w:pPr>
      <w:r>
        <w:rPr/>
        <w:t>(b) Add to or alter the landscaping of the yard of his lot or place any objects in the yard; or</w:t>
      </w:r>
    </w:p>
    <w:p>
      <w:pPr>
        <w:pStyle w:val="BodyText"/>
        <w:bidi w:val="0"/>
        <w:rPr/>
      </w:pPr>
      <w:r>
        <w:rPr/>
        <w:t>(c) Install television antennas, air conditioning or heating machines or units, exterior window guards, awnings or shades, exterior lights or noise making devices, exterior posters or signs (other than signs for sale or lease of unit), or any other similar item; or</w:t>
      </w:r>
    </w:p>
    <w:p>
      <w:pPr>
        <w:pStyle w:val="BodyText"/>
        <w:bidi w:val="0"/>
        <w:rPr/>
      </w:pPr>
      <w:r>
        <w:rPr/>
        <w:t>(d) Otherwise modify or change the exterior appearance of his unit.</w:t>
      </w:r>
    </w:p>
    <w:p>
      <w:pPr>
        <w:pStyle w:val="BodyText"/>
        <w:bidi w:val="0"/>
        <w:rPr/>
      </w:pPr>
      <w:r>
        <w:rPr/>
        <w:t>In seeking the approval of the Board of Directors, the owner shall submit a written statement of the proposed structure, alteration, device, or modification, together with plans and specifications, if applicable, showing the dimensions, materials, and location of the same.</w:t>
      </w:r>
    </w:p>
    <w:p>
      <w:pPr>
        <w:pStyle w:val="BodyText"/>
        <w:bidi w:val="0"/>
        <w:rPr/>
      </w:pPr>
      <w:r>
        <w:rPr/>
        <w:t>The Board of Directors shall review and consider the proposal on the basis of its potential harmony with the existing appearance of the properties, its effect on the attractiveness of the properties, and its potential effect on the other owners. The Board may, from time to time, adopt a conditionally approved list setting forth specific types of fences, shrubs or other items that are conditionally approved for all owners. If an owner submits a proposal from the conditionally approved list, it shall be deemed approved within two weeks of its submission unless the Board otherwise notifies the owner in writing to the contrary.</w:t>
      </w:r>
    </w:p>
    <w:p>
      <w:pPr>
        <w:pStyle w:val="BodyText"/>
        <w:bidi w:val="0"/>
        <w:rPr/>
      </w:pPr>
      <w:r>
        <w:rPr/>
        <w:t>Notwithstanding the foregoing, nothing in this Article prohibits or unreasonably delays the installation, maintenance, or use of an antenna or a satellite dish one meter or less in diameter protected under 47 C.F.R. 1.4000 within an owner's exclusive-use area; architectural review of other items is unaffected.</w:t>
      </w:r>
    </w:p>
    <w:p>
      <w:pPr>
        <w:pStyle w:val="Heading2"/>
        <w:bidi w:val="0"/>
        <w:jc w:val="left"/>
        <w:rPr/>
      </w:pPr>
      <w:r>
        <w:rPr/>
        <w:t>ARTICLE X</w:t>
      </w:r>
    </w:p>
    <w:p>
      <w:pPr>
        <w:pStyle w:val="Heading3"/>
        <w:bidi w:val="0"/>
        <w:jc w:val="left"/>
        <w:rPr/>
      </w:pPr>
      <w:r>
        <w:rPr/>
        <w:t>MORTGAGES</w:t>
      </w:r>
    </w:p>
    <w:p>
      <w:pPr>
        <w:pStyle w:val="BodyTextsection-hl"/>
        <w:bidi w:val="0"/>
        <w:ind w:hanging="0" w:left="120" w:right="120"/>
        <w:rPr/>
      </w:pPr>
      <w:r>
        <w:rPr>
          <w:rStyle w:val="Strong"/>
        </w:rPr>
        <w:t>Section 1.</w:t>
      </w:r>
      <w:r>
        <w:rPr/>
        <w:t xml:space="preserve"> </w:t>
      </w:r>
      <w:bookmarkStart w:id="26" w:name="chg-DC-27"/>
      <w:bookmarkEnd w:id="26"/>
      <w:r>
        <w:rPr>
          <w:b/>
          <w:color w:val="0A7A2C"/>
          <w:sz w:val="16"/>
          <w:bdr w:val="single" w:sz="4" w:space="1" w:color="0A7A2C"/>
        </w:rPr>
        <w:t>DC-27</w:t>
      </w:r>
      <w:r>
        <w:rPr/>
        <w:t xml:space="preserve"> Definitions. </w:t>
      </w:r>
      <w:r>
        <w:rPr>
          <w:b/>
          <w:color w:val="0A7A2C"/>
          <w:u w:val="single"/>
        </w:rPr>
        <w:t>As</w:t>
      </w:r>
      <w:r>
        <w:rPr/>
        <w:t xml:space="preserve"> </w:t>
      </w:r>
      <w:r>
        <w:rPr>
          <w:b/>
          <w:color w:val="0A7A2C"/>
          <w:u w:val="single"/>
        </w:rPr>
        <w:t>used</w:t>
      </w:r>
      <w:r>
        <w:rPr/>
        <w:t xml:space="preserve"> </w:t>
      </w:r>
      <w:r>
        <w:rPr>
          <w:b/>
          <w:color w:val="0A7A2C"/>
          <w:u w:val="single"/>
        </w:rPr>
        <w:t>in</w:t>
      </w:r>
      <w:r>
        <w:rPr/>
        <w:t xml:space="preserve"> </w:t>
      </w:r>
      <w:r>
        <w:rPr>
          <w:b/>
          <w:color w:val="0A7A2C"/>
          <w:u w:val="single"/>
        </w:rPr>
        <w:t>this</w:t>
      </w:r>
      <w:r>
        <w:rPr/>
        <w:t xml:space="preserve"> </w:t>
      </w:r>
      <w:r>
        <w:rPr>
          <w:b/>
          <w:color w:val="0A7A2C"/>
          <w:u w:val="single"/>
        </w:rPr>
        <w:t>Article,</w:t>
      </w:r>
      <w:r>
        <w:rPr/>
        <w:t xml:space="preserve"> "Mortgage" means a recorded mortgage or trust deed creating a lien against a </w:t>
      </w:r>
      <w:r>
        <w:rPr>
          <w:b/>
          <w:color w:val="0A7A2C"/>
          <w:u w:val="single"/>
        </w:rPr>
        <w:t>unit,</w:t>
      </w:r>
      <w:r>
        <w:rPr/>
        <w:t xml:space="preserve"> </w:t>
      </w:r>
      <w:r>
        <w:rPr>
          <w:b/>
          <w:color w:val="0A7A2C"/>
          <w:u w:val="single"/>
        </w:rPr>
        <w:t>and</w:t>
      </w:r>
      <w:r>
        <w:rPr/>
        <w:t xml:space="preserve"> </w:t>
      </w:r>
      <w:r>
        <w:rPr>
          <w:b/>
          <w:color w:val="0A7A2C"/>
          <w:u w:val="single"/>
        </w:rPr>
        <w:t>"mortgagee"</w:t>
      </w:r>
      <w:r>
        <w:rPr/>
        <w:t xml:space="preserve"> means </w:t>
      </w:r>
      <w:r>
        <w:rPr>
          <w:b/>
          <w:color w:val="0A7A2C"/>
          <w:u w:val="single"/>
        </w:rPr>
        <w:t>the</w:t>
      </w:r>
      <w:r>
        <w:rPr/>
        <w:t xml:space="preserve"> holder of a </w:t>
      </w:r>
      <w:r>
        <w:rPr>
          <w:b/>
          <w:color w:val="0A7A2C"/>
          <w:u w:val="single"/>
        </w:rPr>
        <w:t>Mortgage.</w:t>
      </w:r>
    </w:p>
    <w:p>
      <w:pPr>
        <w:pStyle w:val="BodyTextsection-hl"/>
        <w:bidi w:val="0"/>
        <w:ind w:hanging="0" w:left="120" w:right="120"/>
        <w:rPr/>
      </w:pPr>
      <w:r>
        <w:rPr>
          <w:rStyle w:val="Strong"/>
        </w:rPr>
        <w:t>Section 2.</w:t>
      </w:r>
      <w:r>
        <w:rPr/>
        <w:t xml:space="preserve"> </w:t>
      </w:r>
      <w:bookmarkStart w:id="27" w:name="chg-DC-28"/>
      <w:bookmarkEnd w:id="27"/>
      <w:r>
        <w:rPr>
          <w:b/>
          <w:color w:val="0A7A2C"/>
          <w:sz w:val="16"/>
          <w:bdr w:val="single" w:sz="4" w:space="1" w:color="0A7A2C"/>
        </w:rPr>
        <w:t>DC-28</w:t>
      </w:r>
      <w:r>
        <w:rPr/>
        <w:t xml:space="preserve"> </w:t>
      </w:r>
      <w:r>
        <w:rPr>
          <w:b/>
          <w:color w:val="0A7A2C"/>
          <w:u w:val="single"/>
        </w:rPr>
        <w:t>Owner Responsibility for Mortgagee Consents and Notices. Each owner is responsible for obtaining any consent and giving any notice that the owner's own mortgagee requires under that owner's loan. The Association is not obligated to obtain mortgagee consent, or to provide notices to any mortgagee, beyond what ORS Ch. 94, as amended, requires of the Association.</w:t>
      </w:r>
    </w:p>
    <w:p>
      <w:pPr>
        <w:pStyle w:val="BodyTextsection-hl"/>
        <w:bidi w:val="0"/>
        <w:ind w:hanging="0" w:left="120" w:right="120"/>
        <w:rPr/>
      </w:pPr>
      <w:r>
        <w:rPr>
          <w:rStyle w:val="Strong"/>
        </w:rPr>
        <w:t>Section 3.</w:t>
      </w:r>
      <w:r>
        <w:rPr/>
        <w:t xml:space="preserve"> </w:t>
      </w:r>
      <w:bookmarkStart w:id="28" w:name="chg-DC-29"/>
      <w:bookmarkEnd w:id="28"/>
      <w:r>
        <w:rPr>
          <w:b/>
          <w:color w:val="0A7A2C"/>
          <w:sz w:val="16"/>
          <w:bdr w:val="single" w:sz="4" w:space="1" w:color="0A7A2C"/>
        </w:rPr>
        <w:t>DC-29</w:t>
      </w:r>
      <w:r>
        <w:rPr/>
        <w:t xml:space="preserve"> </w:t>
      </w:r>
      <w:r>
        <w:rPr>
          <w:b/>
          <w:color w:val="0A7A2C"/>
          <w:u w:val="single"/>
        </w:rPr>
        <w:t>Subordination of Assessment Lien. The lien of assessments is subordinate to the lien of a first Mortgage as provided in Article V, Section 7.</w:t>
      </w:r>
    </w:p>
    <w:p>
      <w:pPr>
        <w:pStyle w:val="BodyTextsection-hl"/>
        <w:bidi w:val="0"/>
        <w:ind w:hanging="0" w:left="120" w:right="120"/>
        <w:rPr/>
      </w:pPr>
      <w:r>
        <w:rPr>
          <w:rStyle w:val="Strong"/>
        </w:rPr>
        <w:t>Section 4.</w:t>
      </w:r>
      <w:r>
        <w:rPr/>
        <w:t xml:space="preserve"> </w:t>
      </w:r>
      <w:bookmarkStart w:id="29" w:name="chg-DC-32"/>
      <w:bookmarkEnd w:id="29"/>
      <w:r>
        <w:rPr>
          <w:b/>
          <w:color w:val="0A7A2C"/>
          <w:sz w:val="16"/>
          <w:bdr w:val="single" w:sz="4" w:space="1" w:color="0A7A2C"/>
        </w:rPr>
        <w:t>DC-32</w:t>
      </w:r>
      <w:r>
        <w:rPr/>
        <w:t xml:space="preserve"> Consent to Termination of the Association. Except with respect to termination of the Association as a result of destruction, damage, or condemnation of the properties, any termination of the Association shall require </w:t>
      </w:r>
      <w:r>
        <w:rPr>
          <w:b/>
          <w:color w:val="0A7A2C"/>
          <w:u w:val="single"/>
        </w:rPr>
        <w:t xml:space="preserve">such mortgagee approval as is required by ORS Ch. 94, as amended (currently </w:t>
      </w:r>
      <w:r>
        <w:rPr/>
        <w:t xml:space="preserve">the approval of eligible mortgage holders representing at least 67 percent of the votes of units that are subject to mortgages held by eligible mortgage </w:t>
      </w:r>
      <w:r>
        <w:rPr>
          <w:b/>
          <w:color w:val="0A7A2C"/>
          <w:u w:val="single"/>
        </w:rPr>
        <w:t>holders),</w:t>
      </w:r>
      <w:r>
        <w:rPr/>
        <w:t xml:space="preserve"> in addition to</w:t>
      </w:r>
      <w:r>
        <w:rPr>
          <w:color w:val="0A7A2C"/>
          <w:u w:val="single"/>
        </w:rPr>
        <w:t xml:space="preserve"> </w:t>
      </w:r>
      <w:r>
        <w:rPr>
          <w:b/>
          <w:color w:val="0A7A2C"/>
          <w:u w:val="single"/>
        </w:rPr>
        <w:t>the owner approval required under Article XII, Section 4 and</w:t>
      </w:r>
      <w:r>
        <w:rPr/>
        <w:t xml:space="preserve"> such other approvals and procedures as may be required by the Declaration or Bylaws.</w:t>
      </w:r>
    </w:p>
    <w:p>
      <w:pPr>
        <w:pStyle w:val="BodyTextsection-hl"/>
        <w:bidi w:val="0"/>
        <w:ind w:hanging="0" w:left="120" w:right="120"/>
        <w:rPr/>
      </w:pPr>
      <w:r>
        <w:rPr>
          <w:rStyle w:val="Strong"/>
        </w:rPr>
        <w:t>Section 5.</w:t>
      </w:r>
      <w:r>
        <w:rPr/>
        <w:t xml:space="preserve"> </w:t>
      </w:r>
      <w:bookmarkStart w:id="30" w:name="chg-DC-36"/>
      <w:bookmarkEnd w:id="30"/>
      <w:r>
        <w:rPr>
          <w:b/>
          <w:color w:val="0A7A2C"/>
          <w:sz w:val="16"/>
          <w:bdr w:val="single" w:sz="4" w:space="1" w:color="0A7A2C"/>
        </w:rPr>
        <w:t>DC-36</w:t>
      </w:r>
      <w:r>
        <w:rPr/>
        <w:t xml:space="preserve"> Right to Receive Written Notice of Meetings. A holder of a first </w:t>
      </w:r>
      <w:r>
        <w:rPr>
          <w:b/>
          <w:color w:val="0A7A2C"/>
          <w:u w:val="single"/>
        </w:rPr>
        <w:t>Mortgage</w:t>
      </w:r>
      <w:r>
        <w:rPr/>
        <w:t xml:space="preserve"> shall, upon written request to the Association, be entitled to receive notice of all meetings of the Association and shall be entitled to designate a representative to attend all such meetings.</w:t>
      </w:r>
    </w:p>
    <w:p>
      <w:pPr>
        <w:pStyle w:val="Heading2"/>
        <w:bidi w:val="0"/>
        <w:jc w:val="left"/>
        <w:rPr/>
      </w:pPr>
      <w:r>
        <w:rPr/>
        <w:t>ARTICLE XI</w:t>
      </w:r>
    </w:p>
    <w:p>
      <w:pPr>
        <w:pStyle w:val="Heading3"/>
        <w:bidi w:val="0"/>
        <w:jc w:val="left"/>
        <w:rPr/>
      </w:pPr>
      <w:r>
        <w:rPr/>
        <w:t>RIGHT OF ENTRY, EASEMENTS, ENCROACHMENTS</w:t>
      </w:r>
    </w:p>
    <w:p>
      <w:pPr>
        <w:pStyle w:val="BodyText"/>
        <w:bidi w:val="0"/>
        <w:rPr/>
      </w:pPr>
      <w:r>
        <w:rPr>
          <w:rStyle w:val="Strong"/>
        </w:rPr>
        <w:t>Section 1.</w:t>
      </w:r>
      <w:r>
        <w:rPr/>
        <w:t xml:space="preserve"> Emergency Entry. In case of an emergency originating in or threatening his unit or other portions of the properties, an owner hereby grants the right of entry to any person authorized by the Board of Directors, whether or not the owner is present at the time.</w:t>
      </w:r>
    </w:p>
    <w:p>
      <w:pPr>
        <w:pStyle w:val="BodyText"/>
        <w:bidi w:val="0"/>
        <w:rPr/>
      </w:pPr>
      <w:r>
        <w:rPr>
          <w:rStyle w:val="Strong"/>
        </w:rPr>
        <w:t>Section 2.</w:t>
      </w:r>
      <w:r>
        <w:rPr/>
        <w:t xml:space="preserve"> Easements. Each owner hereby grants an easement to the Association in and through their unit and to the exterior of the improvements thereon for the purpose of exercising the rights or fulfilling the obligations of the Association as set forth in this Declaration or the Bylaws.</w:t>
      </w:r>
    </w:p>
    <w:p>
      <w:pPr>
        <w:pStyle w:val="BodyTextsection-hl"/>
        <w:bidi w:val="0"/>
        <w:ind w:hanging="0" w:left="120" w:right="120"/>
        <w:rPr/>
      </w:pPr>
      <w:r>
        <w:rPr>
          <w:rStyle w:val="Strong"/>
        </w:rPr>
        <w:t>Section 3.</w:t>
      </w:r>
      <w:r>
        <w:rPr/>
        <w:t xml:space="preserve"> </w:t>
      </w:r>
      <w:bookmarkStart w:id="31" w:name="chg-DC-37"/>
      <w:bookmarkEnd w:id="31"/>
      <w:r>
        <w:rPr>
          <w:b/>
          <w:color w:val="0A7A2C"/>
          <w:sz w:val="16"/>
          <w:bdr w:val="single" w:sz="4" w:space="1" w:color="0A7A2C"/>
        </w:rPr>
        <w:t>DC-37</w:t>
      </w:r>
      <w:r>
        <w:rPr/>
        <w:t xml:space="preserve"> Encroachments. Each unit shall have </w:t>
      </w:r>
      <w:r>
        <w:rPr>
          <w:b/>
          <w:color w:val="0A7A2C"/>
          <w:u w:val="single"/>
        </w:rPr>
        <w:t xml:space="preserve">an </w:t>
      </w:r>
      <w:r>
        <w:rPr/>
        <w:t>easement over all adjoining units for the purpose of accommodating any present or future encroachments as a result of engineering errors, construction, reconstruction, repairs, settlement, shifting, or movement of any portion of the property, or any other similar cause, and any encroachment due to building overhang or projection. There shall be easements for the maintenance of the encroaching units so long as the encroachments shall exist, and the rights and obligations of owners shall not be altered by the encroachment, nor shall the encroachment be considered to be an encumbrance affecting the marketability of title to a unit.</w:t>
      </w:r>
    </w:p>
    <w:p>
      <w:pPr>
        <w:pStyle w:val="BodyTextsection-hl"/>
        <w:bidi w:val="0"/>
        <w:ind w:hanging="0" w:left="120" w:right="120"/>
        <w:rPr/>
      </w:pPr>
      <w:r>
        <w:rPr>
          <w:rStyle w:val="Strong"/>
        </w:rPr>
        <w:t>Section 4.</w:t>
      </w:r>
      <w:r>
        <w:rPr/>
        <w:t xml:space="preserve"> </w:t>
      </w:r>
      <w:bookmarkStart w:id="32" w:name="chg-DC-38"/>
      <w:bookmarkEnd w:id="32"/>
      <w:r>
        <w:rPr>
          <w:b/>
          <w:color w:val="0A7A2C"/>
          <w:sz w:val="16"/>
          <w:bdr w:val="single" w:sz="4" w:space="1" w:color="0A7A2C"/>
        </w:rPr>
        <w:t>DC-38</w:t>
      </w:r>
      <w:r>
        <w:rPr/>
        <w:t xml:space="preserve"> Utility Easements. There is hereby created a blanket easement upon, across, over, and under the entire land for the benefit of </w:t>
      </w:r>
      <w:r>
        <w:rPr>
          <w:b/>
          <w:color w:val="0A7A2C"/>
          <w:u w:val="single"/>
        </w:rPr>
        <w:t>ingress,</w:t>
      </w:r>
      <w:r>
        <w:rPr/>
        <w:t xml:space="preserve"> egress, </w:t>
      </w:r>
      <w:r>
        <w:rPr>
          <w:b/>
          <w:color w:val="0A7A2C"/>
          <w:u w:val="single"/>
        </w:rPr>
        <w:t>installation,</w:t>
      </w:r>
      <w:r>
        <w:rPr/>
        <w:t xml:space="preserve"> replacement, repair and maintenance of all utility and service lines and systems including, but not limited to, water, sewer, gas, telephone, electricity, television, cable or communication lines or systems. By virtue of this easement, it shall be expressly permissible for the Board of Directors or its providing utility or service company to install and maintain facilities and equipment </w:t>
      </w:r>
      <w:r>
        <w:rPr>
          <w:b/>
          <w:color w:val="0A7A2C"/>
          <w:u w:val="single"/>
        </w:rPr>
        <w:t>upon</w:t>
      </w:r>
      <w:r>
        <w:rPr/>
        <w:t xml:space="preserve"> the properties, to excavate for such </w:t>
      </w:r>
      <w:r>
        <w:rPr>
          <w:b/>
          <w:color w:val="0A7A2C"/>
          <w:u w:val="single"/>
        </w:rPr>
        <w:t>purposes,</w:t>
      </w:r>
      <w:r>
        <w:rPr/>
        <w:t xml:space="preserve"> and to affix and maintain wires, circuits and conduits on, in and under the roofs and exterior walls of any portion of the</w:t>
      </w:r>
      <w:r>
        <w:rPr>
          <w:color w:val="0A7A2C"/>
          <w:u w:val="single"/>
        </w:rPr>
        <w:t xml:space="preserve"> </w:t>
      </w:r>
      <w:r>
        <w:rPr>
          <w:b/>
          <w:color w:val="0A7A2C"/>
          <w:u w:val="single"/>
        </w:rPr>
        <w:t>properties, all</w:t>
      </w:r>
      <w:r>
        <w:rPr/>
        <w:t xml:space="preserve"> at the direction of the Board of </w:t>
      </w:r>
      <w:r>
        <w:rPr>
          <w:b/>
          <w:color w:val="0A7A2C"/>
          <w:u w:val="single"/>
        </w:rPr>
        <w:t>Directors.</w:t>
      </w:r>
    </w:p>
    <w:p>
      <w:pPr>
        <w:pStyle w:val="Heading2"/>
        <w:bidi w:val="0"/>
        <w:jc w:val="left"/>
        <w:rPr/>
      </w:pPr>
      <w:r>
        <w:rPr/>
        <w:t>ARTICLE XII</w:t>
      </w:r>
    </w:p>
    <w:p>
      <w:pPr>
        <w:pStyle w:val="Heading3"/>
        <w:bidi w:val="0"/>
        <w:jc w:val="left"/>
        <w:rPr/>
      </w:pPr>
      <w:r>
        <w:rPr/>
        <w:t>GENERAL PROVISIONS</w:t>
      </w:r>
    </w:p>
    <w:p>
      <w:pPr>
        <w:pStyle w:val="BodyText"/>
        <w:bidi w:val="0"/>
        <w:rPr/>
      </w:pPr>
      <w:r>
        <w:rPr>
          <w:rStyle w:val="Strong"/>
        </w:rPr>
        <w:t>Section 1.</w:t>
      </w:r>
      <w:r>
        <w:rPr/>
        <w:t xml:space="preserve"> Waiver. Failure by the Association or by any owner to enforce any covenant or restriction contained herein shall in no event be deemed a waiver of the right to do so thereafter.</w:t>
      </w:r>
    </w:p>
    <w:p>
      <w:pPr>
        <w:pStyle w:val="BodyTextsection-hl"/>
        <w:bidi w:val="0"/>
        <w:ind w:hanging="0" w:left="120" w:right="120"/>
        <w:rPr/>
      </w:pPr>
      <w:r>
        <w:rPr>
          <w:rStyle w:val="Strong"/>
        </w:rPr>
        <w:t>Section 2.</w:t>
      </w:r>
      <w:r>
        <w:rPr/>
        <w:t xml:space="preserve"> </w:t>
      </w:r>
      <w:bookmarkStart w:id="33" w:name="chg-DC-39"/>
      <w:bookmarkEnd w:id="33"/>
      <w:r>
        <w:rPr>
          <w:b/>
          <w:color w:val="0A7A2C"/>
          <w:sz w:val="16"/>
          <w:bdr w:val="single" w:sz="4" w:space="1" w:color="0A7A2C"/>
        </w:rPr>
        <w:t>DC-39</w:t>
      </w:r>
      <w:r>
        <w:rPr/>
        <w:t xml:space="preserve"> Severability. Invalidation of any one of these covenants or restrictions by judgment or court order shall in no wise affect any other </w:t>
      </w:r>
      <w:r>
        <w:rPr>
          <w:b/>
          <w:color w:val="0A7A2C"/>
          <w:u w:val="single"/>
        </w:rPr>
        <w:t>provisions,</w:t>
      </w:r>
      <w:r>
        <w:rPr/>
        <w:t xml:space="preserve"> which shall remain in full force and effect.</w:t>
      </w:r>
    </w:p>
    <w:p>
      <w:pPr>
        <w:pStyle w:val="BodyTextsection-hl"/>
        <w:bidi w:val="0"/>
        <w:ind w:hanging="0" w:left="120" w:right="120"/>
        <w:rPr/>
      </w:pPr>
      <w:r>
        <w:rPr>
          <w:rStyle w:val="Strong"/>
        </w:rPr>
        <w:t>Section 3.</w:t>
      </w:r>
      <w:r>
        <w:rPr/>
        <w:t xml:space="preserve"> </w:t>
      </w:r>
      <w:bookmarkStart w:id="34" w:name="chg-DC-40"/>
      <w:bookmarkEnd w:id="34"/>
      <w:r>
        <w:rPr>
          <w:b/>
          <w:color w:val="0A7A2C"/>
          <w:sz w:val="16"/>
          <w:bdr w:val="single" w:sz="4" w:space="1" w:color="0A7A2C"/>
        </w:rPr>
        <w:t>DC-40</w:t>
      </w:r>
      <w:r>
        <w:rPr/>
        <w:t xml:space="preserve"> Amendment. The covenants and restrictions of this Declaration shall run with and bind the </w:t>
      </w:r>
      <w:r>
        <w:rPr>
          <w:b/>
          <w:color w:val="0A7A2C"/>
          <w:u w:val="single"/>
        </w:rPr>
        <w:t>land</w:t>
      </w:r>
      <w:r>
        <w:rPr/>
        <w:t xml:space="preserve"> for a term of 20 years from the date this Declaration is recorded, after which time they shall be automatically extended for successive periods of 10 years unless the owners of the units agree to terminate the Association as provided herein. This Declaration may be amended by an instrument signed by at least 75 percent of </w:t>
      </w:r>
      <w:r>
        <w:rPr>
          <w:b/>
          <w:color w:val="0A7A2C"/>
          <w:u w:val="single"/>
        </w:rPr>
        <w:t>the members. Notwithstanding the foregoing, any amendment that changes the method of determining common-expense liability, the right to common profits, or voting rights requires the unanimous consent of the owners of the affected units (ORS 94.590(1)(b)(B)).</w:t>
      </w:r>
      <w:r>
        <w:rPr/>
        <w:t xml:space="preserve"> Any amendment must be recorded.</w:t>
      </w:r>
    </w:p>
    <w:p>
      <w:pPr>
        <w:pStyle w:val="BodyTextsection-hl"/>
        <w:bidi w:val="0"/>
        <w:ind w:hanging="0" w:left="120" w:right="120"/>
        <w:rPr/>
      </w:pPr>
      <w:r>
        <w:rPr>
          <w:rStyle w:val="Strong"/>
        </w:rPr>
        <w:t>Section 4.</w:t>
      </w:r>
      <w:r>
        <w:rPr/>
        <w:t xml:space="preserve"> </w:t>
      </w:r>
      <w:bookmarkStart w:id="35" w:name="chg-DC-41"/>
      <w:bookmarkEnd w:id="35"/>
      <w:r>
        <w:rPr>
          <w:b/>
          <w:color w:val="0A7A2C"/>
          <w:sz w:val="16"/>
          <w:bdr w:val="single" w:sz="4" w:space="1" w:color="0A7A2C"/>
        </w:rPr>
        <w:t>DC-41</w:t>
      </w:r>
      <w:r>
        <w:rPr/>
        <w:t xml:space="preserve"> Termination of Association. Except with respect to termination of the Association as a result of destruction, damage, or condemnation of the properties, any termination of the Association shall require the </w:t>
      </w:r>
      <w:r>
        <w:rPr>
          <w:b/>
          <w:color w:val="0A7A2C"/>
          <w:u w:val="single"/>
        </w:rPr>
        <w:t>mortgagee</w:t>
      </w:r>
      <w:r>
        <w:rPr/>
        <w:t xml:space="preserve"> </w:t>
      </w:r>
      <w:r>
        <w:rPr>
          <w:b/>
          <w:color w:val="0A7A2C"/>
          <w:u w:val="single"/>
        </w:rPr>
        <w:t>approval,</w:t>
      </w:r>
      <w:r>
        <w:rPr/>
        <w:t xml:space="preserve"> </w:t>
      </w:r>
      <w:r>
        <w:rPr>
          <w:b/>
          <w:color w:val="0A7A2C"/>
          <w:u w:val="single"/>
        </w:rPr>
        <w:t>if</w:t>
      </w:r>
      <w:r>
        <w:rPr/>
        <w:t xml:space="preserve"> </w:t>
      </w:r>
      <w:r>
        <w:rPr>
          <w:b/>
          <w:color w:val="0A7A2C"/>
          <w:u w:val="single"/>
        </w:rPr>
        <w:t>any,</w:t>
      </w:r>
      <w:r>
        <w:rPr/>
        <w:t xml:space="preserve"> provided in Article </w:t>
      </w:r>
      <w:r>
        <w:rPr>
          <w:b/>
          <w:color w:val="0A7A2C"/>
          <w:u w:val="single"/>
        </w:rPr>
        <w:t>X,</w:t>
      </w:r>
      <w:r>
        <w:rPr/>
        <w:t xml:space="preserve"> Section 4, and the assent of not less than 75 percent of the owners.</w:t>
      </w:r>
    </w:p>
    <w:p>
      <w:pPr>
        <w:pStyle w:val="Heading3"/>
        <w:bidi w:val="0"/>
        <w:ind w:hanging="0" w:left="0" w:right="0"/>
        <w:jc w:val="left"/>
        <w:rPr/>
      </w:pPr>
      <w:r>
        <w:rPr/>
        <w:t>EXHIBIT A — LEGAL DESCRIPTION</w:t>
      </w:r>
    </w:p>
    <w:p>
      <w:pPr>
        <w:pStyle w:val="BodyText"/>
        <w:bidi w:val="0"/>
        <w:rPr/>
      </w:pPr>
      <w:r>
        <w:rPr/>
        <w:t>The real property subject to this Declaration is described as follows:</w:t>
      </w:r>
    </w:p>
    <w:p>
      <w:pPr>
        <w:pStyle w:val="BodyText"/>
        <w:bidi w:val="0"/>
        <w:rPr/>
      </w:pPr>
      <w:r>
        <w:rPr/>
        <w:t>All of Lot 4 and the West 10 feet of Lot 3 and the South 159.31 feet of Lots 5, 6, 7, and 8, all of said premises being in Block 5, OAK CREST, in the City of Hood River, County of Hood River, State of Oregon, together with that portion of vacated Armadale Avenue which inured to Lot 4 and the West 10 feet of Lot 3, Block 5, Oak Crest, by reason of the vacation thereof;</w:t>
      </w:r>
    </w:p>
    <w:p>
      <w:pPr>
        <w:pStyle w:val="BodyText"/>
        <w:bidi w:val="0"/>
        <w:rPr/>
      </w:pPr>
      <w:r>
        <w:rPr/>
        <w:t>being the land platted as ARMADALE TOWNHOMES ADDITION according to the recorded subdivision plat thereof (Hood River County recording no. 911362), records of Hood River County, Oregon.</w:t>
      </w:r>
    </w:p>
    <w:p>
      <w:pPr>
        <w:pStyle w:val="Heading2"/>
        <w:keepLines/>
        <w:bidi w:val="0"/>
        <w:ind w:hanging="0" w:left="0" w:right="0"/>
        <w:jc w:val="left"/>
        <w:rPr/>
      </w:pPr>
      <w:r>
        <w:rPr/>
        <w:t>Certification of Adoption</w:t>
      </w:r>
    </w:p>
    <w:p>
      <w:pPr>
        <w:pStyle w:val="BodyTextnote"/>
        <w:keepLines/>
        <w:bidi w:val="0"/>
        <w:rPr/>
      </w:pPr>
      <w:r>
        <w:rPr/>
        <w:t>The undersigned officers of Armadale Townhomes Owners Association certify that the foregoing amendment was duly approved by at least seventy-five percent (75%) of the members, and by the unanimous consent of the owners of affected units where required by ORS 94.590, in accordance with the governing documents and ORS Chapter 94, and is adopted effective on the date of recording.</w:t>
      </w:r>
    </w:p>
    <w:p>
      <w:pPr>
        <w:pStyle w:val="BodyTextnote"/>
        <w:keepLines/>
        <w:bidi w:val="0"/>
        <w:rPr>
          <w:b/>
        </w:rPr>
      </w:pPr>
      <w:r>
        <w:rPr>
          <w:b/>
        </w:rPr>
        <w:t>Armadale Townhomes Owners Association</w:t>
      </w:r>
    </w:p>
    <w:p>
      <w:pPr>
        <w:pStyle w:val="BodyText"/>
        <w:keepLines/>
        <w:bidi w:val="0"/>
        <w:spacing w:before="120" w:after="120"/>
        <w:ind w:hanging="0" w:left="0" w:right="0"/>
        <w:rPr/>
      </w:pPr>
      <w:r>
        <w:rPr/>
        <w:br/>
      </w:r>
      <w:r>
        <w:rPr>
          <w:color w:val="333333"/>
          <w:sz w:val="18"/>
        </w:rPr>
        <w:t>President (signature)</w:t>
      </w:r>
      <w:r>
        <w:rPr/>
        <w:t xml:space="preserve">      </w:t>
      </w:r>
      <w:r>
        <w:rPr>
          <w:color w:val="333333"/>
          <w:sz w:val="18"/>
        </w:rPr>
        <w:t>Date</w:t>
      </w:r>
    </w:p>
    <w:p>
      <w:pPr>
        <w:pStyle w:val="BodyText"/>
        <w:keepLines/>
        <w:bidi w:val="0"/>
        <w:spacing w:before="280" w:after="120"/>
        <w:ind w:hanging="0" w:left="0" w:right="0"/>
        <w:rPr/>
      </w:pPr>
      <w:r>
        <w:rPr/>
        <w:br/>
      </w:r>
      <w:r>
        <w:rPr>
          <w:color w:val="333333"/>
          <w:sz w:val="18"/>
        </w:rPr>
        <w:t>Secretary (signature)</w:t>
      </w:r>
      <w:r>
        <w:rPr/>
        <w:t xml:space="preserve">      </w:t>
      </w:r>
      <w:r>
        <w:rPr>
          <w:color w:val="333333"/>
          <w:sz w:val="18"/>
        </w:rPr>
        <w:t>Date</w:t>
      </w:r>
    </w:p>
    <w:p>
      <w:pPr>
        <w:pStyle w:val="Heading2"/>
        <w:bidi w:val="0"/>
        <w:ind w:hanging="0" w:left="0" w:right="0"/>
        <w:jc w:val="left"/>
        <w:rPr/>
      </w:pPr>
      <w:r>
        <w:rPr/>
        <w:t>Owner Consent and Approval</w:t>
      </w:r>
    </w:p>
    <w:p>
      <w:pPr>
        <w:pStyle w:val="BodyTextnote"/>
        <w:bidi w:val="0"/>
        <w:rPr/>
      </w:pPr>
      <w:r>
        <w:rPr/>
        <w:t>The undersigned owners, constituting the requisite percentage of the members of Armadale Townhomes Owners Association, consent to and approve the foregoing amendment.</w:t>
      </w:r>
    </w:p>
    <w:tbl>
      <w:tblPr>
        <w:tblW w:w="9799" w:type="dxa"/>
        <w:jc w:val="left"/>
        <w:tblInd w:w="28" w:type="dxa"/>
        <w:tblLayout w:type="fixed"/>
        <w:tblCellMar>
          <w:top w:w="28" w:type="dxa"/>
          <w:left w:w="28" w:type="dxa"/>
          <w:bottom w:w="28" w:type="dxa"/>
          <w:right w:w="28" w:type="dxa"/>
        </w:tblCellMar>
      </w:tblPr>
      <w:tblGrid>
        <w:gridCol w:w="4823"/>
        <w:gridCol w:w="4976"/>
      </w:tblGrid>
      <w:tr>
        <w:trPr/>
        <w:tc>
          <w:tcPr>
            <w:tcW w:w="4823" w:type="dxa"/>
            <w:tcBorders/>
            <w:vAlign w:val="center"/>
          </w:tcPr>
          <w:p>
            <w:pPr>
              <w:pStyle w:val="TableContents"/>
              <w:keepLines/>
              <w:bidi w:val="0"/>
              <w:spacing w:before="120" w:after="0"/>
              <w:ind w:hanging="0" w:left="0" w:right="0"/>
              <w:rPr/>
            </w:pPr>
            <w:r>
              <w:rPr/>
              <w:t>Unit 1814 — Robert and Terrie Goiney</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1816 — Robert and Martha Sutor</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1818 — James Pflasterer and Darcy Huston</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1820 — Charles Howard and Evanne Howard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1824 — Jerry Justus</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keepLines/>
              <w:bidi w:val="0"/>
              <w:spacing w:before="120" w:after="0"/>
              <w:ind w:hanging="0" w:left="0" w:right="0"/>
              <w:rPr/>
            </w:pPr>
            <w:r>
              <w:rPr/>
              <w:t>Unit 1826 — Marjorie Stolhand</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r>
      <w:tr>
        <w:trPr/>
        <w:tc>
          <w:tcPr>
            <w:tcW w:w="4823" w:type="dxa"/>
            <w:tcBorders/>
            <w:vAlign w:val="center"/>
          </w:tcPr>
          <w:p>
            <w:pPr>
              <w:pStyle w:val="TableContents"/>
              <w:keepLines/>
              <w:bidi w:val="0"/>
              <w:spacing w:before="120" w:after="0"/>
              <w:ind w:hanging="0" w:left="0" w:right="0"/>
              <w:rPr/>
            </w:pPr>
            <w:r>
              <w:rPr/>
              <w:t>Unit 1828 — Mark Patterson and Elizabeth Joyce</w:t>
            </w:r>
          </w:p>
          <w:p>
            <w:pPr>
              <w:pStyle w:val="TableContents"/>
              <w:keepLines/>
              <w:bidi w:val="0"/>
              <w:spacing w:before="120" w:after="0"/>
              <w:ind w:hanging="0" w:left="0" w:right="0"/>
              <w:rPr/>
            </w:pPr>
            <w:r>
              <w:rPr>
                <w:color w:val="333333"/>
                <w:sz w:val="18"/>
              </w:rPr>
              <w:t>Print name</w:t>
            </w:r>
            <w:r>
              <w:rPr/>
              <w:t xml:space="preserve"> </w:t>
            </w:r>
            <w:r>
              <w:rPr>
                <w:color w:val="333333"/>
                <w:sz w:val="18"/>
              </w:rPr>
              <w:t>Signature</w:t>
            </w:r>
            <w:r>
              <w:rPr/>
              <w:t xml:space="preserve"> </w:t>
            </w:r>
            <w:r>
              <w:rPr>
                <w:color w:val="333333"/>
                <w:sz w:val="18"/>
              </w:rPr>
              <w:t>Date</w:t>
            </w:r>
            <w:r>
              <w:rPr/>
              <w:t xml:space="preserve"> </w:t>
            </w:r>
          </w:p>
        </w:tc>
        <w:tc>
          <w:tcPr>
            <w:tcW w:w="4976" w:type="dxa"/>
            <w:tcBorders/>
            <w:vAlign w:val="center"/>
          </w:tcPr>
          <w:p>
            <w:pPr>
              <w:pStyle w:val="TableContents"/>
              <w:bidi w:val="0"/>
              <w:spacing w:before="120" w:after="120"/>
              <w:rPr>
                <w:sz w:val="4"/>
                <w:szCs w:val="4"/>
              </w:rPr>
            </w:pPr>
            <w:r>
              <w:rPr>
                <w:sz w:val="4"/>
                <w:szCs w:val="4"/>
              </w:rPr>
            </w:r>
          </w:p>
        </w:tc>
      </w:tr>
    </w:tbl>
    <w:p>
      <w:pPr>
        <w:pStyle w:val="Heading2"/>
        <w:bidi w:val="0"/>
        <w:ind w:hanging="0" w:left="0" w:right="0"/>
        <w:jc w:val="left"/>
        <w:rPr/>
      </w:pPr>
      <w:r>
        <w:rPr/>
        <w:t>Notary Acknowledgments</w:t>
      </w:r>
    </w:p>
    <w:p>
      <w:pPr>
        <w:pStyle w:val="BodyTextnote"/>
        <w:bidi w:val="0"/>
        <w:rPr/>
      </w:pPr>
      <w:r>
        <w:rPr/>
        <w:t>A separate acknowledgment is provided for each signing owner; the notary completes the acknowledgment for the owner(s) whose signature is taken.</w:t>
      </w:r>
    </w:p>
    <w:tbl>
      <w:tblPr>
        <w:tblW w:w="11339" w:type="dxa"/>
        <w:jc w:val="left"/>
        <w:tblInd w:w="28" w:type="dxa"/>
        <w:tblLayout w:type="fixed"/>
        <w:tblCellMar>
          <w:top w:w="28" w:type="dxa"/>
          <w:left w:w="28" w:type="dxa"/>
          <w:bottom w:w="28" w:type="dxa"/>
          <w:right w:w="28" w:type="dxa"/>
        </w:tblCellMar>
      </w:tblPr>
      <w:tblGrid>
        <w:gridCol w:w="5654"/>
        <w:gridCol w:w="5685"/>
      </w:tblGrid>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1814 — Robert and Terrie Goiney</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1816 — Robert and Martha Sutor</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1818 — James Pflasterer and Darcy Huston</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1820 — Charles Howard and Evanne Howard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1824 — Jerry Justus</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0"/>
              <w:rPr/>
            </w:pPr>
            <w:r>
              <w:rPr/>
              <w:t>Notary Seal</w:t>
            </w:r>
          </w:p>
          <w:p>
            <w:pPr>
              <w:pStyle w:val="TableContents"/>
              <w:bidi w:val="0"/>
              <w:spacing w:before="120" w:after="0"/>
              <w:rPr/>
            </w:pPr>
            <w:r>
              <w:rPr/>
              <w:t>Unit 1826 — Marjorie Stolhand</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r>
      <w:tr>
        <w:trPr/>
        <w:tc>
          <w:tcPr>
            <w:tcW w:w="5654" w:type="dxa"/>
            <w:tcBorders/>
            <w:vAlign w:val="center"/>
          </w:tcPr>
          <w:p>
            <w:pPr>
              <w:pStyle w:val="TableContents"/>
              <w:bidi w:val="0"/>
              <w:spacing w:before="120" w:after="0"/>
              <w:rPr/>
            </w:pPr>
            <w:r>
              <w:rPr/>
              <w:t>Notary Seal</w:t>
            </w:r>
          </w:p>
          <w:p>
            <w:pPr>
              <w:pStyle w:val="TableContents"/>
              <w:bidi w:val="0"/>
              <w:spacing w:before="120" w:after="0"/>
              <w:rPr/>
            </w:pPr>
            <w:r>
              <w:rPr/>
              <w:t>Unit 1828 — Mark Patterson and Elizabeth Joyce</w:t>
            </w:r>
          </w:p>
          <w:p>
            <w:pPr>
              <w:pStyle w:val="TableContents"/>
              <w:bidi w:val="0"/>
              <w:spacing w:before="120" w:after="0"/>
              <w:ind w:hanging="0" w:left="0" w:right="0"/>
              <w:rPr/>
            </w:pPr>
            <w:r>
              <w:rPr/>
              <w:t>STATE OF ______________ )</w:t>
              <w:br/>
              <w:t>                ) ss.</w:t>
              <w:br/>
              <w:t>County of ____________ )</w:t>
              <w:br/>
              <w:br/>
              <w:t>This instrument was acknowledged before me on ______________ by the above-named owner(s).</w:t>
              <w:br/>
              <w:br/>
            </w:r>
            <w:r>
              <w:rPr>
                <w:color w:val="333333"/>
                <w:sz w:val="18"/>
              </w:rPr>
              <w:t>Notary Public for ____________</w:t>
            </w:r>
            <w:r>
              <w:rPr/>
              <w:br/>
            </w:r>
            <w:r>
              <w:rPr>
                <w:color w:val="333333"/>
                <w:sz w:val="18"/>
              </w:rPr>
              <w:t>My commission expires: ______________</w:t>
            </w:r>
            <w:r>
              <w:rPr/>
              <w:t xml:space="preserve"> </w:t>
            </w:r>
          </w:p>
        </w:tc>
        <w:tc>
          <w:tcPr>
            <w:tcW w:w="5685" w:type="dxa"/>
            <w:tcBorders/>
            <w:vAlign w:val="center"/>
          </w:tcPr>
          <w:p>
            <w:pPr>
              <w:pStyle w:val="TableContents"/>
              <w:bidi w:val="0"/>
              <w:spacing w:before="120" w:after="120"/>
              <w:rPr>
                <w:sz w:val="4"/>
                <w:szCs w:val="4"/>
              </w:rPr>
            </w:pPr>
            <w:r>
              <w:rPr>
                <w:sz w:val="4"/>
                <w:szCs w:val="4"/>
              </w:rPr>
            </w:r>
          </w:p>
        </w:tc>
      </w:tr>
    </w:tbl>
    <w:p>
      <w:pPr>
        <w:pStyle w:val="BodyText"/>
        <w:bidi w:val="0"/>
        <w:spacing w:before="120" w:after="120"/>
        <w:rPr/>
      </w:pPr>
      <w:r>
        <w:rPr/>
      </w:r>
    </w:p>
    <w:sectPr>
      <w:headerReference w:type="default" r:id="rId14"/>
      <w:footerReference w:type="default" r:id="rId15"/>
      <w:type w:val="nextPage"/>
      <w:pgSz w:w="11906" w:h="16838"/>
      <w:pgMar w:left="1440" w:right="1440" w:gutter="0" w:header="0" w:top="1440" w:footer="0" w:bottom="1440"/>
      <w:formProt w:val="false"/>
      <w:textDirection w:val="lrTb"/>
      <w:docGrid w:type="default" w:linePitch="600" w:charSpace="36864"/>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AHOA-Declaration-CLEAN-Amended_v2026-08-20A.docx</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val="0"/>
        <w:color w:val="404040"/>
        <w:sz w:val="15"/>
      </w:rPr>
      <w:t>AHOA-Declaration-CLEAN-Amended_v2026-08-20A.docx</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513" w:val="center"/>
        <w:tab w:pos="9026" w:val="right"/>
      </w:tabs>
    </w:pPr>
    <w:r/>
    <w:r>
      <w:rPr>
        <w:b w:val="0"/>
        <w:color w:val="404040"/>
        <w:sz w:val="15"/>
      </w:rPr>
      <w:t>AHOA-Declaration-CLEAN-Amended_v2026-08-20A.docx</w:t>
    </w:r>
    <w:r>
      <w:tab/>
    </w:r>
    <w:r>
      <w:rPr>
        <w:b w:val="0"/>
        <w:color w:val="B3261E"/>
        <w:sz w:val="15"/>
      </w:rPr>
      <w:t>DRAFT · FOR ATTORNEY REVIEW</w:t>
    </w:r>
    <w:r>
      <w:tab/>
    </w:r>
    <w:r>
      <w:rPr>
        <w:b w:val="0"/>
        <w:color w:val="404040"/>
        <w:sz w:val="15"/>
      </w:rPr>
      <w:t xml:space="preserve">Page </w:t>
    </w:r>
    <w:fldSimple w:instr=" PAGE ">
      <w:r>
        <w:rPr>
          <w:sz w:val="15.0"/>
          <w:color w:val="404040"/>
        </w:rPr>
        <w:t>1</w:t>
      </w:r>
    </w:fldSimple>
    <w:r>
      <w:rPr>
        <w:b w:val="0"/>
        <w:color w:val="404040"/>
        <w:sz w:val="15"/>
      </w:rPr>
      <w:t xml:space="preserve"> of </w:t>
    </w:r>
    <w:fldSimple w:instr=" SECTIONPAGES ">
      <w:r>
        <w:rPr>
          <w:sz w:val="15.0"/>
          <w:color w:val="40404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sz w:val="26"/>
      </w:rPr>
      <w:t>AHOA Declaration — Proposed Changes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hyperlink w:anchor="ChangeIndex">
      <w:r>
        <w:rPr>
          <w:color w:val="0B447C"/>
          <w:u w:val="single"/>
          <w:sz w:val="16"/>
        </w:rPr>
        <w:t>Return to Change Index</w:t>
      </w:r>
    </w:hyperlink>
  </w:p>
  <w:p>
    <w:pPr>
      <w:jc w:val="center"/>
    </w:pPr>
    <w:r>
      <w:rPr>
        <w:b/>
        <w:color w:val="404040"/>
        <w:sz w:val="16"/>
      </w:rPr>
      <w:t>Armadale Townhomes Owners Association</w:t>
    </w:r>
  </w:p>
  <w:p>
    <w:pPr>
      <w:jc w:val="center"/>
    </w:pPr>
    <w:r>
      <w:rPr>
        <w:b/>
        <w:color w:val="404040"/>
        <w:sz w:val="16"/>
      </w:rPr>
      <w:t>Declaration — Third Amendment (Restated)</w:t>
    </w:r>
  </w:p>
</w:hd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Georgia;Times New Roman;serif" w:hAnsi="Georgia;Times New Roman;serif" w:eastAsia="Georgia;Times New Roman;serif" w:cs="Georgia;Times New Roman;serif"/>
      <w:color w:val="000000"/>
      <w:sz w:val="22"/>
      <w:szCs w:val="22"/>
      <w:lang w:val="en-US" w:eastAsia="zh-CN" w:bidi="hi-IN"/>
    </w:rPr>
  </w:style>
  <w:style w:type="paragraph" w:styleId="Heading1">
    <w:name w:val="heading 1"/>
    <w:basedOn w:val="Heading"/>
    <w:next w:val="BodyText"/>
    <w:qFormat/>
    <w:pPr>
      <w:keepNext w:val="true"/>
      <w:spacing w:before="240" w:after="40"/>
      <w:jc w:val="center"/>
    </w:pPr>
    <w:rPr>
      <w:b/>
      <w:bCs/>
      <w:caps/>
      <w:sz w:val="26"/>
      <w:szCs w:val="26"/>
    </w:rPr>
  </w:style>
  <w:style w:type="paragraph" w:styleId="Heading2">
    <w:name w:val="heading 2"/>
    <w:basedOn w:val="Heading"/>
    <w:next w:val="BodyText"/>
    <w:qFormat/>
    <w:pPr>
      <w:keepNext w:val="true"/>
      <w:spacing w:before="280" w:after="80"/>
      <w:ind w:left="280" w:right="280"/>
      <w:outlineLvl w:val="1"/>
    </w:pPr>
    <w:rPr>
      <w:rFonts w:ascii="Liberation Serif" w:hAnsi="Liberation Serif" w:eastAsia="NSimSun" w:cs="Lucida Sans"/>
      <w:b/>
      <w:bCs/>
      <w:sz w:val="24"/>
      <w:szCs w:val="24"/>
    </w:rPr>
  </w:style>
  <w:style w:type="paragraph" w:styleId="Heading3">
    <w:name w:val="heading 3"/>
    <w:basedOn w:val="Heading"/>
    <w:next w:val="BodyText"/>
    <w:qFormat/>
    <w:pPr>
      <w:keepNext w:val="true"/>
      <w:pBdr>
        <w:bottom w:val="single" w:sz="6" w:space="4" w:color="000000"/>
      </w:pBdr>
      <w:spacing w:before="200" w:after="120"/>
      <w:ind w:left="200" w:right="200"/>
      <w:outlineLvl w:val="2"/>
    </w:pPr>
    <w:rPr>
      <w:rFonts w:ascii="Liberation Serif" w:hAnsi="Liberation Serif" w:eastAsia="NSimSun" w:cs="Lucida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keepLines/>
      <w:widowControl/>
      <w:spacing w:before="120" w:after="120"/>
      <w:ind w:left="120" w:right="12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ection-hl">
    <w:name w:val="Body Text.section-hl"/>
    <w:basedOn w:val="BodyText"/>
    <w:qFormat/>
    <w:pPr>
      <w:keepLines/>
      <w:widowControl/>
      <w:spacing w:before="120" w:after="120"/>
      <w:ind w:left="120" w:right="120"/>
      <w:jc w:val="both"/>
    </w:pPr>
    <w:rPr/>
  </w:style>
  <w:style w:type="paragraph" w:styleId="BodyTextnote">
    <w:name w:val="Body Text.note"/>
    <w:basedOn w:val="BodyText"/>
    <w:qFormat/>
    <w:pPr/>
    <w:rPr>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