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900" w:name="navtop"/>
      <w:pPr>
        <w:jc w:val="center"/>
        <w:spacing w:after="60" w:before="0"/>
      </w:pPr>
      <w:bookmarkEnd w:id="900"/>
      <w:r>
        <w:rPr>
          <w:b/>
          <w:sz w:val="26"/>
          <w:color w:val="7A1F1F"/>
        </w:rPr>
        <w:t xml:space="preserve">FOR REVIEW NAVIGATION ONLY — NOT PART OF THE RECORDED DOCUMENT</w:t>
      </w:r>
    </w:p>
    <w:p>
      <w:pPr>
        <w:jc w:val="center"/>
        <w:spacing w:after="120" w:before="0"/>
      </w:pPr>
      <w:r>
        <w:rPr>
          <w:sz w:val="20"/>
          <w:color w:val="555555"/>
        </w:rPr>
        <w:t xml:space="preserve">This page is a reviewer aid. It is excluded from recordation and from the recorded page count. The recorded document begins on the following page.</w:t>
      </w:r>
    </w:p>
    <w:p>
      <w:pPr>
        <w:spacing w:after="140" w:before="0"/>
      </w:pPr>
      <w:r>
        <w:rPr>
          <w:b/>
          <w:sz w:val="26"/>
        </w:rPr>
        <w:t xml:space="preserve">CONTENTS</w:t>
      </w:r>
    </w:p>
    <w:tbl>
      <w:tblPr>
        <w:tblW w:w="5000" w:type="pct"/>
        <w:tblLayout w:type="fixed"/>
        <w:tblBorders>
          <w:top w:val="none"/>
          <w:left w:val="none"/>
          <w:bottom w:val="none"/>
          <w:right w:val="none"/>
          <w:insideH w:val="none"/>
          <w:insideV w:val="none"/>
        </w:tblBorders>
        <w:tblCellMar>
          <w:top w:w="0" w:type="dxa"/>
          <w:bottom w:w="0" w:type="dxa"/>
          <w:left w:w="40" w:type="dxa"/>
          <w:right w:w="80" w:type="dxa"/>
        </w:tblCellMar>
      </w:tblPr>
      <w:tblGrid>
        <w:gridCol w:w="5400"/>
        <w:gridCol w:w="5400"/>
      </w:tblGrid>
      <w:tr>
        <w:tc>
          <w:tcPr>
            <w:tcW w:w="5400" w:type="dxa"/>
          </w:tcPr>
          <w:p>
            <w:pPr>
              <w:spacing w:after="36" w:before="0" w:line="264" w:lineRule="auto"/>
            </w:pPr>
            <w:hyperlink w:anchor="nav4001">
              <w:r>
                <w:rPr>
                  <w:b/>
                  <w:u w:val="single"/>
                  <w:color w:val="1D4ED8"/>
                  <w:sz w:val="20"/>
                </w:rPr>
                <w:t xml:space="preserve">1. DEFINITION OF CERTAIN TERMS</w:t>
              </w:r>
            </w:hyperlink>
          </w:p>
          <w:p>
            <w:pPr>
              <w:spacing w:after="36" w:before="0" w:line="264" w:lineRule="auto"/>
              <w:ind w:left="200"/>
            </w:pPr>
            <w:hyperlink w:anchor="nav4002">
              <w:r>
                <w:rPr>
                  <w:u w:val="single"/>
                  <w:color w:val="1D4ED8"/>
                  <w:sz w:val="20"/>
                </w:rPr>
                <w:t xml:space="preserve">1.1 "Act"</w:t>
              </w:r>
            </w:hyperlink>
          </w:p>
          <w:p>
            <w:pPr>
              <w:spacing w:after="36" w:before="0" w:line="264" w:lineRule="auto"/>
              <w:ind w:left="200"/>
            </w:pPr>
            <w:hyperlink w:anchor="nav4003">
              <w:r>
                <w:rPr>
                  <w:u w:val="single"/>
                  <w:color w:val="1D4ED8"/>
                  <w:sz w:val="20"/>
                </w:rPr>
                <w:t xml:space="preserve">1.2 "Apartment"</w:t>
              </w:r>
            </w:hyperlink>
          </w:p>
          <w:p>
            <w:pPr>
              <w:spacing w:after="36" w:before="0" w:line="264" w:lineRule="auto"/>
              <w:ind w:left="200"/>
            </w:pPr>
            <w:hyperlink w:anchor="nav4004">
              <w:r>
                <w:rPr>
                  <w:u w:val="single"/>
                  <w:color w:val="1D4ED8"/>
                  <w:sz w:val="20"/>
                </w:rPr>
                <w:t xml:space="preserve">1.3 "Association of Apartment Owners"</w:t>
              </w:r>
            </w:hyperlink>
          </w:p>
          <w:p>
            <w:pPr>
              <w:spacing w:after="36" w:before="0" w:line="264" w:lineRule="auto"/>
              <w:ind w:left="200"/>
            </w:pPr>
            <w:hyperlink w:anchor="nav4005">
              <w:r>
                <w:rPr>
                  <w:u w:val="single"/>
                  <w:color w:val="1D4ED8"/>
                  <w:sz w:val="20"/>
                </w:rPr>
                <w:t xml:space="preserve">1.4 "board of directors"</w:t>
              </w:r>
            </w:hyperlink>
          </w:p>
          <w:p>
            <w:pPr>
              <w:spacing w:after="36" w:before="0" w:line="264" w:lineRule="auto"/>
              <w:ind w:left="200"/>
            </w:pPr>
            <w:hyperlink w:anchor="nav4006">
              <w:r>
                <w:rPr>
                  <w:u w:val="single"/>
                  <w:color w:val="1D4ED8"/>
                  <w:sz w:val="20"/>
                </w:rPr>
                <w:t xml:space="preserve">1.5 "Bylaws"</w:t>
              </w:r>
            </w:hyperlink>
          </w:p>
          <w:p>
            <w:pPr>
              <w:spacing w:after="36" w:before="0" w:line="264" w:lineRule="auto"/>
              <w:ind w:left="200"/>
            </w:pPr>
            <w:hyperlink w:anchor="nav4007">
              <w:r>
                <w:rPr>
                  <w:u w:val="single"/>
                  <w:color w:val="1D4ED8"/>
                  <w:sz w:val="20"/>
                </w:rPr>
                <w:t xml:space="preserve">1.6 "common elements"</w:t>
              </w:r>
            </w:hyperlink>
          </w:p>
          <w:p>
            <w:pPr>
              <w:spacing w:after="36" w:before="0" w:line="264" w:lineRule="auto"/>
              <w:ind w:left="200"/>
            </w:pPr>
            <w:hyperlink w:anchor="nav4008">
              <w:r>
                <w:rPr>
                  <w:u w:val="single"/>
                  <w:color w:val="1D4ED8"/>
                  <w:sz w:val="20"/>
                </w:rPr>
                <w:t xml:space="preserve">1.7 "condominium documents"</w:t>
              </w:r>
            </w:hyperlink>
          </w:p>
          <w:p>
            <w:pPr>
              <w:spacing w:after="36" w:before="0" w:line="264" w:lineRule="auto"/>
              <w:ind w:left="200"/>
            </w:pPr>
            <w:hyperlink w:anchor="nav4009">
              <w:r>
                <w:rPr>
                  <w:u w:val="single"/>
                  <w:color w:val="1D4ED8"/>
                  <w:sz w:val="20"/>
                </w:rPr>
                <w:t xml:space="preserve">1.8 "Condominium Map"</w:t>
              </w:r>
            </w:hyperlink>
          </w:p>
          <w:p>
            <w:pPr>
              <w:spacing w:after="36" w:before="0" w:line="264" w:lineRule="auto"/>
              <w:ind w:left="200"/>
            </w:pPr>
            <w:hyperlink w:anchor="nav4010">
              <w:r>
                <w:rPr>
                  <w:u w:val="single"/>
                  <w:color w:val="1D4ED8"/>
                  <w:sz w:val="20"/>
                </w:rPr>
                <w:t xml:space="preserve">1.9 "Declarant" or "Developer"</w:t>
              </w:r>
            </w:hyperlink>
          </w:p>
          <w:p>
            <w:pPr>
              <w:spacing w:after="36" w:before="0" w:line="264" w:lineRule="auto"/>
              <w:ind w:left="200"/>
            </w:pPr>
            <w:hyperlink w:anchor="nav4011">
              <w:r>
                <w:rPr>
                  <w:u w:val="single"/>
                  <w:color w:val="1D4ED8"/>
                  <w:sz w:val="20"/>
                </w:rPr>
                <w:t xml:space="preserve">1.10 "Declarant's architect"</w:t>
              </w:r>
            </w:hyperlink>
          </w:p>
          <w:p>
            <w:pPr>
              <w:spacing w:after="36" w:before="0" w:line="264" w:lineRule="auto"/>
              <w:ind w:left="200"/>
            </w:pPr>
            <w:hyperlink w:anchor="nav4012">
              <w:r>
                <w:rPr>
                  <w:u w:val="single"/>
                  <w:color w:val="1D4ED8"/>
                  <w:sz w:val="20"/>
                </w:rPr>
                <w:t xml:space="preserve">1.11 "Declaration"</w:t>
              </w:r>
            </w:hyperlink>
          </w:p>
          <w:p>
            <w:pPr>
              <w:spacing w:after="36" w:before="0" w:line="264" w:lineRule="auto"/>
              <w:ind w:left="200"/>
            </w:pPr>
            <w:hyperlink w:anchor="nav4013">
              <w:r>
                <w:rPr>
                  <w:u w:val="single"/>
                  <w:color w:val="1D4ED8"/>
                  <w:sz w:val="20"/>
                </w:rPr>
                <w:t xml:space="preserve">1.12 "Developer"</w:t>
              </w:r>
            </w:hyperlink>
          </w:p>
          <w:p>
            <w:pPr>
              <w:spacing w:after="36" w:before="0" w:line="264" w:lineRule="auto"/>
              <w:ind w:left="200"/>
            </w:pPr>
            <w:hyperlink w:anchor="nav4014">
              <w:r>
                <w:rPr>
                  <w:u w:val="single"/>
                  <w:color w:val="1D4ED8"/>
                  <w:sz w:val="20"/>
                </w:rPr>
                <w:t xml:space="preserve">1.13 "Fee Owner"</w:t>
              </w:r>
            </w:hyperlink>
          </w:p>
          <w:p>
            <w:pPr>
              <w:spacing w:after="36" w:before="0" w:line="264" w:lineRule="auto"/>
              <w:ind w:left="200"/>
            </w:pPr>
            <w:hyperlink w:anchor="nav4015">
              <w:r>
                <w:rPr>
                  <w:u w:val="single"/>
                  <w:color w:val="1D4ED8"/>
                  <w:sz w:val="20"/>
                </w:rPr>
                <w:t xml:space="preserve">1.14 "land"</w:t>
              </w:r>
            </w:hyperlink>
          </w:p>
          <w:p>
            <w:pPr>
              <w:spacing w:after="36" w:before="0" w:line="264" w:lineRule="auto"/>
              <w:ind w:left="200"/>
            </w:pPr>
            <w:hyperlink w:anchor="nav4016">
              <w:r>
                <w:rPr>
                  <w:u w:val="single"/>
                  <w:color w:val="1D4ED8"/>
                  <w:sz w:val="20"/>
                </w:rPr>
                <w:t xml:space="preserve">1.15 "majority of owners"</w:t>
              </w:r>
            </w:hyperlink>
          </w:p>
          <w:p>
            <w:pPr>
              <w:spacing w:after="36" w:before="0" w:line="264" w:lineRule="auto"/>
              <w:ind w:left="200"/>
            </w:pPr>
            <w:hyperlink w:anchor="nav4017">
              <w:r>
                <w:rPr>
                  <w:u w:val="single"/>
                  <w:color w:val="1D4ED8"/>
                  <w:sz w:val="20"/>
                </w:rPr>
                <w:t xml:space="preserve">1.16 "mortgagee"</w:t>
              </w:r>
            </w:hyperlink>
          </w:p>
          <w:p>
            <w:pPr>
              <w:spacing w:after="36" w:before="0" w:line="264" w:lineRule="auto"/>
              <w:ind w:left="200"/>
            </w:pPr>
            <w:hyperlink w:anchor="nav4018">
              <w:r>
                <w:rPr>
                  <w:u w:val="single"/>
                  <w:color w:val="1D4ED8"/>
                  <w:sz w:val="20"/>
                </w:rPr>
                <w:t xml:space="preserve">1.17 "owner" or "owners"</w:t>
              </w:r>
            </w:hyperlink>
          </w:p>
          <w:p>
            <w:pPr>
              <w:spacing w:after="36" w:before="0" w:line="264" w:lineRule="auto"/>
              <w:ind w:left="200"/>
            </w:pPr>
            <w:hyperlink w:anchor="nav4019">
              <w:r>
                <w:rPr>
                  <w:u w:val="single"/>
                  <w:color w:val="1D4ED8"/>
                  <w:sz w:val="20"/>
                </w:rPr>
                <w:t xml:space="preserve">1.18 "Project"</w:t>
              </w:r>
            </w:hyperlink>
          </w:p>
          <w:p>
            <w:pPr>
              <w:spacing w:after="36" w:before="0" w:line="264" w:lineRule="auto"/>
              <w:ind w:left="200"/>
            </w:pPr>
            <w:hyperlink w:anchor="nav4020">
              <w:r>
                <w:rPr>
                  <w:u w:val="single"/>
                  <w:color w:val="1D4ED8"/>
                  <w:sz w:val="20"/>
                </w:rPr>
                <w:t xml:space="preserve">1.19 "project building"</w:t>
              </w:r>
            </w:hyperlink>
          </w:p>
          <w:p>
            <w:pPr>
              <w:spacing w:after="36" w:before="0" w:line="264" w:lineRule="auto"/>
              <w:ind w:left="200"/>
            </w:pPr>
            <w:hyperlink w:anchor="nav4021">
              <w:r>
                <w:rPr>
                  <w:u w:val="single"/>
                  <w:color w:val="1D4ED8"/>
                  <w:sz w:val="20"/>
                </w:rPr>
                <w:t xml:space="preserve">1.20 "recorded"</w:t>
              </w:r>
            </w:hyperlink>
          </w:p>
          <w:p>
            <w:pPr>
              <w:spacing w:after="36" w:before="0" w:line="264" w:lineRule="auto"/>
              <w:ind w:left="200"/>
            </w:pPr>
            <w:hyperlink w:anchor="nav4022">
              <w:r>
                <w:rPr>
                  <w:u w:val="single"/>
                  <w:color w:val="1D4ED8"/>
                  <w:sz w:val="20"/>
                </w:rPr>
                <w:t xml:space="preserve">1.21 "rules and regulations"</w:t>
              </w:r>
            </w:hyperlink>
          </w:p>
          <w:p>
            <w:pPr>
              <w:spacing w:after="36" w:before="0" w:line="264" w:lineRule="auto"/>
            </w:pPr>
            <w:hyperlink w:anchor="nav4023">
              <w:r>
                <w:rPr>
                  <w:b/>
                  <w:u w:val="single"/>
                  <w:color w:val="1D4ED8"/>
                  <w:sz w:val="20"/>
                </w:rPr>
                <w:t xml:space="preserve">2. SUBMISSION TO THE CONDOMINIUM PROPERTY REGIME</w:t>
              </w:r>
            </w:hyperlink>
          </w:p>
          <w:p>
            <w:pPr>
              <w:spacing w:after="36" w:before="0" w:line="264" w:lineRule="auto"/>
            </w:pPr>
            <w:hyperlink w:anchor="nav4024">
              <w:r>
                <w:rPr>
                  <w:b/>
                  <w:u w:val="single"/>
                  <w:color w:val="1D4ED8"/>
                  <w:sz w:val="20"/>
                </w:rPr>
                <w:t xml:space="preserve">3. PROJECT NAME</w:t>
              </w:r>
            </w:hyperlink>
          </w:p>
          <w:p>
            <w:pPr>
              <w:spacing w:after="36" w:before="0" w:line="264" w:lineRule="auto"/>
            </w:pPr>
            <w:hyperlink w:anchor="nav4025">
              <w:r>
                <w:rPr>
                  <w:b/>
                  <w:u w:val="single"/>
                  <w:color w:val="1D4ED8"/>
                  <w:sz w:val="20"/>
                </w:rPr>
                <w:t xml:space="preserve">4. DESCRIPTION OF THE LAND, BUILDINGS AND APART…</w:t>
              </w:r>
            </w:hyperlink>
          </w:p>
          <w:p>
            <w:pPr>
              <w:spacing w:after="36" w:before="0" w:line="264" w:lineRule="auto"/>
              <w:ind w:left="200"/>
            </w:pPr>
            <w:hyperlink w:anchor="nav4026">
              <w:r>
                <w:rPr>
                  <w:u w:val="single"/>
                  <w:color w:val="1D4ED8"/>
                  <w:sz w:val="20"/>
                </w:rPr>
                <w:t xml:space="preserve">4.1 Land</w:t>
              </w:r>
            </w:hyperlink>
          </w:p>
          <w:p>
            <w:pPr>
              <w:spacing w:after="36" w:before="0" w:line="264" w:lineRule="auto"/>
              <w:ind w:left="200"/>
            </w:pPr>
            <w:hyperlink w:anchor="nav4027">
              <w:r>
                <w:rPr>
                  <w:u w:val="single"/>
                  <w:color w:val="1D4ED8"/>
                  <w:sz w:val="20"/>
                </w:rPr>
                <w:t xml:space="preserve">4.2 Buildings and Apartments</w:t>
              </w:r>
            </w:hyperlink>
          </w:p>
          <w:p>
            <w:pPr>
              <w:spacing w:after="36" w:before="0" w:line="264" w:lineRule="auto"/>
              <w:ind w:left="200"/>
            </w:pPr>
            <w:hyperlink w:anchor="nav4028">
              <w:r>
                <w:rPr>
                  <w:u w:val="single"/>
                  <w:color w:val="1D4ED8"/>
                  <w:sz w:val="20"/>
                </w:rPr>
                <w:t xml:space="preserve">4.3 Limits and Measurements of Apartments</w:t>
              </w:r>
            </w:hyperlink>
          </w:p>
          <w:p>
            <w:pPr>
              <w:spacing w:after="36" w:before="0" w:line="264" w:lineRule="auto"/>
            </w:pPr>
            <w:hyperlink w:anchor="nav4029">
              <w:r>
                <w:rPr>
                  <w:b/>
                  <w:u w:val="single"/>
                  <w:color w:val="1D4ED8"/>
                  <w:sz w:val="20"/>
                </w:rPr>
                <w:t xml:space="preserve">5. COMMON ELEMENTS</w:t>
              </w:r>
            </w:hyperlink>
          </w:p>
          <w:p>
            <w:pPr>
              <w:spacing w:after="36" w:before="0" w:line="264" w:lineRule="auto"/>
              <w:ind w:left="200"/>
            </w:pPr>
            <w:hyperlink w:anchor="nav4030">
              <w:r>
                <w:rPr>
                  <w:u w:val="single"/>
                  <w:color w:val="1D4ED8"/>
                  <w:sz w:val="20"/>
                </w:rPr>
                <w:t xml:space="preserve">5.1 Common Elements</w:t>
              </w:r>
            </w:hyperlink>
          </w:p>
          <w:p>
            <w:pPr>
              <w:spacing w:after="36" w:before="0" w:line="264" w:lineRule="auto"/>
              <w:ind w:left="200"/>
            </w:pPr>
            <w:hyperlink w:anchor="nav4031">
              <w:r>
                <w:rPr>
                  <w:u w:val="single"/>
                  <w:color w:val="1D4ED8"/>
                  <w:sz w:val="20"/>
                </w:rPr>
                <w:t xml:space="preserve">5.2 Limited Common Elements</w:t>
              </w:r>
            </w:hyperlink>
          </w:p>
          <w:p>
            <w:pPr>
              <w:spacing w:after="36" w:before="0" w:line="264" w:lineRule="auto"/>
              <w:ind w:left="200"/>
            </w:pPr>
            <w:hyperlink w:anchor="nav4032">
              <w:r>
                <w:rPr>
                  <w:u w:val="single"/>
                  <w:color w:val="1D4ED8"/>
                  <w:sz w:val="20"/>
                </w:rPr>
                <w:t xml:space="preserve">5.3 Common Expenses and Costs and Expenses Rela…</w:t>
              </w:r>
            </w:hyperlink>
          </w:p>
          <w:p>
            <w:pPr>
              <w:spacing w:after="36" w:before="0" w:line="264" w:lineRule="auto"/>
              <w:ind w:left="200"/>
            </w:pPr>
            <w:hyperlink w:anchor="nav4033">
              <w:r>
                <w:rPr>
                  <w:u w:val="single"/>
                  <w:color w:val="1D4ED8"/>
                  <w:sz w:val="20"/>
                </w:rPr>
                <w:t xml:space="preserve">5.4 Responsibilities</w:t>
              </w:r>
            </w:hyperlink>
          </w:p>
          <w:p>
            <w:pPr>
              <w:spacing w:after="36" w:before="0" w:line="264" w:lineRule="auto"/>
            </w:pPr>
            <w:hyperlink w:anchor="nav4034">
              <w:r>
                <w:rPr>
                  <w:b/>
                  <w:u w:val="single"/>
                  <w:color w:val="1D4ED8"/>
                  <w:sz w:val="20"/>
                </w:rPr>
                <w:t xml:space="preserve">6. EASEMENTS AND OTHER RIGHTS</w:t>
              </w:r>
            </w:hyperlink>
          </w:p>
          <w:p>
            <w:pPr>
              <w:spacing w:after="36" w:before="0" w:line="264" w:lineRule="auto"/>
            </w:pPr>
            <w:hyperlink w:anchor="nav4035">
              <w:r>
                <w:rPr>
                  <w:b/>
                  <w:u w:val="single"/>
                  <w:color w:val="1D4ED8"/>
                  <w:sz w:val="20"/>
                </w:rPr>
                <w:t xml:space="preserve">7. COMMON INTEREST</w:t>
              </w:r>
            </w:hyperlink>
          </w:p>
          <w:p>
            <w:pPr>
              <w:spacing w:after="36" w:before="0" w:line="264" w:lineRule="auto"/>
            </w:pPr>
            <w:hyperlink w:anchor="nav4036">
              <w:r>
                <w:rPr>
                  <w:b/>
                  <w:u w:val="single"/>
                  <w:color w:val="1D4ED8"/>
                  <w:sz w:val="20"/>
                </w:rPr>
                <w:t xml:space="preserve">8. PURPOSES AND USES</w:t>
              </w:r>
            </w:hyperlink>
          </w:p>
          <w:p>
            <w:pPr>
              <w:spacing w:after="36" w:before="0" w:line="264" w:lineRule="auto"/>
            </w:pPr>
            <w:hyperlink w:anchor="nav4037">
              <w:r>
                <w:rPr>
                  <w:b/>
                  <w:u w:val="single"/>
                  <w:color w:val="1D4ED8"/>
                  <w:sz w:val="20"/>
                </w:rPr>
                <w:t xml:space="preserve">9. EXEMPTIONS FOR PERSONS WITH DISABILITIES</w:t>
              </w:r>
            </w:hyperlink>
          </w:p>
          <w:p>
            <w:pPr>
              <w:spacing w:after="36" w:before="0" w:line="264" w:lineRule="auto"/>
            </w:pPr>
            <w:hyperlink w:anchor="nav4038">
              <w:r>
                <w:rPr>
                  <w:b/>
                  <w:u w:val="single"/>
                  <w:color w:val="1D4ED8"/>
                  <w:sz w:val="20"/>
                </w:rPr>
                <w:t xml:space="preserve">10. SERVICE OF PROCESS</w:t>
              </w:r>
            </w:hyperlink>
          </w:p>
          <w:p>
            <w:pPr>
              <w:spacing w:after="36" w:before="0" w:line="264" w:lineRule="auto"/>
            </w:pPr>
            <w:hyperlink w:anchor="nav4039">
              <w:r>
                <w:rPr>
                  <w:b/>
                  <w:u w:val="single"/>
                  <w:color w:val="1D4ED8"/>
                  <w:sz w:val="20"/>
                </w:rPr>
                <w:t xml:space="preserve">11. ADMINISTRATION OF PROJECT</w:t>
              </w:r>
            </w:hyperlink>
          </w:p>
        </w:tc>
        <w:tc>
          <w:tcPr>
            <w:tcW w:w="5400" w:type="dxa"/>
          </w:tcPr>
          <w:p>
            <w:pPr>
              <w:spacing w:after="36" w:before="0" w:line="264" w:lineRule="auto"/>
            </w:pPr>
            <w:hyperlink w:anchor="nav4040">
              <w:r>
                <w:rPr>
                  <w:b/>
                  <w:u w:val="single"/>
                  <w:color w:val="1D4ED8"/>
                  <w:sz w:val="20"/>
                </w:rPr>
                <w:t xml:space="preserve">12. INSURANCE AND DAMAGE</w:t>
              </w:r>
            </w:hyperlink>
          </w:p>
          <w:p>
            <w:pPr>
              <w:spacing w:after="36" w:before="0" w:line="264" w:lineRule="auto"/>
              <w:ind w:left="200"/>
            </w:pPr>
            <w:hyperlink w:anchor="nav4041">
              <w:r>
                <w:rPr>
                  <w:u w:val="single"/>
                  <w:color w:val="1D4ED8"/>
                  <w:sz w:val="20"/>
                </w:rPr>
                <w:t xml:space="preserve">12.1 Commercial Property Insurance</w:t>
              </w:r>
            </w:hyperlink>
          </w:p>
          <w:p>
            <w:pPr>
              <w:spacing w:after="36" w:before="0" w:line="264" w:lineRule="auto"/>
              <w:ind w:left="200"/>
            </w:pPr>
            <w:hyperlink w:anchor="nav4042">
              <w:r>
                <w:rPr>
                  <w:u w:val="single"/>
                  <w:color w:val="1D4ED8"/>
                  <w:sz w:val="20"/>
                </w:rPr>
                <w:t xml:space="preserve">12.2 Liability Insurance</w:t>
              </w:r>
            </w:hyperlink>
          </w:p>
          <w:p>
            <w:pPr>
              <w:spacing w:after="36" w:before="0" w:line="264" w:lineRule="auto"/>
              <w:ind w:left="200"/>
            </w:pPr>
            <w:hyperlink w:anchor="nav4043">
              <w:r>
                <w:rPr>
                  <w:u w:val="single"/>
                  <w:color w:val="1D4ED8"/>
                  <w:sz w:val="20"/>
                </w:rPr>
                <w:t xml:space="preserve">12.3 Worker's Compensation</w:t>
              </w:r>
            </w:hyperlink>
          </w:p>
          <w:p>
            <w:pPr>
              <w:spacing w:after="36" w:before="0" w:line="264" w:lineRule="auto"/>
              <w:ind w:left="200"/>
            </w:pPr>
            <w:hyperlink w:anchor="nav4044">
              <w:r>
                <w:rPr>
                  <w:u w:val="single"/>
                  <w:color w:val="1D4ED8"/>
                  <w:sz w:val="20"/>
                </w:rPr>
                <w:t xml:space="preserve">12.4 Liability Insurance for Members of the Boa…</w:t>
              </w:r>
            </w:hyperlink>
          </w:p>
          <w:p>
            <w:pPr>
              <w:spacing w:after="36" w:before="0" w:line="264" w:lineRule="auto"/>
              <w:ind w:left="200"/>
            </w:pPr>
            <w:hyperlink w:anchor="nav4045">
              <w:r>
                <w:rPr>
                  <w:u w:val="single"/>
                  <w:color w:val="1D4ED8"/>
                  <w:sz w:val="20"/>
                </w:rPr>
                <w:t xml:space="preserve">12.5 Other Insurance</w:t>
              </w:r>
            </w:hyperlink>
          </w:p>
          <w:p>
            <w:pPr>
              <w:spacing w:after="36" w:before="0" w:line="264" w:lineRule="auto"/>
              <w:ind w:left="200"/>
            </w:pPr>
            <w:hyperlink w:anchor="nav4046">
              <w:r>
                <w:rPr>
                  <w:u w:val="single"/>
                  <w:color w:val="1D4ED8"/>
                  <w:sz w:val="20"/>
                </w:rPr>
                <w:t xml:space="preserve">12.6 Review of Insurance Program</w:t>
              </w:r>
            </w:hyperlink>
          </w:p>
          <w:p>
            <w:pPr>
              <w:spacing w:after="36" w:before="0" w:line="264" w:lineRule="auto"/>
              <w:ind w:left="200"/>
            </w:pPr>
            <w:hyperlink w:anchor="nav4047">
              <w:r>
                <w:rPr>
                  <w:u w:val="single"/>
                  <w:color w:val="1D4ED8"/>
                  <w:sz w:val="20"/>
                </w:rPr>
                <w:t xml:space="preserve">12.7 Waivers of Subrogation</w:t>
              </w:r>
            </w:hyperlink>
          </w:p>
          <w:p>
            <w:pPr>
              <w:spacing w:after="36" w:before="0" w:line="264" w:lineRule="auto"/>
              <w:ind w:left="200"/>
            </w:pPr>
            <w:hyperlink w:anchor="nav4048">
              <w:r>
                <w:rPr>
                  <w:u w:val="single"/>
                  <w:color w:val="1D4ED8"/>
                  <w:sz w:val="20"/>
                </w:rPr>
                <w:t xml:space="preserve">12.8 Substitute Coverage</w:t>
              </w:r>
            </w:hyperlink>
          </w:p>
          <w:p>
            <w:pPr>
              <w:spacing w:after="36" w:before="0" w:line="264" w:lineRule="auto"/>
            </w:pPr>
            <w:hyperlink w:anchor="nav4049">
              <w:r>
                <w:rPr>
                  <w:b/>
                  <w:u w:val="single"/>
                  <w:color w:val="1D4ED8"/>
                  <w:sz w:val="20"/>
                </w:rPr>
                <w:t xml:space="preserve">13. INSURED CASUALTY AND UNINSURED CASUALTY</w:t>
              </w:r>
            </w:hyperlink>
          </w:p>
          <w:p>
            <w:pPr>
              <w:spacing w:after="36" w:before="0" w:line="264" w:lineRule="auto"/>
              <w:ind w:left="200"/>
            </w:pPr>
            <w:hyperlink w:anchor="nav4050">
              <w:r>
                <w:rPr>
                  <w:u w:val="single"/>
                  <w:color w:val="1D4ED8"/>
                  <w:sz w:val="20"/>
                </w:rPr>
                <w:t xml:space="preserve">13.1 Insured Casualty</w:t>
              </w:r>
            </w:hyperlink>
          </w:p>
          <w:p>
            <w:pPr>
              <w:spacing w:after="36" w:before="0" w:line="264" w:lineRule="auto"/>
              <w:ind w:left="200"/>
            </w:pPr>
            <w:hyperlink w:anchor="nav4051">
              <w:r>
                <w:rPr>
                  <w:u w:val="single"/>
                  <w:color w:val="1D4ED8"/>
                  <w:sz w:val="20"/>
                </w:rPr>
                <w:t xml:space="preserve">13.2 Uninsured Casualty: Partial Restoration an…</w:t>
              </w:r>
            </w:hyperlink>
          </w:p>
          <w:p>
            <w:pPr>
              <w:spacing w:after="36" w:before="0" w:line="264" w:lineRule="auto"/>
            </w:pPr>
            <w:hyperlink w:anchor="nav4052">
              <w:r>
                <w:rPr>
                  <w:b/>
                  <w:u w:val="single"/>
                  <w:color w:val="1D4ED8"/>
                  <w:sz w:val="20"/>
                </w:rPr>
                <w:t xml:space="preserve">14. CONDEMNATION</w:t>
              </w:r>
            </w:hyperlink>
          </w:p>
          <w:p>
            <w:pPr>
              <w:spacing w:after="36" w:before="0" w:line="264" w:lineRule="auto"/>
              <w:ind w:left="200"/>
            </w:pPr>
            <w:hyperlink w:anchor="nav4053">
              <w:r>
                <w:rPr>
                  <w:u w:val="single"/>
                  <w:color w:val="1D4ED8"/>
                  <w:sz w:val="20"/>
                </w:rPr>
                <w:t xml:space="preserve">14.1 Condemnation Trustee</w:t>
              </w:r>
            </w:hyperlink>
          </w:p>
          <w:p>
            <w:pPr>
              <w:spacing w:after="36" w:before="0" w:line="264" w:lineRule="auto"/>
              <w:ind w:left="200"/>
            </w:pPr>
            <w:hyperlink w:anchor="nav4054">
              <w:r>
                <w:rPr>
                  <w:u w:val="single"/>
                  <w:color w:val="1D4ED8"/>
                  <w:sz w:val="20"/>
                </w:rPr>
                <w:t xml:space="preserve">14.2 Allocation of Condemnation Proceeds</w:t>
              </w:r>
            </w:hyperlink>
          </w:p>
          <w:p>
            <w:pPr>
              <w:spacing w:after="36" w:before="0" w:line="264" w:lineRule="auto"/>
              <w:ind w:left="200"/>
            </w:pPr>
            <w:hyperlink w:anchor="nav4055">
              <w:r>
                <w:rPr>
                  <w:u w:val="single"/>
                  <w:color w:val="1D4ED8"/>
                  <w:sz w:val="20"/>
                </w:rPr>
                <w:t xml:space="preserve">14.3 Condemnation of Entire Project</w:t>
              </w:r>
            </w:hyperlink>
          </w:p>
          <w:p>
            <w:pPr>
              <w:spacing w:after="36" w:before="0" w:line="264" w:lineRule="auto"/>
              <w:ind w:left="200"/>
            </w:pPr>
            <w:hyperlink w:anchor="nav4056">
              <w:r>
                <w:rPr>
                  <w:u w:val="single"/>
                  <w:color w:val="1D4ED8"/>
                  <w:sz w:val="20"/>
                </w:rPr>
                <w:t xml:space="preserve">14.4 Partial Taking</w:t>
              </w:r>
            </w:hyperlink>
          </w:p>
          <w:p>
            <w:pPr>
              <w:spacing w:after="36" w:before="0" w:line="264" w:lineRule="auto"/>
            </w:pPr>
            <w:hyperlink w:anchor="nav4057">
              <w:r>
                <w:rPr>
                  <w:b/>
                  <w:u w:val="single"/>
                  <w:color w:val="1D4ED8"/>
                  <w:sz w:val="20"/>
                </w:rPr>
                <w:t xml:space="preserve">15. COMPLIANCE WITH CONDOMINIUM DOCUMENTS</w:t>
              </w:r>
            </w:hyperlink>
          </w:p>
          <w:p>
            <w:pPr>
              <w:spacing w:after="36" w:before="0" w:line="264" w:lineRule="auto"/>
              <w:ind w:left="200"/>
            </w:pPr>
            <w:hyperlink w:anchor="nav4058">
              <w:r>
                <w:rPr>
                  <w:u w:val="single"/>
                  <w:color w:val="1D4ED8"/>
                  <w:sz w:val="20"/>
                </w:rPr>
                <w:t xml:space="preserve">15.1 Compliance</w:t>
              </w:r>
            </w:hyperlink>
          </w:p>
          <w:p>
            <w:pPr>
              <w:spacing w:after="36" w:before="0" w:line="264" w:lineRule="auto"/>
              <w:ind w:left="200"/>
            </w:pPr>
            <w:hyperlink w:anchor="nav4059">
              <w:r>
                <w:rPr>
                  <w:u w:val="single"/>
                  <w:color w:val="1D4ED8"/>
                  <w:sz w:val="20"/>
                </w:rPr>
                <w:t xml:space="preserve">15.2 Costs</w:t>
              </w:r>
            </w:hyperlink>
          </w:p>
          <w:p>
            <w:pPr>
              <w:spacing w:after="36" w:before="0" w:line="264" w:lineRule="auto"/>
            </w:pPr>
            <w:hyperlink w:anchor="nav4060">
              <w:r>
                <w:rPr>
                  <w:b/>
                  <w:u w:val="single"/>
                  <w:color w:val="1D4ED8"/>
                  <w:sz w:val="20"/>
                </w:rPr>
                <w:t xml:space="preserve">16. AMENDMENTS OF THE DECLARATION</w:t>
              </w:r>
            </w:hyperlink>
          </w:p>
          <w:p>
            <w:pPr>
              <w:spacing w:after="36" w:before="0" w:line="264" w:lineRule="auto"/>
              <w:ind w:left="200"/>
            </w:pPr>
            <w:hyperlink w:anchor="nav4061">
              <w:r>
                <w:rPr>
                  <w:u w:val="single"/>
                  <w:color w:val="1D4ED8"/>
                  <w:sz w:val="20"/>
                </w:rPr>
                <w:t xml:space="preserve">16.1 Amendments Generally</w:t>
              </w:r>
            </w:hyperlink>
          </w:p>
          <w:p>
            <w:pPr>
              <w:spacing w:after="36" w:before="0" w:line="264" w:lineRule="auto"/>
              <w:ind w:left="200"/>
            </w:pPr>
            <w:hyperlink w:anchor="nav4062">
              <w:r>
                <w:rPr>
                  <w:u w:val="single"/>
                  <w:color w:val="1D4ED8"/>
                  <w:sz w:val="20"/>
                </w:rPr>
                <w:t xml:space="preserve">16.2 Amendments Required by Law, Lenders, Title…</w:t>
              </w:r>
            </w:hyperlink>
          </w:p>
          <w:p>
            <w:pPr>
              <w:spacing w:after="36" w:before="0" w:line="264" w:lineRule="auto"/>
              <w:ind w:left="200"/>
            </w:pPr>
            <w:hyperlink w:anchor="nav4063">
              <w:r>
                <w:rPr>
                  <w:u w:val="single"/>
                  <w:color w:val="1D4ED8"/>
                  <w:sz w:val="20"/>
                </w:rPr>
                <w:t xml:space="preserve">16.3 Restatement</w:t>
              </w:r>
            </w:hyperlink>
          </w:p>
          <w:p>
            <w:pPr>
              <w:spacing w:after="36" w:before="0" w:line="264" w:lineRule="auto"/>
              <w:ind w:left="200"/>
            </w:pPr>
            <w:hyperlink w:anchor="nav4064">
              <w:r>
                <w:rPr>
                  <w:u w:val="single"/>
                  <w:color w:val="1D4ED8"/>
                  <w:sz w:val="20"/>
                </w:rPr>
                <w:t xml:space="preserve">16.4 Consent of Eligible Mortgage Holders</w:t>
              </w:r>
            </w:hyperlink>
          </w:p>
          <w:p>
            <w:pPr>
              <w:spacing w:after="36" w:before="0" w:line="264" w:lineRule="auto"/>
              <w:ind w:left="200"/>
            </w:pPr>
            <w:hyperlink w:anchor="nav4065">
              <w:r>
                <w:rPr>
                  <w:u w:val="single"/>
                  <w:color w:val="1D4ED8"/>
                  <w:sz w:val="20"/>
                </w:rPr>
                <w:t xml:space="preserve">16.5 Consent of Holders of First Mortgages</w:t>
              </w:r>
            </w:hyperlink>
          </w:p>
          <w:p>
            <w:pPr>
              <w:spacing w:after="36" w:before="0" w:line="264" w:lineRule="auto"/>
            </w:pPr>
            <w:hyperlink w:anchor="nav4066">
              <w:r>
                <w:rPr>
                  <w:b/>
                  <w:u w:val="single"/>
                  <w:color w:val="1D4ED8"/>
                  <w:sz w:val="20"/>
                </w:rPr>
                <w:t xml:space="preserve">17. CAPTIONS</w:t>
              </w:r>
            </w:hyperlink>
          </w:p>
          <w:p>
            <w:pPr>
              <w:spacing w:after="36" w:before="0" w:line="264" w:lineRule="auto"/>
            </w:pPr>
            <w:hyperlink w:anchor="nav4067">
              <w:r>
                <w:rPr>
                  <w:b/>
                  <w:u w:val="single"/>
                  <w:color w:val="1D4ED8"/>
                  <w:sz w:val="20"/>
                </w:rPr>
                <w:t xml:space="preserve">18. CONFLICT BETWEEN DECLARATION AND THE ACT</w:t>
              </w:r>
            </w:hyperlink>
          </w:p>
          <w:p>
            <w:pPr>
              <w:spacing w:after="36" w:before="0" w:line="264" w:lineRule="auto"/>
            </w:pPr>
            <w:hyperlink w:anchor="nav4068">
              <w:r>
                <w:rPr>
                  <w:b/>
                  <w:u w:val="single"/>
                  <w:color w:val="1D4ED8"/>
                  <w:sz w:val="20"/>
                </w:rPr>
                <w:t xml:space="preserve">19. GOVERNING LAW</w:t>
              </w:r>
            </w:hyperlink>
          </w:p>
          <w:p>
            <w:pPr>
              <w:spacing w:after="36" w:before="0" w:line="264" w:lineRule="auto"/>
            </w:pPr>
            <w:hyperlink w:anchor="nav4069">
              <w:r>
                <w:rPr>
                  <w:b/>
                  <w:u w:val="single"/>
                  <w:color w:val="1D4ED8"/>
                  <w:sz w:val="20"/>
                </w:rPr>
                <w:t xml:space="preserve">1. Reservation in favor of the State of Hawaii…</w:t>
              </w:r>
            </w:hyperlink>
          </w:p>
          <w:p>
            <w:pPr>
              <w:spacing w:after="36" w:before="0" w:line="264" w:lineRule="auto"/>
            </w:pPr>
            <w:hyperlink w:anchor="nav4070">
              <w:r>
                <w:rPr>
                  <w:b/>
                  <w:u w:val="single"/>
                  <w:color w:val="1D4ED8"/>
                  <w:sz w:val="20"/>
                </w:rPr>
                <w:t xml:space="preserve">2. The terms and provisions, including the fail…</w:t>
              </w:r>
            </w:hyperlink>
          </w:p>
          <w:p>
            <w:pPr>
              <w:spacing w:after="36" w:before="0" w:line="264" w:lineRule="auto"/>
            </w:pPr>
            <w:hyperlink w:anchor="nav4071">
              <w:r>
                <w:rPr>
                  <w:b/>
                  <w:u w:val="single"/>
                  <w:color w:val="1D4ED8"/>
                  <w:sz w:val="20"/>
                </w:rPr>
                <w:t xml:space="preserve">3. The terms and provisions, including the fail…</w:t>
              </w:r>
            </w:hyperlink>
          </w:p>
          <w:p>
            <w:pPr>
              <w:spacing w:after="36" w:before="0" w:line="264" w:lineRule="auto"/>
            </w:pPr>
            <w:hyperlink w:anchor="nav4072">
              <w:r>
                <w:rPr>
                  <w:b/>
                  <w:u w:val="single"/>
                  <w:color w:val="1D4ED8"/>
                  <w:sz w:val="20"/>
                </w:rPr>
                <w:t xml:space="preserve">4. The terms and provisions, including the fail…</w:t>
              </w:r>
            </w:hyperlink>
          </w:p>
          <w:p>
            <w:pPr>
              <w:spacing w:after="36" w:before="0" w:line="264" w:lineRule="auto"/>
            </w:pPr>
            <w:hyperlink w:anchor="nav4073">
              <w:r>
                <w:rPr>
                  <w:b/>
                  <w:u w:val="single"/>
                  <w:color w:val="1D4ED8"/>
                  <w:sz w:val="20"/>
                </w:rPr>
                <w:t xml:space="preserve">5. Claims arising out of customary and traditio…</w:t>
              </w:r>
            </w:hyperlink>
          </w:p>
          <w:p>
            <w:pPr>
              <w:spacing w:after="36" w:before="0" w:line="264" w:lineRule="auto"/>
            </w:pPr>
            <w:hyperlink w:anchor="nav4074">
              <w:r>
                <w:rPr>
                  <w:b/>
                  <w:u w:val="single"/>
                  <w:color w:val="1D4ED8"/>
                  <w:sz w:val="20"/>
                </w:rPr>
                <w:t xml:space="preserve">6. Any lien (or claim of lien) for services, la…</w:t>
              </w:r>
            </w:hyperlink>
          </w:p>
          <w:p>
            <w:pPr>
              <w:spacing w:after="36" w:before="0" w:line="264" w:lineRule="auto"/>
            </w:pPr>
            <w:hyperlink w:anchor="nav4075">
              <w:r>
                <w:rPr>
                  <w:b/>
                  <w:u w:val="single"/>
                  <w:color w:val="1D4ED8"/>
                  <w:sz w:val="20"/>
                </w:rPr>
                <w:t xml:space="preserve">7. Discrepancies, conflicts in boundary lines,…</w:t>
              </w:r>
            </w:hyperlink>
          </w:p>
          <w:p>
            <w:pPr>
              <w:spacing w:after="36" w:before="0" w:line="264" w:lineRule="auto"/>
            </w:pPr>
            <w:hyperlink w:anchor="nav4076">
              <w:r>
                <w:rPr>
                  <w:b/>
                  <w:u w:val="single"/>
                  <w:color w:val="1D4ED8"/>
                  <w:sz w:val="20"/>
                </w:rPr>
                <w:t xml:space="preserve">1. _Description of the Buildings:_ The Project…</w:t>
              </w:r>
            </w:hyperlink>
          </w:p>
          <w:p>
            <w:pPr>
              <w:spacing w:after="36" w:before="0" w:line="264" w:lineRule="auto"/>
            </w:pPr>
            <w:hyperlink w:anchor="nav4077">
              <w:r>
                <w:rPr>
                  <w:b/>
                  <w:u w:val="single"/>
                  <w:color w:val="1D4ED8"/>
                  <w:sz w:val="20"/>
                </w:rPr>
                <w:t xml:space="preserve">2. _Description of Apartments:_ The apartments…</w:t>
              </w:r>
            </w:hyperlink>
          </w:p>
        </w:tc>
      </w:tr>
    </w:tbl>
    <w:p>
      <w:pPr>
        <w:sectPr w:rsidR="00FC693F" w:rsidRPr="0006063C" w:rsidSect="00034616">
          <w:footerReference w:type="first" r:id="rId12"/>
          <w:footerReference w:type="default" r:id="rId12"/>
          <w:pgSz w:w="12240" w:h="15840"/>
          <w:pgMar w:top="720" w:right="720" w:bottom="720" w:left="720" w:header="720" w:footer="720" w:gutter="0"/>
          <w:cols w:space="720"/>
          <w:titlePg/>
          <w:docGrid w:linePitch="360"/>
          <w:type w:val="nextPage"/>
        </w:sectPr>
      </w:pPr>
    </w:p>
    <w:p>
      <w:pPr>
        <w:keepNext w:val="0"/>
        <w:widowControl/>
        <w:jc w:val="both"/>
        <w:spacing w:after="40" w:before="0" w:line="240" w:lineRule="auto"/>
        <w:pBdr>
          <w:bottom w:val="single" w:sz="6" w:space="6" w:color="000000"/>
        </w:pBdr>
      </w:pPr>
      <w:r>
        <w:rPr>
          <w:rFonts w:ascii="Times New Roman" w:hAnsi="Times New Roman"/>
          <w:b w:val="0"/>
          <w:i w:val="0"/>
          <w:strike w:val="0"/>
          <w:sz w:val="24"/>
          <w:u w:val="none"/>
        </w:rPr>
        <w:t>LAND COURT SYSTEM | REGULAR SYSTEM</w:t>
      </w:r>
    </w:p>
    <w:p>
      <w:pPr>
        <w:keepNext w:val="0"/>
        <w:widowControl/>
        <w:jc w:val="both"/>
        <w:spacing w:after="20" w:before="0" w:line="240" w:lineRule="auto"/>
      </w:pPr>
      <w:r>
        <w:rPr>
          <w:rFonts w:ascii="Times New Roman" w:hAnsi="Times New Roman"/>
          <w:b w:val="0"/>
          <w:i w:val="0"/>
          <w:strike w:val="0"/>
          <w:sz w:val="24"/>
          <w:u w:val="none"/>
        </w:rPr>
        <w:t>After Recordation, Return by Mail (xx) Pickup ( ) To:</w:t>
      </w:r>
    </w:p>
    <w:p>
      <w:pPr>
        <w:keepNext w:val="0"/>
        <w:widowControl/>
        <w:jc w:val="left"/>
        <w:ind w:left="360"/>
        <w:spacing w:after="0" w:before="0" w:line="240" w:lineRule="auto"/>
      </w:pPr>
      <w:r>
        <w:rPr>
          <w:rFonts w:ascii="Times New Roman" w:hAnsi="Times New Roman"/>
          <w:b w:val="0"/>
          <w:i/>
          <w:strike w:val="0"/>
          <w:color w:val="000000"/>
          <w:sz w:val="20"/>
          <w:u w:val="none"/>
        </w:rPr>
        <w:t>Shannon S. Sheldon, Esq.</w:t>
      </w:r>
    </w:p>
    <w:p>
      <w:pPr>
        <w:keepNext w:val="0"/>
        <w:widowControl/>
        <w:jc w:val="left"/>
        <w:ind w:left="360"/>
        <w:spacing w:after="0" w:before="0" w:line="240" w:lineRule="auto"/>
      </w:pPr>
      <w:r>
        <w:rPr>
          <w:rFonts w:ascii="Times New Roman" w:hAnsi="Times New Roman"/>
          <w:b w:val="0"/>
          <w:i/>
          <w:strike w:val="0"/>
          <w:color w:val="000000"/>
          <w:sz w:val="20"/>
          <w:u w:val="none"/>
        </w:rPr>
        <w:t>Horovitz Tilley LLLC</w:t>
      </w:r>
    </w:p>
    <w:p>
      <w:pPr>
        <w:keepNext w:val="0"/>
        <w:widowControl/>
        <w:jc w:val="left"/>
        <w:ind w:left="360"/>
        <w:spacing w:after="0" w:before="0" w:line="240" w:lineRule="auto"/>
      </w:pPr>
      <w:r>
        <w:rPr>
          <w:rFonts w:ascii="Times New Roman" w:hAnsi="Times New Roman"/>
          <w:b w:val="0"/>
          <w:i/>
          <w:strike w:val="0"/>
          <w:color w:val="000000"/>
          <w:sz w:val="20"/>
          <w:u w:val="none"/>
        </w:rPr>
        <w:t>2073 Wells Street, Suite 101</w:t>
      </w:r>
    </w:p>
    <w:p>
      <w:pPr>
        <w:keepNext w:val="0"/>
        <w:widowControl/>
        <w:jc w:val="left"/>
        <w:ind w:left="360"/>
        <w:spacing w:after="0" w:before="0" w:line="240" w:lineRule="auto"/>
      </w:pPr>
      <w:r>
        <w:rPr>
          <w:rFonts w:ascii="Times New Roman" w:hAnsi="Times New Roman"/>
          <w:b w:val="0"/>
          <w:i/>
          <w:strike w:val="0"/>
          <w:color w:val="000000"/>
          <w:sz w:val="20"/>
          <w:u w:val="none"/>
        </w:rPr>
        <w:t>Wailuku, Hawaii 96793</w:t>
      </w:r>
    </w:p>
    <w:p>
      <w:pPr>
        <w:keepNext w:val="0"/>
        <w:widowControl/>
        <w:jc w:val="left"/>
        <w:ind w:left="360"/>
        <w:spacing w:after="0" w:before="0" w:line="240" w:lineRule="auto"/>
      </w:pPr>
      <w:r>
        <w:rPr>
          <w:rFonts w:ascii="Times New Roman" w:hAnsi="Times New Roman"/>
          <w:b w:val="0"/>
          <w:i/>
          <w:strike w:val="0"/>
          <w:color w:val="000000"/>
          <w:sz w:val="20"/>
          <w:u w:val="none"/>
        </w:rPr>
        <w:t>(808) 242-5700</w:t>
      </w:r>
    </w:p>
    <w:p>
      <w:pPr>
        <w:keepNext w:val="0"/>
        <w:widowControl/>
        <w:jc w:val="left"/>
        <w:ind w:left="360"/>
        <w:spacing w:after="0" w:before="0" w:line="240" w:lineRule="auto"/>
        <w:pBdr>
          <w:bottom w:val="single" w:sz="6" w:space="6" w:color="000000"/>
        </w:pBdr>
      </w:pPr>
      <w:r>
        <w:rPr>
          <w:rFonts w:ascii="Times New Roman" w:hAnsi="Times New Roman"/>
          <w:b w:val="0"/>
          <w:i/>
          <w:strike w:val="0"/>
          <w:color w:val="000000"/>
          <w:sz w:val="20"/>
          <w:u w:val="none"/>
        </w:rPr>
        <w:t>sss@mhmaui.com</w:t>
      </w:r>
    </w:p>
    <w:p>
      <w:pPr>
        <w:keepNext w:val="0"/>
        <w:widowControl/>
        <w:jc w:val="both"/>
        <w:spacing w:after="40" w:before="0" w:line="240" w:lineRule="auto"/>
        <w:tabs>
          <w:tab w:val="right" w:pos="9072"/>
        </w:tabs>
        <w:pBdr>
          <w:bottom w:val="single" w:sz="6" w:space="6" w:color="000000"/>
        </w:pBdr>
      </w:pPr>
      <w:r>
        <w:rPr>
          <w:rFonts w:ascii="Times New Roman" w:hAnsi="Times New Roman"/>
          <w:b w:val="0"/>
          <w:i w:val="0"/>
          <w:strike w:val="0"/>
          <w:sz w:val="24"/>
          <w:u w:val="none"/>
        </w:rPr>
        <w:t>Tax Map Key No.: (2) 2-1-7:101</w:t>
      </w:r>
      <w:r>
        <w:tab/>
      </w:r>
      <w:r>
        <w:t xml:space="preserve">Total No. of Pages: 33</w:t>
      </w:r>
    </w:p>
    <w:p>
      <w:pPr>
        <w:keepNext w:val="0"/>
        <w:widowControl/>
        <w:spacing w:after="40" w:before="0" w:line="240" w:lineRule="auto"/>
        <w:jc w:val="center"/>
      </w:pPr>
      <w:r>
        <w:rPr>
          <w:rFonts w:ascii="Times New Roman" w:hAnsi="Times New Roman"/>
          <w:b w:val="0"/>
          <w:i w:val="0"/>
          <w:strike w:val="0"/>
          <w:sz w:val="24"/>
          <w:u w:val="none"/>
        </w:rPr>
        <w:t>DECLARATION OF CONDOMINIUM PROPERTY REGIME</w:t>
      </w:r>
    </w:p>
    <w:p>
      <w:pPr>
        <w:keepNext w:val="0"/>
        <w:widowControl/>
        <w:spacing w:after="40" w:before="0" w:line="240" w:lineRule="auto"/>
        <w:jc w:val="center"/>
      </w:pPr>
      <w:r>
        <w:rPr>
          <w:rFonts w:ascii="Times New Roman" w:hAnsi="Times New Roman"/>
          <w:b w:val="0"/>
          <w:i w:val="0"/>
          <w:strike w:val="0"/>
          <w:sz w:val="24"/>
          <w:u w:val="none"/>
        </w:rPr>
        <w:t>of</w:t>
      </w:r>
    </w:p>
    <w:p>
      <w:pPr>
        <w:keepNext w:val="0"/>
        <w:widowControl/>
        <w:spacing w:after="40" w:before="0" w:line="240" w:lineRule="auto"/>
        <w:jc w:val="center"/>
      </w:pPr>
      <w:r>
        <w:rPr>
          <w:rFonts w:ascii="Times New Roman" w:hAnsi="Times New Roman"/>
          <w:b w:val="0"/>
          <w:i w:val="0"/>
          <w:strike w:val="0"/>
          <w:sz w:val="24"/>
          <w:u w:val="none"/>
        </w:rPr>
        <w:t>NĀ HALE O MĀKENA</w:t>
      </w:r>
    </w:p>
    <w:p>
      <w:pPr>
        <w:keepNext w:val="0"/>
        <w:widowControl/>
        <w:spacing w:after="40" w:before="0" w:line="240" w:lineRule="auto"/>
        <w:jc w:val="center"/>
      </w:pPr>
      <w:r>
        <w:rPr>
          <w:rFonts w:ascii="Times New Roman" w:hAnsi="Times New Roman"/>
          <w:b w:val="0"/>
          <w:i w:val="0"/>
          <w:strike w:val="0"/>
          <w:sz w:val="24"/>
          <w:u w:val="none"/>
        </w:rPr>
        <w:t>CONDOMINIUM FILE PLAN NO. 3192</w:t>
      </w:r>
    </w:p>
    <w:p>
      <w:pPr>
        <w:keepNext w:val="0"/>
        <w:widowControl/>
        <w:jc w:val="both"/>
        <w:spacing w:after="40" w:before="0" w:line="240" w:lineRule="auto"/>
      </w:pPr>
    </w:p>
    <w:p>
      <w:bookmarkStart w:id="4001" w:name="nav4001"/>
      <w:pPr>
        <w:keepNext/>
        <w:widowControl/>
        <w:spacing w:before="280"/>
        <w:jc w:val="left"/>
      </w:pPr>
      <w:r>
        <w:rPr>
          <w:rFonts w:ascii="Times New Roman" w:hAnsi="Times New Roman"/>
          <w:b/>
          <w:i w:val="0"/>
          <w:strike w:val="0"/>
          <w:sz w:val="26"/>
          <w:u w:val="none"/>
        </w:rPr>
        <w:t>1. DEFINITION OF CERTAIN TERMS.</w:t>
      </w:r>
      <w:bookmarkEnd w:id="4001"/>
    </w:p>
    <w:p>
      <w:pPr>
        <w:keepNext w:val="0"/>
        <w:widowControl/>
        <w:jc w:val="both"/>
      </w:pPr>
      <w:r>
        <w:rPr>
          <w:rFonts w:ascii="Times New Roman" w:hAnsi="Times New Roman"/>
          <w:b w:val="0"/>
          <w:i w:val="0"/>
          <w:strike w:val="0"/>
          <w:sz w:val="24"/>
          <w:u w:val="none"/>
        </w:rPr>
        <w:t>The terms defined below shall have the following meanings in this Declaration:</w:t>
      </w:r>
    </w:p>
    <w:p>
      <w:bookmarkStart w:id="4002" w:name="nav4002"/>
      <w:pPr>
        <w:keepNext/>
        <w:widowControl/>
        <w:spacing w:before="200"/>
        <w:jc w:val="left"/>
      </w:pPr>
      <w:r>
        <w:rPr>
          <w:rFonts w:ascii="Times New Roman" w:hAnsi="Times New Roman"/>
          <w:b/>
          <w:i w:val="0"/>
          <w:strike w:val="0"/>
          <w:sz w:val="24"/>
          <w:u w:val="none"/>
        </w:rPr>
        <w:t>1.1 "Act"</w:t>
      </w:r>
      <w:bookmarkEnd w:id="4002"/>
    </w:p>
    <w:p>
      <w:pPr>
        <w:keepNext w:val="0"/>
        <w:widowControl/>
        <w:jc w:val="both"/>
      </w:pPr>
      <w:r>
        <w:rPr>
          <w:rFonts w:ascii="Times New Roman" w:hAnsi="Times New Roman"/>
          <w:b w:val="0"/>
          <w:i w:val="0"/>
          <w:strike w:val="0"/>
          <w:sz w:val="24"/>
          <w:u w:val="none"/>
        </w:rPr>
        <w:t>"Act" means the Condominium Property Act, Chapter 514A, Hawaii Revised Statutes (1993) as amended to the date of this declaration.</w:t>
      </w:r>
    </w:p>
    <w:p>
      <w:bookmarkStart w:id="4003" w:name="nav4003"/>
      <w:pPr>
        <w:keepNext/>
        <w:widowControl/>
        <w:spacing w:before="200"/>
        <w:jc w:val="left"/>
      </w:pPr>
      <w:r>
        <w:rPr>
          <w:rFonts w:ascii="Times New Roman" w:hAnsi="Times New Roman"/>
          <w:b/>
          <w:i w:val="0"/>
          <w:strike w:val="0"/>
          <w:sz w:val="24"/>
          <w:u w:val="none"/>
        </w:rPr>
        <w:t>1.2 "Apartment"</w:t>
      </w:r>
      <w:bookmarkEnd w:id="4003"/>
    </w:p>
    <w:p>
      <w:pPr>
        <w:keepNext w:val="0"/>
        <w:widowControl/>
        <w:jc w:val="both"/>
      </w:pPr>
      <w:r>
        <w:rPr>
          <w:rFonts w:ascii="Times New Roman" w:hAnsi="Times New Roman"/>
          <w:b w:val="0"/>
          <w:i w:val="0"/>
          <w:strike w:val="0"/>
          <w:sz w:val="24"/>
          <w:u w:val="none"/>
        </w:rPr>
        <w:t>"Apartment" is defined in the Act as the specific unit of condominium ownership.</w:t>
      </w:r>
    </w:p>
    <w:p>
      <w:bookmarkStart w:id="4004" w:name="nav4004"/>
      <w:pPr>
        <w:keepNext/>
        <w:widowControl/>
        <w:spacing w:before="200"/>
        <w:jc w:val="left"/>
      </w:pPr>
      <w:r>
        <w:rPr>
          <w:rFonts w:ascii="Times New Roman" w:hAnsi="Times New Roman"/>
          <w:b/>
          <w:i w:val="0"/>
          <w:strike w:val="0"/>
          <w:sz w:val="24"/>
          <w:u w:val="none"/>
        </w:rPr>
        <w:t>1.3 "Association of Apartment Owners"</w:t>
      </w:r>
      <w:bookmarkEnd w:id="4004"/>
    </w:p>
    <w:p>
      <w:pPr>
        <w:keepNext w:val="0"/>
        <w:widowControl/>
        <w:jc w:val="both"/>
      </w:pPr>
      <w:r>
        <w:rPr>
          <w:rFonts w:ascii="Times New Roman" w:hAnsi="Times New Roman"/>
          <w:b w:val="0"/>
          <w:i w:val="0"/>
          <w:strike w:val="0"/>
          <w:sz w:val="24"/>
          <w:u w:val="none"/>
        </w:rPr>
        <w:t>"Association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bookmarkStart w:id="4005" w:name="nav4005"/>
      <w:pPr>
        <w:keepNext/>
        <w:widowControl/>
        <w:spacing w:before="200"/>
        <w:jc w:val="left"/>
      </w:pPr>
      <w:r>
        <w:rPr>
          <w:rFonts w:ascii="Times New Roman" w:hAnsi="Times New Roman"/>
          <w:b/>
          <w:i w:val="0"/>
          <w:strike w:val="0"/>
          <w:sz w:val="24"/>
          <w:u w:val="none"/>
        </w:rPr>
        <w:t>1.4 "board of directors"</w:t>
      </w:r>
      <w:bookmarkEnd w:id="4005"/>
    </w:p>
    <w:p>
      <w:pPr>
        <w:keepNext w:val="0"/>
        <w:widowControl/>
        <w:jc w:val="both"/>
      </w:pPr>
      <w:r>
        <w:rPr>
          <w:rFonts w:ascii="Times New Roman" w:hAnsi="Times New Roman"/>
          <w:b w:val="0"/>
          <w:i w:val="0"/>
          <w:strike w:val="0"/>
          <w:sz w:val="24"/>
          <w:u w:val="none"/>
        </w:rPr>
        <w:t>"board of directors" and "board" refers to the board of directors of the association.</w:t>
      </w:r>
    </w:p>
    <w:p>
      <w:bookmarkStart w:id="4006" w:name="nav4006"/>
      <w:pPr>
        <w:keepNext/>
        <w:widowControl/>
        <w:spacing w:before="200"/>
        <w:jc w:val="left"/>
      </w:pPr>
      <w:r>
        <w:rPr>
          <w:rFonts w:ascii="Times New Roman" w:hAnsi="Times New Roman"/>
          <w:b/>
          <w:i w:val="0"/>
          <w:strike w:val="0"/>
          <w:sz w:val="24"/>
          <w:u w:val="none"/>
        </w:rPr>
        <w:t>1.5 "Bylaws"</w:t>
      </w:r>
      <w:bookmarkEnd w:id="4006"/>
    </w:p>
    <w:p>
      <w:pPr>
        <w:keepNext w:val="0"/>
        <w:widowControl/>
        <w:jc w:val="both"/>
      </w:pPr>
      <w:r>
        <w:rPr>
          <w:rFonts w:ascii="Times New Roman" w:hAnsi="Times New Roman"/>
          <w:b w:val="0"/>
          <w:i w:val="0"/>
          <w:strike w:val="0"/>
          <w:sz w:val="24"/>
          <w:u w:val="none"/>
        </w:rPr>
        <w:t>"Bylaws" means the Bylaws of the association recorded in the Bureau of Conveyances concurrently with this Declaration, as amended from time to time.</w:t>
      </w:r>
    </w:p>
    <w:p>
      <w:bookmarkStart w:id="4007" w:name="nav4007"/>
      <w:pPr>
        <w:keepNext/>
        <w:widowControl/>
        <w:spacing w:before="200"/>
        <w:jc w:val="left"/>
      </w:pPr>
      <w:r>
        <w:rPr>
          <w:rFonts w:ascii="Times New Roman" w:hAnsi="Times New Roman"/>
          <w:b/>
          <w:i w:val="0"/>
          <w:strike w:val="0"/>
          <w:sz w:val="24"/>
          <w:u w:val="none"/>
        </w:rPr>
        <w:t>1.6 "common elements"</w:t>
      </w:r>
      <w:bookmarkEnd w:id="4007"/>
    </w:p>
    <w:p>
      <w:pPr>
        <w:keepNext w:val="0"/>
        <w:widowControl/>
        <w:jc w:val="both"/>
      </w:pPr>
      <w:r>
        <w:rPr>
          <w:rFonts w:ascii="Times New Roman" w:hAnsi="Times New Roman"/>
          <w:b w:val="0"/>
          <w:i w:val="0"/>
          <w:strike w:val="0"/>
          <w:sz w:val="24"/>
          <w:u w:val="none"/>
        </w:rPr>
        <w:t>"common elements" and "limited common elements" are defined in Sections 4 and 5 below.</w:t>
      </w:r>
    </w:p>
    <w:p>
      <w:bookmarkStart w:id="4008" w:name="nav4008"/>
      <w:pPr>
        <w:keepNext/>
        <w:widowControl/>
        <w:spacing w:before="200"/>
        <w:jc w:val="left"/>
      </w:pPr>
      <w:r>
        <w:rPr>
          <w:rFonts w:ascii="Times New Roman" w:hAnsi="Times New Roman"/>
          <w:b/>
          <w:i w:val="0"/>
          <w:strike w:val="0"/>
          <w:sz w:val="24"/>
          <w:u w:val="none"/>
        </w:rPr>
        <w:t>1.7 "condominium documents"</w:t>
      </w:r>
      <w:bookmarkEnd w:id="4008"/>
    </w:p>
    <w:p>
      <w:pPr>
        <w:keepNext w:val="0"/>
        <w:widowControl/>
        <w:jc w:val="both"/>
      </w:pPr>
      <w:r>
        <w:rPr>
          <w:rFonts w:ascii="Times New Roman" w:hAnsi="Times New Roman"/>
          <w:b w:val="0"/>
          <w:i w:val="0"/>
          <w:strike w:val="0"/>
          <w:sz w:val="24"/>
          <w:u w:val="none"/>
        </w:rPr>
        <w:t>"condominium documents" means this Declaration, the Bylaws, the rules and regulations, Condominium Map and any other condominium documents.</w:t>
      </w:r>
    </w:p>
    <w:p>
      <w:bookmarkStart w:id="4009" w:name="nav4009"/>
      <w:pPr>
        <w:keepNext/>
        <w:widowControl/>
        <w:spacing w:before="200"/>
        <w:jc w:val="left"/>
      </w:pPr>
      <w:r>
        <w:rPr>
          <w:rFonts w:ascii="Times New Roman" w:hAnsi="Times New Roman"/>
          <w:b/>
          <w:i w:val="0"/>
          <w:strike w:val="0"/>
          <w:sz w:val="24"/>
          <w:u w:val="none"/>
        </w:rPr>
        <w:t>1.8 "Condominium Map"</w:t>
      </w:r>
      <w:bookmarkEnd w:id="4009"/>
    </w:p>
    <w:p>
      <w:pPr>
        <w:keepNext w:val="0"/>
        <w:widowControl/>
        <w:jc w:val="both"/>
      </w:pPr>
      <w:r>
        <w:rPr>
          <w:rFonts w:ascii="Times New Roman" w:hAnsi="Times New Roman"/>
          <w:b w:val="0"/>
          <w:i w:val="0"/>
          <w:strike w:val="0"/>
          <w:sz w:val="24"/>
          <w:u w:val="none"/>
        </w:rPr>
        <w:t>"Condominium Map" means the plans showing the layout, location, Apartment numbers and dimensions of the Apartments and elevations of the buildings of this Project recorded as Condominium Map No. 3192, as amended from time to time.</w:t>
      </w:r>
      <w:r>
        <w:rPr>
          <w:rFonts w:ascii="Times New Roman" w:hAnsi="Times New Roman"/>
          <w:b w:val="0"/>
          <w:i w:val="0"/>
          <w:strike w:val="0"/>
          <w:color w:val="000000"/>
          <w:sz w:val="24"/>
          <w:u w:val="none"/>
        </w:rPr>
        <w:t xml:space="preserve"> [Operative map: the First Amended Condominium Map substituted by the First Amendment, recorded 2001-07-26 as Doc 2001-115825.]</w:t>
      </w:r>
    </w:p>
    <w:p>
      <w:bookmarkStart w:id="4010" w:name="nav4010"/>
      <w:pPr>
        <w:keepNext/>
        <w:widowControl/>
        <w:spacing w:before="200"/>
        <w:jc w:val="left"/>
      </w:pPr>
      <w:r>
        <w:rPr>
          <w:rFonts w:ascii="Times New Roman" w:hAnsi="Times New Roman"/>
          <w:b/>
          <w:i w:val="0"/>
          <w:strike w:val="0"/>
          <w:sz w:val="24"/>
          <w:u w:val="none"/>
        </w:rPr>
        <w:t>1.9 "Declarant" or "Developer"</w:t>
      </w:r>
      <w:bookmarkEnd w:id="4010"/>
    </w:p>
    <w:p>
      <w:pPr>
        <w:keepNext w:val="0"/>
        <w:widowControl/>
        <w:jc w:val="both"/>
      </w:pPr>
      <w:r>
        <w:rPr>
          <w:rFonts w:ascii="Times New Roman" w:hAnsi="Times New Roman"/>
          <w:b w:val="0"/>
          <w:i w:val="0"/>
          <w:strike w:val="0"/>
          <w:sz w:val="24"/>
          <w:u w:val="none"/>
        </w:rPr>
        <w:t>"Declarant" or "Developer" means the Fee Owner.</w:t>
      </w:r>
    </w:p>
    <w:p>
      <w:bookmarkStart w:id="4011" w:name="nav4011"/>
      <w:pPr>
        <w:keepNext/>
        <w:widowControl/>
        <w:spacing w:before="200"/>
        <w:jc w:val="left"/>
      </w:pPr>
      <w:r>
        <w:rPr>
          <w:rFonts w:ascii="Times New Roman" w:hAnsi="Times New Roman"/>
          <w:b/>
          <w:i w:val="0"/>
          <w:strike w:val="0"/>
          <w:sz w:val="24"/>
          <w:u w:val="none"/>
        </w:rPr>
        <w:t>1.10 "Declarant's architect"</w:t>
      </w:r>
      <w:bookmarkEnd w:id="4011"/>
    </w:p>
    <w:p>
      <w:pPr>
        <w:keepNext w:val="0"/>
        <w:widowControl/>
        <w:jc w:val="both"/>
      </w:pPr>
      <w:r>
        <w:rPr>
          <w:rFonts w:ascii="Times New Roman" w:hAnsi="Times New Roman"/>
          <w:b w:val="0"/>
          <w:i w:val="0"/>
          <w:strike w:val="0"/>
          <w:sz w:val="24"/>
          <w:u w:val="none"/>
        </w:rPr>
        <w:t>"Declarant's architect" is defined in Section 8(g).</w:t>
      </w:r>
    </w:p>
    <w:p>
      <w:bookmarkStart w:id="4012" w:name="nav4012"/>
      <w:pPr>
        <w:keepNext/>
        <w:widowControl/>
        <w:spacing w:before="200"/>
        <w:jc w:val="left"/>
      </w:pPr>
      <w:r>
        <w:rPr>
          <w:rFonts w:ascii="Times New Roman" w:hAnsi="Times New Roman"/>
          <w:b/>
          <w:i w:val="0"/>
          <w:strike w:val="0"/>
          <w:sz w:val="24"/>
          <w:u w:val="none"/>
        </w:rPr>
        <w:t>1.11 "Declaration"</w:t>
      </w:r>
      <w:bookmarkEnd w:id="4012"/>
    </w:p>
    <w:p>
      <w:pPr>
        <w:keepNext w:val="0"/>
        <w:widowControl/>
        <w:jc w:val="both"/>
      </w:pPr>
      <w:r>
        <w:rPr>
          <w:rFonts w:ascii="Times New Roman" w:hAnsi="Times New Roman"/>
          <w:b w:val="0"/>
          <w:i w:val="0"/>
          <w:strike w:val="0"/>
          <w:sz w:val="24"/>
          <w:u w:val="none"/>
        </w:rPr>
        <w:t>"Declaration" means this Declaration of Condominium Property Regime of Nā Hale O Mākena as amended from time to time.</w:t>
      </w:r>
    </w:p>
    <w:p>
      <w:bookmarkStart w:id="4013" w:name="nav4013"/>
      <w:pPr>
        <w:keepNext/>
        <w:widowControl/>
        <w:spacing w:before="200"/>
        <w:jc w:val="left"/>
      </w:pPr>
      <w:r>
        <w:rPr>
          <w:rFonts w:ascii="Times New Roman" w:hAnsi="Times New Roman"/>
          <w:b/>
          <w:i w:val="0"/>
          <w:strike w:val="0"/>
          <w:sz w:val="24"/>
          <w:u w:val="none"/>
        </w:rPr>
        <w:t>1.12 "Developer"</w:t>
      </w:r>
      <w:bookmarkEnd w:id="4013"/>
    </w:p>
    <w:p>
      <w:pPr>
        <w:keepNext w:val="0"/>
        <w:widowControl/>
        <w:jc w:val="both"/>
      </w:pPr>
      <w:r>
        <w:rPr>
          <w:rFonts w:ascii="Times New Roman" w:hAnsi="Times New Roman"/>
          <w:b w:val="0"/>
          <w:i w:val="0"/>
          <w:strike w:val="0"/>
          <w:sz w:val="24"/>
          <w:u w:val="none"/>
        </w:rPr>
        <w:t>"Developer" refers to the Declarant.</w:t>
      </w:r>
    </w:p>
    <w:p>
      <w:bookmarkStart w:id="4014" w:name="nav4014"/>
      <w:pPr>
        <w:keepNext/>
        <w:widowControl/>
        <w:spacing w:before="200"/>
        <w:jc w:val="left"/>
      </w:pPr>
      <w:r>
        <w:rPr>
          <w:rFonts w:ascii="Times New Roman" w:hAnsi="Times New Roman"/>
          <w:b/>
          <w:i w:val="0"/>
          <w:strike w:val="0"/>
          <w:sz w:val="24"/>
          <w:u w:val="none"/>
        </w:rPr>
        <w:t>1.13 "Fee Owner"</w:t>
      </w:r>
      <w:bookmarkEnd w:id="4014"/>
    </w:p>
    <w:p>
      <w:pPr>
        <w:keepNext w:val="0"/>
        <w:widowControl/>
        <w:jc w:val="both"/>
      </w:pPr>
      <w:r>
        <w:rPr>
          <w:rFonts w:ascii="Times New Roman" w:hAnsi="Times New Roman"/>
          <w:b w:val="0"/>
          <w:i w:val="0"/>
          <w:strike w:val="0"/>
          <w:sz w:val="24"/>
          <w:u w:val="none"/>
        </w:rPr>
        <w:t>"Fee Owner" refers to Makena Estates L.L.C., a Hawaii limited liability company, whose principal place of business and post office address is 3620 Baldwin Avenue, Suite 107, Makawao, Hawaii 96768, the owner in fee simple of the land described in Exhibit "A" attached hereto.</w:t>
      </w:r>
    </w:p>
    <w:p>
      <w:bookmarkStart w:id="4015" w:name="nav4015"/>
      <w:pPr>
        <w:keepNext/>
        <w:widowControl/>
        <w:spacing w:before="200"/>
        <w:jc w:val="left"/>
      </w:pPr>
      <w:r>
        <w:rPr>
          <w:rFonts w:ascii="Times New Roman" w:hAnsi="Times New Roman"/>
          <w:b/>
          <w:i w:val="0"/>
          <w:strike w:val="0"/>
          <w:sz w:val="24"/>
          <w:u w:val="none"/>
        </w:rPr>
        <w:t>1.14 "land"</w:t>
      </w:r>
      <w:bookmarkEnd w:id="4015"/>
    </w:p>
    <w:p>
      <w:pPr>
        <w:keepNext w:val="0"/>
        <w:widowControl/>
        <w:jc w:val="both"/>
      </w:pPr>
      <w:r>
        <w:rPr>
          <w:rFonts w:ascii="Times New Roman" w:hAnsi="Times New Roman"/>
          <w:b w:val="0"/>
          <w:i w:val="0"/>
          <w:strike w:val="0"/>
          <w:sz w:val="24"/>
          <w:u w:val="none"/>
        </w:rPr>
        <w:t>"land" means the land described in Exhibit A attached hereto and made a part hereof.</w:t>
      </w:r>
    </w:p>
    <w:p>
      <w:bookmarkStart w:id="4016" w:name="nav4016"/>
      <w:pPr>
        <w:keepNext/>
        <w:widowControl/>
        <w:spacing w:before="200"/>
        <w:jc w:val="left"/>
      </w:pPr>
      <w:r>
        <w:rPr>
          <w:rFonts w:ascii="Times New Roman" w:hAnsi="Times New Roman"/>
          <w:b/>
          <w:i w:val="0"/>
          <w:strike w:val="0"/>
          <w:sz w:val="24"/>
          <w:u w:val="none"/>
        </w:rPr>
        <w:t>1.15 "majority of owners"</w:t>
      </w:r>
      <w:bookmarkEnd w:id="4016"/>
    </w:p>
    <w:p>
      <w:pPr>
        <w:keepNext w:val="0"/>
        <w:widowControl/>
        <w:jc w:val="both"/>
      </w:pPr>
      <w:r>
        <w:rPr>
          <w:rFonts w:ascii="Times New Roman" w:hAnsi="Times New Roman"/>
          <w:b w:val="0"/>
          <w:i w:val="0"/>
          <w:strike w:val="0"/>
          <w:sz w:val="24"/>
          <w:u w:val="none"/>
        </w:rPr>
        <w:t>"majority of owners" (or other specified percentage of owners) means the owners of Apartments to which are appurtenant more than fifty percent (or other specified percentage) of the common interests as defined in Section 7 and Exhibit C.</w:t>
      </w:r>
    </w:p>
    <w:p>
      <w:bookmarkStart w:id="4017" w:name="nav4017"/>
      <w:pPr>
        <w:keepNext/>
        <w:widowControl/>
        <w:spacing w:before="200"/>
        <w:jc w:val="left"/>
      </w:pPr>
      <w:r>
        <w:rPr>
          <w:rFonts w:ascii="Times New Roman" w:hAnsi="Times New Roman"/>
          <w:b/>
          <w:i w:val="0"/>
          <w:strike w:val="0"/>
          <w:sz w:val="24"/>
          <w:u w:val="none"/>
        </w:rPr>
        <w:t>1.16 "mortgagee"</w:t>
      </w:r>
      <w:bookmarkEnd w:id="4017"/>
    </w:p>
    <w:p>
      <w:pPr>
        <w:keepNext w:val="0"/>
        <w:widowControl/>
        <w:jc w:val="both"/>
      </w:pPr>
      <w:r>
        <w:rPr>
          <w:rFonts w:ascii="Times New Roman" w:hAnsi="Times New Roman"/>
          <w:b w:val="0"/>
          <w:i w:val="0"/>
          <w:strike w:val="0"/>
          <w:sz w:val="24"/>
          <w:u w:val="none"/>
        </w:rPr>
        <w:t>"mortgagee" or "apartment mortgagee" means the holder of a mortgage encumbering the fee simple title to or recorded leasehold interest in an Apartment.</w:t>
      </w:r>
    </w:p>
    <w:p>
      <w:bookmarkStart w:id="4018" w:name="nav4018"/>
      <w:pPr>
        <w:keepNext/>
        <w:widowControl/>
        <w:spacing w:before="200"/>
        <w:jc w:val="left"/>
      </w:pPr>
      <w:r>
        <w:rPr>
          <w:rFonts w:ascii="Times New Roman" w:hAnsi="Times New Roman"/>
          <w:b/>
          <w:i w:val="0"/>
          <w:strike w:val="0"/>
          <w:sz w:val="24"/>
          <w:u w:val="none"/>
        </w:rPr>
        <w:t>1.17 "owner" or "owners"</w:t>
      </w:r>
      <w:bookmarkEnd w:id="4018"/>
    </w:p>
    <w:p>
      <w:pPr>
        <w:keepNext w:val="0"/>
        <w:widowControl/>
        <w:jc w:val="both"/>
      </w:pPr>
      <w:r>
        <w:rPr>
          <w:rFonts w:ascii="Times New Roman" w:hAnsi="Times New Roman"/>
          <w:b w:val="0"/>
          <w:i w:val="0"/>
          <w:strike w:val="0"/>
          <w:sz w:val="24"/>
          <w:u w:val="none"/>
        </w:rPr>
        <w:t>"owner" or "owners" when referring to an Apartment means a person owning or persons owning jointly or in common an Apartment in the Project and the common interest appertaining thereto provided that:</w:t>
      </w:r>
    </w:p>
    <w:p>
      <w:pPr>
        <w:keepNext w:val="0"/>
        <w:widowControl/>
        <w:jc w:val="both"/>
      </w:pPr>
      <w:r>
        <w:rPr>
          <w:rFonts w:ascii="Times New Roman" w:hAnsi="Times New Roman"/>
          <w:b w:val="0"/>
          <w:i w:val="0"/>
          <w:strike w:val="0"/>
          <w:sz w:val="24"/>
          <w:u w:val="none"/>
        </w:rPr>
        <w:t>(a) To such extent and for such purposes, including the exercise of voting rights, as shall be provided by a recorded lease, a lessee of an Apartment shall be deemed to be an apartment owner;</w:t>
      </w:r>
    </w:p>
    <w:p>
      <w:pPr>
        <w:keepNext w:val="0"/>
        <w:widowControl/>
        <w:jc w:val="both"/>
      </w:pPr>
      <w:r>
        <w:rPr>
          <w:rFonts w:ascii="Times New Roman" w:hAnsi="Times New Roman"/>
          <w:b w:val="0"/>
          <w:i w:val="0"/>
          <w:strike w:val="0"/>
          <w:sz w:val="24"/>
          <w:u w:val="none"/>
        </w:rP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keepNext w:val="0"/>
        <w:widowControl/>
        <w:jc w:val="both"/>
      </w:pPr>
      <w:r>
        <w:rPr>
          <w:rFonts w:ascii="Times New Roman" w:hAnsi="Times New Roman"/>
          <w:b w:val="0"/>
          <w:i w:val="0"/>
          <w:strike w:val="0"/>
          <w:sz w:val="24"/>
          <w:u w:val="none"/>
        </w:rP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bookmarkStart w:id="4019" w:name="nav4019"/>
      <w:pPr>
        <w:keepNext/>
        <w:widowControl/>
        <w:spacing w:before="200"/>
        <w:jc w:val="left"/>
      </w:pPr>
      <w:r>
        <w:rPr>
          <w:rFonts w:ascii="Times New Roman" w:hAnsi="Times New Roman"/>
          <w:b/>
          <w:i w:val="0"/>
          <w:strike w:val="0"/>
          <w:sz w:val="24"/>
          <w:u w:val="none"/>
        </w:rPr>
        <w:t>1.18 "Project"</w:t>
      </w:r>
      <w:bookmarkEnd w:id="4019"/>
    </w:p>
    <w:p>
      <w:pPr>
        <w:keepNext w:val="0"/>
        <w:widowControl/>
        <w:jc w:val="both"/>
      </w:pPr>
      <w:r>
        <w:rPr>
          <w:rFonts w:ascii="Times New Roman" w:hAnsi="Times New Roman"/>
          <w:b w:val="0"/>
          <w:i w:val="0"/>
          <w:strike w:val="0"/>
          <w:sz w:val="24"/>
          <w:u w:val="none"/>
        </w:rPr>
        <w:t>The "Project" means Nā Hale O Mākena.</w:t>
      </w:r>
    </w:p>
    <w:p>
      <w:bookmarkStart w:id="4020" w:name="nav4020"/>
      <w:pPr>
        <w:keepNext/>
        <w:widowControl/>
        <w:spacing w:before="200"/>
        <w:jc w:val="left"/>
      </w:pPr>
      <w:r>
        <w:rPr>
          <w:rFonts w:ascii="Times New Roman" w:hAnsi="Times New Roman"/>
          <w:b/>
          <w:i w:val="0"/>
          <w:strike w:val="0"/>
          <w:sz w:val="24"/>
          <w:u w:val="none"/>
        </w:rPr>
        <w:t>1.19 "project building"</w:t>
      </w:r>
      <w:bookmarkEnd w:id="4020"/>
    </w:p>
    <w:p>
      <w:pPr>
        <w:keepNext w:val="0"/>
        <w:widowControl/>
        <w:jc w:val="both"/>
      </w:pPr>
      <w:r>
        <w:rPr>
          <w:rFonts w:ascii="Times New Roman" w:hAnsi="Times New Roman"/>
          <w:b w:val="0"/>
          <w:i w:val="0"/>
          <w:strike w:val="0"/>
          <w:sz w:val="24"/>
          <w:u w:val="none"/>
        </w:rPr>
        <w:t>"project building" refers to each building in the Project which contains Apartments.</w:t>
      </w:r>
    </w:p>
    <w:p>
      <w:bookmarkStart w:id="4021" w:name="nav4021"/>
      <w:pPr>
        <w:keepNext/>
        <w:widowControl/>
        <w:spacing w:before="200"/>
        <w:jc w:val="left"/>
      </w:pPr>
      <w:r>
        <w:rPr>
          <w:rFonts w:ascii="Times New Roman" w:hAnsi="Times New Roman"/>
          <w:b/>
          <w:i w:val="0"/>
          <w:strike w:val="0"/>
          <w:sz w:val="24"/>
          <w:u w:val="none"/>
        </w:rPr>
        <w:t>1.20 "recorded"</w:t>
      </w:r>
      <w:bookmarkEnd w:id="4021"/>
    </w:p>
    <w:p>
      <w:pPr>
        <w:keepNext w:val="0"/>
        <w:widowControl/>
        <w:jc w:val="both"/>
      </w:pPr>
      <w:r>
        <w:rPr>
          <w:rFonts w:ascii="Times New Roman" w:hAnsi="Times New Roman"/>
          <w:b w:val="0"/>
          <w:i w:val="0"/>
          <w:strike w:val="0"/>
          <w:sz w:val="24"/>
          <w:u w:val="none"/>
        </w:rPr>
        <w:t>"recorded" means recorded in the State of Hawaii Bureau of Conveyances.</w:t>
      </w:r>
    </w:p>
    <w:p>
      <w:bookmarkStart w:id="4022" w:name="nav4022"/>
      <w:pPr>
        <w:keepNext/>
        <w:widowControl/>
        <w:spacing w:before="200"/>
        <w:jc w:val="left"/>
      </w:pPr>
      <w:r>
        <w:rPr>
          <w:rFonts w:ascii="Times New Roman" w:hAnsi="Times New Roman"/>
          <w:b/>
          <w:i w:val="0"/>
          <w:strike w:val="0"/>
          <w:sz w:val="24"/>
          <w:u w:val="none"/>
        </w:rPr>
        <w:t>1.21 "rules and regulations"</w:t>
      </w:r>
      <w:bookmarkEnd w:id="4022"/>
    </w:p>
    <w:p>
      <w:pPr>
        <w:keepNext w:val="0"/>
        <w:widowControl/>
        <w:jc w:val="both"/>
      </w:pPr>
      <w:r>
        <w:rPr>
          <w:rFonts w:ascii="Times New Roman" w:hAnsi="Times New Roman"/>
          <w:b w:val="0"/>
          <w:i w:val="0"/>
          <w:strike w:val="0"/>
          <w:sz w:val="24"/>
          <w:u w:val="none"/>
        </w:rPr>
        <w:t>"rules and regulations" or "rules" refers to the rules and regulations adopted from time to time as provided in the Bylaws, and any amendments, governing the operation and use of Apartments and common elements.</w:t>
      </w:r>
    </w:p>
    <w:p>
      <w:bookmarkStart w:id="4023" w:name="nav4023"/>
      <w:pPr>
        <w:keepNext/>
        <w:widowControl/>
        <w:spacing w:before="280"/>
        <w:jc w:val="left"/>
      </w:pPr>
      <w:r>
        <w:rPr>
          <w:rFonts w:ascii="Times New Roman" w:hAnsi="Times New Roman"/>
          <w:b/>
          <w:i w:val="0"/>
          <w:strike w:val="0"/>
          <w:sz w:val="26"/>
          <w:u w:val="none"/>
        </w:rPr>
        <w:t>2. SUBMISSION TO THE CONDOMINIUM PROPERTY REGIME.</w:t>
      </w:r>
      <w:bookmarkEnd w:id="4023"/>
    </w:p>
    <w:p>
      <w:pPr>
        <w:keepNext w:val="0"/>
        <w:widowControl/>
        <w:jc w:val="both"/>
      </w:pPr>
      <w:r>
        <w:rPr>
          <w:rFonts w:ascii="Times New Roman" w:hAnsi="Times New Roman"/>
          <w:b w:val="0"/>
          <w:i w:val="0"/>
          <w:strike w:val="0"/>
          <w:sz w:val="24"/>
          <w:u w:val="none"/>
        </w:rP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bookmarkStart w:id="4024" w:name="nav4024"/>
      <w:pPr>
        <w:keepNext/>
        <w:widowControl/>
        <w:spacing w:before="280"/>
        <w:jc w:val="left"/>
      </w:pPr>
      <w:r>
        <w:rPr>
          <w:rFonts w:ascii="Times New Roman" w:hAnsi="Times New Roman"/>
          <w:b/>
          <w:i w:val="0"/>
          <w:strike w:val="0"/>
          <w:sz w:val="26"/>
          <w:u w:val="none"/>
        </w:rPr>
        <w:t>3. PROJECT NAME.</w:t>
      </w:r>
      <w:bookmarkEnd w:id="4024"/>
    </w:p>
    <w:p>
      <w:pPr>
        <w:keepNext w:val="0"/>
        <w:widowControl/>
        <w:jc w:val="both"/>
      </w:pPr>
      <w:r>
        <w:rPr>
          <w:rFonts w:ascii="Times New Roman" w:hAnsi="Times New Roman"/>
          <w:b w:val="0"/>
          <w:i w:val="0"/>
          <w:strike w:val="0"/>
          <w:sz w:val="24"/>
          <w:u w:val="none"/>
        </w:rPr>
        <w:t>The Condominium Property Regime established hereby shall be known as "Nā Hale O Mākena."</w:t>
      </w:r>
    </w:p>
    <w:p>
      <w:bookmarkStart w:id="4025" w:name="nav4025"/>
      <w:pPr>
        <w:keepNext/>
        <w:widowControl/>
        <w:spacing w:before="280"/>
        <w:jc w:val="left"/>
      </w:pPr>
      <w:r>
        <w:rPr>
          <w:rFonts w:ascii="Times New Roman" w:hAnsi="Times New Roman"/>
          <w:b/>
          <w:i w:val="0"/>
          <w:strike w:val="0"/>
          <w:sz w:val="26"/>
          <w:u w:val="none"/>
        </w:rPr>
        <w:t>4. DESCRIPTION OF THE LAND, BUILDINGS AND APARTMENTS.</w:t>
      </w:r>
      <w:bookmarkEnd w:id="4025"/>
    </w:p>
    <w:p>
      <w:bookmarkStart w:id="4026" w:name="nav4026"/>
      <w:pPr>
        <w:keepNext/>
        <w:widowControl/>
        <w:spacing w:before="200"/>
        <w:jc w:val="left"/>
      </w:pPr>
      <w:r>
        <w:rPr>
          <w:rFonts w:ascii="Times New Roman" w:hAnsi="Times New Roman"/>
          <w:b/>
          <w:i w:val="0"/>
          <w:strike w:val="0"/>
          <w:sz w:val="24"/>
          <w:u w:val="none"/>
        </w:rPr>
        <w:t>4.1 Land.</w:t>
      </w:r>
      <w:bookmarkEnd w:id="4026"/>
    </w:p>
    <w:p>
      <w:pPr>
        <w:keepNext w:val="0"/>
        <w:widowControl/>
        <w:jc w:val="both"/>
      </w:pPr>
      <w:r>
        <w:rPr>
          <w:rFonts w:ascii="Times New Roman" w:hAnsi="Times New Roman"/>
          <w:b w:val="0"/>
          <w:i w:val="0"/>
          <w:strike w:val="0"/>
          <w:sz w:val="24"/>
          <w:u w:val="none"/>
        </w:rPr>
        <w:t>The Land submitted to the Condominium Property Regime is described in Exhibit A attached hereto. The Land is submitted in fee simple.</w:t>
      </w:r>
    </w:p>
    <w:p>
      <w:bookmarkStart w:id="4027" w:name="nav4027"/>
      <w:pPr>
        <w:keepNext/>
        <w:widowControl/>
        <w:spacing w:before="200"/>
        <w:jc w:val="left"/>
      </w:pPr>
      <w:r>
        <w:rPr>
          <w:rFonts w:ascii="Times New Roman" w:hAnsi="Times New Roman"/>
          <w:b/>
          <w:i w:val="0"/>
          <w:strike w:val="0"/>
          <w:sz w:val="24"/>
          <w:u w:val="none"/>
        </w:rPr>
        <w:t>4.2 Buildings and Apartments.</w:t>
      </w:r>
      <w:bookmarkEnd w:id="4027"/>
    </w:p>
    <w:p>
      <w:pPr>
        <w:keepNext w:val="0"/>
        <w:widowControl/>
        <w:jc w:val="both"/>
      </w:pPr>
      <w:r>
        <w:rPr>
          <w:rFonts w:ascii="Times New Roman" w:hAnsi="Times New Roman"/>
          <w:b w:val="0"/>
          <w:i w:val="0"/>
          <w:strike w:val="0"/>
          <w:sz w:val="24"/>
          <w:u w:val="none"/>
        </w:rP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bookmarkStart w:id="4028" w:name="nav4028"/>
      <w:pPr>
        <w:keepNext/>
        <w:widowControl/>
        <w:spacing w:before="200"/>
        <w:jc w:val="left"/>
      </w:pPr>
      <w:r>
        <w:rPr>
          <w:rFonts w:ascii="Times New Roman" w:hAnsi="Times New Roman"/>
          <w:b/>
          <w:i w:val="0"/>
          <w:strike w:val="0"/>
          <w:sz w:val="24"/>
          <w:u w:val="none"/>
        </w:rPr>
        <w:t>4.3 Limits and Measurements of Apartments</w:t>
      </w:r>
      <w:bookmarkEnd w:id="4028"/>
    </w:p>
    <w:p>
      <w:pPr>
        <w:keepNext w:val="0"/>
        <w:widowControl/>
        <w:jc w:val="both"/>
      </w:pPr>
      <w:r>
        <w:rPr>
          <w:rFonts w:ascii="Times New Roman" w:hAnsi="Times New Roman"/>
          <w:b w:val="0"/>
          <w:i w:val="0"/>
          <w:strike w:val="0"/>
          <w:sz w:val="24"/>
          <w:u w:val="none"/>
        </w:rP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pPr>
        <w:keepNext w:val="0"/>
        <w:widowControl/>
        <w:jc w:val="both"/>
      </w:pPr>
      <w:r>
        <w:rPr>
          <w:rFonts w:ascii="Times New Roman" w:hAnsi="Times New Roman"/>
          <w:b w:val="0"/>
          <w:i w:val="0"/>
          <w:strike w:val="0"/>
          <w:sz w:val="24"/>
          <w:u w:val="none"/>
        </w:rP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keepNext w:val="0"/>
        <w:widowControl/>
        <w:jc w:val="both"/>
      </w:pPr>
      <w:r>
        <w:rPr>
          <w:rFonts w:ascii="Times New Roman" w:hAnsi="Times New Roman"/>
          <w:b w:val="0"/>
          <w:i w:val="0"/>
          <w:strike w:val="0"/>
          <w:sz w:val="24"/>
          <w:u w:val="none"/>
        </w:rP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keepNext w:val="0"/>
        <w:widowControl/>
        <w:jc w:val="both"/>
      </w:pPr>
      <w:r>
        <w:rPr>
          <w:rFonts w:ascii="Times New Roman" w:hAnsi="Times New Roman"/>
          <w:b w:val="0"/>
          <w:i w:val="0"/>
          <w:strike w:val="0"/>
          <w:sz w:val="24"/>
          <w:u w:val="none"/>
        </w:rP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keepNext w:val="0"/>
        <w:widowControl/>
        <w:jc w:val="both"/>
      </w:pPr>
      <w:r>
        <w:rPr>
          <w:rFonts w:ascii="Times New Roman" w:hAnsi="Times New Roman"/>
          <w:b w:val="0"/>
          <w:i w:val="0"/>
          <w:strike w:val="0"/>
          <w:sz w:val="24"/>
          <w:u w:val="none"/>
        </w:rP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keepNext w:val="0"/>
        <w:widowControl/>
        <w:jc w:val="both"/>
      </w:pPr>
      <w:r>
        <w:rPr>
          <w:rFonts w:ascii="Times New Roman" w:hAnsi="Times New Roman"/>
          <w:b w:val="0"/>
          <w:i w:val="0"/>
          <w:strike w:val="0"/>
          <w:sz w:val="24"/>
          <w:u w:val="none"/>
        </w:rP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bookmarkStart w:id="4029" w:name="nav4029"/>
      <w:pPr>
        <w:keepNext/>
        <w:widowControl/>
        <w:spacing w:before="280"/>
        <w:jc w:val="left"/>
      </w:pPr>
      <w:r>
        <w:rPr>
          <w:rFonts w:ascii="Times New Roman" w:hAnsi="Times New Roman"/>
          <w:b/>
          <w:i w:val="0"/>
          <w:strike w:val="0"/>
          <w:sz w:val="26"/>
          <w:u w:val="none"/>
        </w:rPr>
        <w:t>5. COMMON ELEMENTS.</w:t>
      </w:r>
      <w:bookmarkEnd w:id="4029"/>
    </w:p>
    <w:p>
      <w:bookmarkStart w:id="4030" w:name="nav4030"/>
      <w:pPr>
        <w:keepNext/>
        <w:widowControl/>
        <w:spacing w:before="200"/>
        <w:jc w:val="left"/>
      </w:pPr>
      <w:r>
        <w:rPr>
          <w:rFonts w:ascii="Times New Roman" w:hAnsi="Times New Roman"/>
          <w:b/>
          <w:i w:val="0"/>
          <w:strike w:val="0"/>
          <w:sz w:val="24"/>
          <w:u w:val="none"/>
        </w:rPr>
        <w:t>5.1 Common Elements.</w:t>
      </w:r>
      <w:bookmarkEnd w:id="4030"/>
    </w:p>
    <w:p>
      <w:pPr>
        <w:keepNext w:val="0"/>
        <w:widowControl/>
        <w:jc w:val="both"/>
      </w:pPr>
      <w:r>
        <w:rPr>
          <w:rFonts w:ascii="Times New Roman" w:hAnsi="Times New Roman"/>
          <w:b w:val="0"/>
          <w:i w:val="0"/>
          <w:strike w:val="0"/>
          <w:sz w:val="24"/>
          <w:u w:val="none"/>
        </w:rPr>
        <w:t>The common elements include all other elements of the Project not included within any Apartment, including but not limited to:</w:t>
      </w:r>
    </w:p>
    <w:p>
      <w:pPr>
        <w:keepNext w:val="0"/>
        <w:widowControl/>
        <w:jc w:val="both"/>
      </w:pPr>
      <w:r>
        <w:rPr>
          <w:rFonts w:ascii="Times New Roman" w:hAnsi="Times New Roman"/>
          <w:b w:val="0"/>
          <w:i w:val="0"/>
          <w:strike w:val="0"/>
          <w:sz w:val="24"/>
          <w:u w:val="none"/>
        </w:rPr>
        <w:t>(a) The Property in fee simple;</w:t>
      </w:r>
    </w:p>
    <w:p>
      <w:pPr>
        <w:keepNext w:val="0"/>
        <w:widowControl/>
        <w:jc w:val="both"/>
      </w:pPr>
      <w:r>
        <w:rPr>
          <w:rFonts w:ascii="Times New Roman" w:hAnsi="Times New Roman"/>
          <w:b w:val="0"/>
          <w:i w:val="0"/>
          <w:strike w:val="0"/>
          <w:sz w:val="24"/>
          <w:u w:val="none"/>
        </w:rPr>
        <w:t>(b) The limited common elements described in Section 5.2 below;</w:t>
      </w:r>
    </w:p>
    <w:p>
      <w:pPr>
        <w:keepNext w:val="0"/>
        <w:widowControl/>
        <w:jc w:val="both"/>
      </w:pPr>
      <w:r>
        <w:rPr>
          <w:rFonts w:ascii="Times New Roman" w:hAnsi="Times New Roman"/>
          <w:b w:val="0"/>
          <w:i w:val="0"/>
          <w:strike w:val="0"/>
          <w:sz w:val="24"/>
          <w:u w:val="none"/>
        </w:rP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keepNext w:val="0"/>
        <w:widowControl/>
        <w:jc w:val="both"/>
      </w:pPr>
      <w:r>
        <w:rPr>
          <w:rFonts w:ascii="Times New Roman" w:hAnsi="Times New Roman"/>
          <w:b w:val="0"/>
          <w:i w:val="0"/>
          <w:strike w:val="0"/>
          <w:sz w:val="24"/>
          <w:u w:val="none"/>
        </w:rPr>
        <w:t>(d) All pipes, wires, ducts, conduits or other utility or service lines running through any Apartment which are utilized by or serve more than one Apartment;</w:t>
      </w:r>
    </w:p>
    <w:p>
      <w:pPr>
        <w:keepNext w:val="0"/>
        <w:widowControl/>
        <w:jc w:val="both"/>
      </w:pPr>
      <w:r>
        <w:rPr>
          <w:rFonts w:ascii="Times New Roman" w:hAnsi="Times New Roman"/>
          <w:b w:val="0"/>
          <w:i w:val="0"/>
          <w:strike w:val="0"/>
          <w:sz w:val="24"/>
          <w:u w:val="none"/>
        </w:rP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keepNext w:val="0"/>
        <w:widowControl/>
        <w:jc w:val="both"/>
      </w:pPr>
      <w:r>
        <w:rPr>
          <w:rFonts w:ascii="Times New Roman" w:hAnsi="Times New Roman"/>
          <w:b w:val="0"/>
          <w:i w:val="0"/>
          <w:strike w:val="0"/>
          <w:sz w:val="24"/>
          <w:u w:val="none"/>
        </w:rPr>
        <w:t>(f) The resident manager's residence, swimming pool and jacuzzi, the cabana with kitchen, workout room, lanai, and men's and women's restrooms;</w:t>
      </w:r>
    </w:p>
    <w:p>
      <w:pPr>
        <w:keepNext w:val="0"/>
        <w:widowControl/>
        <w:jc w:val="both"/>
      </w:pPr>
      <w:r>
        <w:rPr>
          <w:rFonts w:ascii="Times New Roman" w:hAnsi="Times New Roman"/>
          <w:b w:val="0"/>
          <w:i w:val="0"/>
          <w:strike w:val="0"/>
          <w:sz w:val="24"/>
          <w:u w:val="none"/>
        </w:rPr>
        <w:t>(g) All distribution systems for water, sewer, electrical, telecommunication and other utility services not located within any Apartment and not owned by the County of Maui or any public utility;</w:t>
      </w:r>
    </w:p>
    <w:p>
      <w:pPr>
        <w:keepNext w:val="0"/>
        <w:widowControl/>
        <w:jc w:val="both"/>
      </w:pPr>
      <w:r>
        <w:rPr>
          <w:rFonts w:ascii="Times New Roman" w:hAnsi="Times New Roman"/>
          <w:b w:val="0"/>
          <w:i w:val="0"/>
          <w:strike w:val="0"/>
          <w:sz w:val="24"/>
          <w:u w:val="none"/>
        </w:rPr>
        <w:t>(h) All finished surfaces which the Association shall have the responsibility to maintain under Section 5.4 below;</w:t>
      </w:r>
    </w:p>
    <w:p>
      <w:pPr>
        <w:keepNext w:val="0"/>
        <w:widowControl/>
        <w:jc w:val="both"/>
      </w:pPr>
      <w:r>
        <w:rPr>
          <w:rFonts w:ascii="Times New Roman" w:hAnsi="Times New Roman"/>
          <w:b w:val="0"/>
          <w:i w:val="0"/>
          <w:strike w:val="0"/>
          <w:sz w:val="24"/>
          <w:u w:val="none"/>
        </w:rPr>
        <w:t>(i) Designation of additional areas to be common elements or subject to common expenses shall require the approval of ninety percent of the apartment owners.</w:t>
      </w:r>
    </w:p>
    <w:p>
      <w:bookmarkStart w:id="4031" w:name="nav4031"/>
      <w:pPr>
        <w:keepNext/>
        <w:widowControl/>
        <w:spacing w:before="200"/>
        <w:jc w:val="left"/>
      </w:pPr>
      <w:r>
        <w:rPr>
          <w:rFonts w:ascii="Times New Roman" w:hAnsi="Times New Roman"/>
          <w:b/>
          <w:i w:val="0"/>
          <w:strike w:val="0"/>
          <w:sz w:val="24"/>
          <w:u w:val="none"/>
        </w:rPr>
        <w:t>5.2 Limited Common Elements.</w:t>
      </w:r>
      <w:bookmarkEnd w:id="4031"/>
    </w:p>
    <w:p>
      <w:pPr>
        <w:keepNext w:val="0"/>
        <w:widowControl/>
        <w:jc w:val="both"/>
      </w:pPr>
      <w:r>
        <w:rPr>
          <w:rFonts w:ascii="Times New Roman" w:hAnsi="Times New Roman"/>
          <w:b w:val="0"/>
          <w:i w:val="0"/>
          <w:strike w:val="0"/>
          <w:sz w:val="24"/>
          <w:u w:val="none"/>
        </w:rPr>
        <w:t>Certain of the common elements are hereby set aside and reserved for the exclusive use of certain of the Apartments, and the Apartments shall have appurtenant thereto exclusive easements for the use of such limited common elements as follows:</w:t>
      </w:r>
    </w:p>
    <w:p>
      <w:pPr>
        <w:keepNext w:val="0"/>
        <w:widowControl/>
        <w:jc w:val="both"/>
      </w:pPr>
      <w:r>
        <w:rPr>
          <w:rFonts w:ascii="Times New Roman" w:hAnsi="Times New Roman"/>
          <w:b w:val="0"/>
          <w:i w:val="0"/>
          <w:strike w:val="0"/>
          <w:sz w:val="24"/>
          <w:u w:val="none"/>
        </w:rPr>
        <w:t>(a) Each Apartment shall have one (1) assigned, covered parking stall and one storage locker located immediately in front of the assigned covered stall.</w:t>
      </w:r>
    </w:p>
    <w:p>
      <w:pPr>
        <w:keepNext w:val="0"/>
        <w:widowControl/>
        <w:jc w:val="both"/>
      </w:pPr>
      <w:r>
        <w:rPr>
          <w:rFonts w:ascii="Times New Roman" w:hAnsi="Times New Roman"/>
          <w:b w:val="0"/>
          <w:i w:val="0"/>
          <w:strike w:val="0"/>
          <w:sz w:val="24"/>
          <w:u w:val="none"/>
        </w:rPr>
        <w:t>(b) Each Apartment shall be assigned one (1) mailbox.</w:t>
      </w:r>
    </w:p>
    <w:p>
      <w:pPr>
        <w:keepNext w:val="0"/>
        <w:widowControl/>
        <w:jc w:val="both"/>
      </w:pPr>
      <w:r>
        <w:rPr>
          <w:rFonts w:ascii="Times New Roman" w:hAnsi="Times New Roman"/>
          <w:b w:val="0"/>
          <w:i w:val="0"/>
          <w:strike w:val="0"/>
          <w:sz w:val="24"/>
          <w:u w:val="none"/>
        </w:rP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bookmarkStart w:id="4032" w:name="nav4032"/>
      <w:pPr>
        <w:keepNext/>
        <w:widowControl/>
        <w:spacing w:before="200"/>
        <w:jc w:val="left"/>
      </w:pPr>
      <w:r>
        <w:rPr>
          <w:rFonts w:ascii="Times New Roman" w:hAnsi="Times New Roman"/>
          <w:b/>
          <w:i w:val="0"/>
          <w:strike w:val="0"/>
          <w:sz w:val="24"/>
          <w:u w:val="none"/>
        </w:rPr>
        <w:t>5.3 Common Expenses and Costs and Expenses Relating to Limited Common Elements.</w:t>
      </w:r>
      <w:bookmarkEnd w:id="4032"/>
    </w:p>
    <w:p>
      <w:pPr>
        <w:keepNext w:val="0"/>
        <w:widowControl/>
        <w:jc w:val="both"/>
      </w:pPr>
      <w:r>
        <w:rPr>
          <w:rFonts w:ascii="Times New Roman" w:hAnsi="Times New Roman"/>
          <w:b w:val="0"/>
          <w:i w:val="0"/>
          <w:strike w:val="0"/>
          <w:sz w:val="24"/>
          <w:u w:val="none"/>
        </w:rPr>
        <w:t>All provisions of the Bylaws relating to common expenses, limited common expenses and the rights and remedies of the association in connection therewith are hereby incorporated into this Declaration by reference.</w:t>
      </w:r>
    </w:p>
    <w:p>
      <w:pPr>
        <w:keepNext w:val="0"/>
        <w:widowControl/>
        <w:jc w:val="both"/>
      </w:pPr>
      <w:r>
        <w:rPr>
          <w:rFonts w:ascii="Times New Roman" w:hAnsi="Times New Roman"/>
          <w:b w:val="0"/>
          <w:i w:val="0"/>
          <w:strike w:val="0"/>
          <w:sz w:val="24"/>
          <w:u w:val="none"/>
        </w:rP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keepNext w:val="0"/>
        <w:widowControl/>
        <w:jc w:val="both"/>
      </w:pPr>
      <w:r>
        <w:rPr>
          <w:rFonts w:ascii="Times New Roman" w:hAnsi="Times New Roman"/>
          <w:b w:val="0"/>
          <w:i w:val="0"/>
          <w:strike w:val="0"/>
          <w:sz w:val="24"/>
          <w:u w:val="none"/>
        </w:rPr>
        <w:t>(b) The cost of maintaining, repairing and replacing all limited common elements shall be assessed to all Apartments as a common expense.</w:t>
      </w:r>
    </w:p>
    <w:p>
      <w:bookmarkStart w:id="4033" w:name="nav4033"/>
      <w:pPr>
        <w:keepNext/>
        <w:widowControl/>
        <w:spacing w:before="200"/>
        <w:jc w:val="left"/>
      </w:pPr>
      <w:r>
        <w:rPr>
          <w:rFonts w:ascii="Times New Roman" w:hAnsi="Times New Roman"/>
          <w:b/>
          <w:i w:val="0"/>
          <w:strike w:val="0"/>
          <w:sz w:val="24"/>
          <w:u w:val="none"/>
        </w:rPr>
        <w:t>5.4 Responsibilities.</w:t>
      </w:r>
      <w:bookmarkEnd w:id="4033"/>
    </w:p>
    <w:p>
      <w:pPr>
        <w:keepNext w:val="0"/>
        <w:widowControl/>
        <w:jc w:val="both"/>
      </w:pPr>
      <w:r>
        <w:rPr>
          <w:rFonts w:ascii="Times New Roman" w:hAnsi="Times New Roman"/>
          <w:b w:val="0"/>
          <w:i w:val="0"/>
          <w:strike w:val="0"/>
          <w:sz w:val="24"/>
          <w:u w:val="none"/>
        </w:rP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bookmarkStart w:id="4034" w:name="nav4034"/>
      <w:pPr>
        <w:keepNext/>
        <w:widowControl/>
        <w:spacing w:before="280"/>
        <w:jc w:val="left"/>
      </w:pPr>
      <w:r>
        <w:rPr>
          <w:rFonts w:ascii="Times New Roman" w:hAnsi="Times New Roman"/>
          <w:b/>
          <w:i w:val="0"/>
          <w:strike w:val="0"/>
          <w:sz w:val="26"/>
          <w:u w:val="none"/>
        </w:rPr>
        <w:t>6. EASEMENTS AND OTHER RIGHTS.</w:t>
      </w:r>
      <w:bookmarkEnd w:id="4034"/>
    </w:p>
    <w:p>
      <w:pPr>
        <w:keepNext w:val="0"/>
        <w:widowControl/>
        <w:jc w:val="both"/>
      </w:pPr>
      <w:r>
        <w:rPr>
          <w:rFonts w:ascii="Times New Roman" w:hAnsi="Times New Roman"/>
          <w:b w:val="0"/>
          <w:i w:val="0"/>
          <w:strike w:val="0"/>
          <w:sz w:val="24"/>
          <w:u w:val="none"/>
        </w:rPr>
        <w:t>In addition to the easements established as limited common elements, the Apartments and common elements shall also have and be subject to the following easements:</w:t>
      </w:r>
    </w:p>
    <w:p>
      <w:pPr>
        <w:keepNext w:val="0"/>
        <w:widowControl/>
        <w:jc w:val="both"/>
      </w:pPr>
      <w:r>
        <w:rPr>
          <w:rFonts w:ascii="Times New Roman" w:hAnsi="Times New Roman"/>
          <w:b w:val="0"/>
          <w:i w:val="0"/>
          <w:strike w:val="0"/>
          <w:sz w:val="24"/>
          <w:u w:val="none"/>
        </w:rP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keepNext w:val="0"/>
        <w:widowControl/>
        <w:jc w:val="both"/>
      </w:pPr>
      <w:r>
        <w:rPr>
          <w:rFonts w:ascii="Times New Roman" w:hAnsi="Times New Roman"/>
          <w:b w:val="0"/>
          <w:i w:val="0"/>
          <w:strike w:val="0"/>
          <w:sz w:val="24"/>
          <w:u w:val="none"/>
        </w:rP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keepNext w:val="0"/>
        <w:widowControl/>
        <w:jc w:val="both"/>
      </w:pPr>
      <w:r>
        <w:rPr>
          <w:rFonts w:ascii="Times New Roman" w:hAnsi="Times New Roman"/>
          <w:b w:val="0"/>
          <w:i w:val="0"/>
          <w:strike w:val="0"/>
          <w:sz w:val="24"/>
          <w:u w:val="none"/>
        </w:rP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keepNext w:val="0"/>
        <w:widowControl/>
        <w:jc w:val="both"/>
      </w:pPr>
      <w:r>
        <w:rPr>
          <w:rFonts w:ascii="Times New Roman" w:hAnsi="Times New Roman"/>
          <w:b w:val="0"/>
          <w:i w:val="0"/>
          <w:strike w:val="0"/>
          <w:sz w:val="24"/>
          <w:u w:val="none"/>
        </w:rP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keepNext w:val="0"/>
        <w:widowControl/>
        <w:jc w:val="both"/>
      </w:pPr>
      <w:r>
        <w:rPr>
          <w:rFonts w:ascii="Times New Roman" w:hAnsi="Times New Roman"/>
          <w:b w:val="0"/>
          <w:i w:val="0"/>
          <w:strike w:val="0"/>
          <w:sz w:val="24"/>
          <w:u w:val="none"/>
        </w:rP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keepNext w:val="0"/>
        <w:widowControl/>
        <w:jc w:val="both"/>
      </w:pPr>
      <w:r>
        <w:rPr>
          <w:rFonts w:ascii="Times New Roman" w:hAnsi="Times New Roman"/>
          <w:b w:val="0"/>
          <w:i w:val="0"/>
          <w:strike w:val="0"/>
          <w:sz w:val="24"/>
          <w:u w:val="none"/>
        </w:rP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keepNext w:val="0"/>
        <w:widowControl/>
        <w:jc w:val="both"/>
      </w:pPr>
      <w:r>
        <w:rPr>
          <w:rFonts w:ascii="Times New Roman" w:hAnsi="Times New Roman"/>
          <w:b w:val="0"/>
          <w:i w:val="0"/>
          <w:strike w:val="0"/>
          <w:sz w:val="24"/>
          <w:u w:val="none"/>
        </w:rPr>
        <w:t>(g) The Declarant, its agents, employees, contractors, licensees, successors and assigns, shall have an easement over and upon the Project as may be reasonably necessary for the completion of the Project and the sale of all Apartments in the Project.</w:t>
      </w:r>
    </w:p>
    <w:p>
      <w:pPr>
        <w:keepNext w:val="0"/>
        <w:widowControl/>
        <w:jc w:val="both"/>
      </w:pPr>
      <w:r>
        <w:rPr>
          <w:rFonts w:ascii="Times New Roman" w:hAnsi="Times New Roman"/>
          <w:b w:val="0"/>
          <w:i w:val="0"/>
          <w:strike w:val="0"/>
          <w:sz w:val="24"/>
          <w:u w:val="none"/>
        </w:rP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keepNext w:val="0"/>
        <w:widowControl/>
        <w:jc w:val="both"/>
      </w:pPr>
      <w:r>
        <w:rPr>
          <w:rFonts w:ascii="Times New Roman" w:hAnsi="Times New Roman"/>
          <w:b w:val="0"/>
          <w:i w:val="0"/>
          <w:strike w:val="0"/>
          <w:sz w:val="24"/>
          <w:u w:val="none"/>
        </w:rP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keepNext w:val="0"/>
        <w:widowControl/>
        <w:jc w:val="both"/>
      </w:pPr>
      <w:r>
        <w:rPr>
          <w:rFonts w:ascii="Times New Roman" w:hAnsi="Times New Roman"/>
          <w:b w:val="0"/>
          <w:i w:val="0"/>
          <w:strike w:val="0"/>
          <w:sz w:val="24"/>
          <w:u w:val="none"/>
        </w:rP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bookmarkStart w:id="4035" w:name="nav4035"/>
      <w:pPr>
        <w:keepNext/>
        <w:widowControl/>
        <w:spacing w:before="280"/>
        <w:jc w:val="left"/>
      </w:pPr>
      <w:r>
        <w:rPr>
          <w:rFonts w:ascii="Times New Roman" w:hAnsi="Times New Roman"/>
          <w:b/>
          <w:i w:val="0"/>
          <w:strike w:val="0"/>
          <w:sz w:val="26"/>
          <w:u w:val="none"/>
        </w:rPr>
        <w:t>7. COMMON INTEREST.</w:t>
      </w:r>
      <w:bookmarkEnd w:id="4035"/>
    </w:p>
    <w:p>
      <w:pPr>
        <w:keepNext w:val="0"/>
        <w:widowControl/>
        <w:jc w:val="both"/>
      </w:pPr>
      <w:r>
        <w:rPr>
          <w:rFonts w:ascii="Times New Roman" w:hAnsi="Times New Roman"/>
          <w:b w:val="0"/>
          <w:i w:val="0"/>
          <w:strike w:val="0"/>
          <w:sz w:val="24"/>
          <w:u w:val="none"/>
        </w:rP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keepNext w:val="0"/>
        <w:widowControl/>
        <w:jc w:val="both"/>
      </w:pPr>
      <w:r>
        <w:rPr>
          <w:rFonts w:ascii="Times New Roman" w:hAnsi="Times New Roman"/>
          <w:b w:val="0"/>
          <w:i w:val="0"/>
          <w:strike w:val="0"/>
          <w:sz w:val="24"/>
          <w:u w:val="none"/>
        </w:rP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bookmarkStart w:id="4036" w:name="nav4036"/>
      <w:pPr>
        <w:keepNext/>
        <w:widowControl/>
        <w:spacing w:before="280"/>
        <w:jc w:val="left"/>
      </w:pPr>
      <w:r>
        <w:rPr>
          <w:rFonts w:ascii="Times New Roman" w:hAnsi="Times New Roman"/>
          <w:b/>
          <w:i w:val="0"/>
          <w:strike w:val="0"/>
          <w:sz w:val="26"/>
          <w:u w:val="none"/>
        </w:rPr>
        <w:t>8. PURPOSES AND USES.</w:t>
      </w:r>
      <w:bookmarkEnd w:id="4036"/>
    </w:p>
    <w:p>
      <w:pPr>
        <w:keepNext w:val="0"/>
        <w:widowControl/>
        <w:jc w:val="both"/>
      </w:pPr>
      <w:r>
        <w:rPr>
          <w:rFonts w:ascii="Times New Roman" w:hAnsi="Times New Roman"/>
          <w:b w:val="0"/>
          <w:i w:val="0"/>
          <w:strike w:val="0"/>
          <w:sz w:val="24"/>
          <w:u w:val="none"/>
        </w:rPr>
        <w:t>The Project and each of the Apartments are intended for and shall be restricted to the following purposes and uses:</w:t>
      </w:r>
    </w:p>
    <w:p>
      <w:pPr>
        <w:keepNext/>
        <w:widowControl/>
        <w:jc w:val="left"/>
      </w:pPr>
      <w:r>
        <w:rPr>
          <w:rFonts w:ascii="Times New Roman" w:hAnsi="Times New Roman"/>
          <w:b/>
          <w:i w:val="0"/>
          <w:strike w:val="0"/>
          <w:color w:val="000000"/>
          <w:sz w:val="20"/>
          <w:u w:val="none"/>
        </w:rPr>
        <w:t>Deleted by the Second Amendment (2009):</w:t>
      </w:r>
    </w:p>
    <w:p>
      <w:pPr>
        <w:keepNext/>
        <w:widowControl/>
        <w:jc w:val="left"/>
      </w:pPr>
      <w:r>
        <w:rPr>
          <w:rFonts w:ascii="Times New Roman" w:hAnsi="Times New Roman"/>
          <w:b/>
          <w:i w:val="0"/>
          <w:strike w:val="0"/>
          <w:color w:val="000000"/>
          <w:sz w:val="20"/>
          <w:u w:val="none"/>
        </w:rPr>
        <w:t>Substituted by the Second Amendment (2009):</w:t>
      </w:r>
    </w:p>
    <w:p>
      <w:pPr>
        <w:keepNext w:val="0"/>
        <w:widowControl/>
        <w:jc w:val="both"/>
      </w:pPr>
      <w:r>
        <w:rPr>
          <w:rFonts w:ascii="Times New Roman" w:hAnsi="Times New Roman"/>
          <w:b w:val="0"/>
          <w:i w:val="0"/>
          <w:strike w:val="0"/>
          <w:color w:val="000000"/>
          <w:sz w:val="24"/>
          <w:u w:val="non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keepNext w:val="0"/>
        <w:widowControl/>
        <w:jc w:val="both"/>
      </w:pPr>
      <w:r>
        <w:rPr>
          <w:rFonts w:ascii="Times New Roman" w:hAnsi="Times New Roman"/>
          <w:b w:val="0"/>
          <w:i w:val="0"/>
          <w:strike w:val="0"/>
          <w:sz w:val="24"/>
          <w:u w:val="none"/>
        </w:rP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keepNext w:val="0"/>
        <w:widowControl/>
        <w:jc w:val="both"/>
      </w:pPr>
      <w:r>
        <w:rPr>
          <w:rFonts w:ascii="Times New Roman" w:hAnsi="Times New Roman"/>
          <w:b w:val="0"/>
          <w:i w:val="0"/>
          <w:strike w:val="0"/>
          <w:sz w:val="24"/>
          <w:u w:val="none"/>
        </w:rP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keepNext w:val="0"/>
        <w:widowControl/>
        <w:jc w:val="both"/>
      </w:pPr>
      <w:r>
        <w:rPr>
          <w:rFonts w:ascii="Times New Roman" w:hAnsi="Times New Roman"/>
          <w:b w:val="0"/>
          <w:i w:val="0"/>
          <w:strike w:val="0"/>
          <w:sz w:val="24"/>
          <w:u w:val="none"/>
        </w:rPr>
        <w:t>(d) The common elements shall be used only for the purposes for which they are designed and intended.</w:t>
      </w:r>
    </w:p>
    <w:p>
      <w:pPr>
        <w:keepNext w:val="0"/>
        <w:widowControl/>
        <w:jc w:val="both"/>
      </w:pPr>
      <w:r>
        <w:rPr>
          <w:rFonts w:ascii="Times New Roman" w:hAnsi="Times New Roman"/>
          <w:b w:val="0"/>
          <w:i w:val="0"/>
          <w:strike w:val="0"/>
          <w:sz w:val="24"/>
          <w:u w:val="none"/>
        </w:rPr>
        <w:t>(e) Notwithstanding anything contained hereinabove to the contrary, the Developer shall have the right to conduct sales activities as provided in section 6(f) above.</w:t>
      </w:r>
    </w:p>
    <w:p>
      <w:bookmarkStart w:id="4037" w:name="nav4037"/>
      <w:pPr>
        <w:keepNext/>
        <w:widowControl/>
        <w:spacing w:before="280"/>
        <w:jc w:val="left"/>
      </w:pPr>
      <w:r>
        <w:rPr>
          <w:rFonts w:ascii="Times New Roman" w:hAnsi="Times New Roman"/>
          <w:b/>
          <w:i w:val="0"/>
          <w:strike w:val="0"/>
          <w:sz w:val="26"/>
          <w:u w:val="none"/>
        </w:rPr>
        <w:t>9. EXEMPTIONS FOR PERSONS WITH DISABILITIES.</w:t>
      </w:r>
      <w:bookmarkEnd w:id="4037"/>
    </w:p>
    <w:p>
      <w:pPr>
        <w:keepNext w:val="0"/>
        <w:widowControl/>
        <w:jc w:val="both"/>
      </w:pPr>
      <w:r>
        <w:rPr>
          <w:rFonts w:ascii="Times New Roman" w:hAnsi="Times New Roman"/>
          <w:b w:val="0"/>
          <w:i w:val="0"/>
          <w:strike w:val="0"/>
          <w:sz w:val="24"/>
          <w:u w:val="none"/>
        </w:rP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bookmarkStart w:id="4038" w:name="nav4038"/>
      <w:pPr>
        <w:keepNext/>
        <w:widowControl/>
        <w:spacing w:before="280"/>
        <w:jc w:val="left"/>
      </w:pPr>
      <w:r>
        <w:rPr>
          <w:rFonts w:ascii="Times New Roman" w:hAnsi="Times New Roman"/>
          <w:b/>
          <w:i w:val="0"/>
          <w:strike w:val="0"/>
          <w:sz w:val="26"/>
          <w:u w:val="none"/>
        </w:rPr>
        <w:t>10. SERVICE OF PROCESS.</w:t>
      </w:r>
      <w:bookmarkEnd w:id="4038"/>
    </w:p>
    <w:p>
      <w:pPr>
        <w:keepNext w:val="0"/>
        <w:widowControl/>
        <w:jc w:val="both"/>
      </w:pPr>
      <w:r>
        <w:rPr>
          <w:rFonts w:ascii="Times New Roman" w:hAnsi="Times New Roman"/>
          <w:b w:val="0"/>
          <w:i w:val="0"/>
          <w:strike w:val="0"/>
          <w:sz w:val="24"/>
          <w:u w:val="none"/>
        </w:rP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bookmarkStart w:id="4039" w:name="nav4039"/>
      <w:pPr>
        <w:keepNext/>
        <w:widowControl/>
        <w:spacing w:before="280"/>
        <w:jc w:val="left"/>
      </w:pPr>
      <w:r>
        <w:rPr>
          <w:rFonts w:ascii="Times New Roman" w:hAnsi="Times New Roman"/>
          <w:b/>
          <w:i w:val="0"/>
          <w:strike w:val="0"/>
          <w:sz w:val="26"/>
          <w:u w:val="none"/>
        </w:rPr>
        <w:t>11. ADMINISTRATION OF PROJECT.</w:t>
      </w:r>
      <w:bookmarkEnd w:id="4039"/>
    </w:p>
    <w:p>
      <w:pPr>
        <w:keepNext w:val="0"/>
        <w:widowControl/>
        <w:jc w:val="both"/>
      </w:pPr>
      <w:r>
        <w:rPr>
          <w:rFonts w:ascii="Times New Roman" w:hAnsi="Times New Roman"/>
          <w:b w:val="0"/>
          <w:i w:val="0"/>
          <w:strike w:val="0"/>
          <w:sz w:val="24"/>
          <w:u w:val="none"/>
        </w:rP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keepNext w:val="0"/>
        <w:widowControl/>
        <w:jc w:val="both"/>
      </w:pPr>
      <w:r>
        <w:rPr>
          <w:rFonts w:ascii="Times New Roman" w:hAnsi="Times New Roman"/>
          <w:b w:val="0"/>
          <w:i w:val="0"/>
          <w:strike w:val="0"/>
          <w:sz w:val="24"/>
          <w:u w:val="none"/>
        </w:rPr>
        <w:t>(a) Make, build, maintain and repair all fences, drains, roads, curbs and sidewalks which may be required by law to be made, built, maintained and repairs upon or adjoining or in connection with or for the use of the common elements or any part thereof;</w:t>
      </w:r>
    </w:p>
    <w:p>
      <w:pPr>
        <w:keepNext w:val="0"/>
        <w:widowControl/>
        <w:jc w:val="both"/>
      </w:pPr>
      <w:r>
        <w:rPr>
          <w:rFonts w:ascii="Times New Roman" w:hAnsi="Times New Roman"/>
          <w:b w:val="0"/>
          <w:i w:val="0"/>
          <w:strike w:val="0"/>
          <w:sz w:val="24"/>
          <w:u w:val="none"/>
        </w:rP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keepNext w:val="0"/>
        <w:widowControl/>
        <w:jc w:val="both"/>
      </w:pPr>
      <w:r>
        <w:rPr>
          <w:rFonts w:ascii="Times New Roman" w:hAnsi="Times New Roman"/>
          <w:b w:val="0"/>
          <w:i w:val="0"/>
          <w:strike w:val="0"/>
          <w:sz w:val="24"/>
          <w:u w:val="none"/>
        </w:rPr>
        <w:t>(c) Well and substantially repair, maintain, amend, and keep all common elements with all necessary reparations and amendments whatsoever in good order and condition except as otherwise provided herein or in the Bylaws;</w:t>
      </w:r>
    </w:p>
    <w:p>
      <w:pPr>
        <w:keepNext w:val="0"/>
        <w:widowControl/>
        <w:jc w:val="both"/>
      </w:pPr>
      <w:r>
        <w:rPr>
          <w:rFonts w:ascii="Times New Roman" w:hAnsi="Times New Roman"/>
          <w:b w:val="0"/>
          <w:i w:val="0"/>
          <w:strike w:val="0"/>
          <w:sz w:val="24"/>
          <w:u w:val="none"/>
        </w:rPr>
        <w:t>(d) Not at any time make or suffer any strip or waste or unlawful or improper or offensive use of the common elements; and</w:t>
      </w:r>
    </w:p>
    <w:p>
      <w:pPr>
        <w:keepNext w:val="0"/>
        <w:widowControl/>
        <w:jc w:val="both"/>
      </w:pPr>
      <w:r>
        <w:rPr>
          <w:rFonts w:ascii="Times New Roman" w:hAnsi="Times New Roman"/>
          <w:b w:val="0"/>
          <w:i w:val="0"/>
          <w:strike w:val="0"/>
          <w:sz w:val="24"/>
          <w:u w:val="none"/>
        </w:rPr>
        <w:t>(e) Observe and perform all of the limitations, restrictions, covenants and conditions to be observed and performed under this Declaration, the Bylaws and the rules and regulations.</w:t>
      </w:r>
    </w:p>
    <w:p>
      <w:bookmarkStart w:id="4040" w:name="nav4040"/>
      <w:pPr>
        <w:keepNext/>
        <w:widowControl/>
        <w:spacing w:before="280"/>
        <w:jc w:val="left"/>
      </w:pPr>
      <w:r>
        <w:rPr>
          <w:rFonts w:ascii="Times New Roman" w:hAnsi="Times New Roman"/>
          <w:b/>
          <w:i w:val="0"/>
          <w:strike w:val="0"/>
          <w:sz w:val="26"/>
          <w:u w:val="none"/>
        </w:rPr>
        <w:t>12. INSURANCE AND DAMAGE.</w:t>
      </w:r>
      <w:bookmarkEnd w:id="4040"/>
    </w:p>
    <w:p>
      <w:bookmarkStart w:id="4041" w:name="nav4041"/>
      <w:pPr>
        <w:keepNext/>
        <w:widowControl/>
        <w:spacing w:before="200"/>
        <w:jc w:val="left"/>
      </w:pPr>
      <w:r>
        <w:rPr>
          <w:rFonts w:ascii="Times New Roman" w:hAnsi="Times New Roman"/>
          <w:b/>
          <w:i w:val="0"/>
          <w:strike w:val="0"/>
          <w:sz w:val="24"/>
          <w:u w:val="none"/>
        </w:rPr>
        <w:t>12.1 Commercial Property Insurance.</w:t>
      </w:r>
      <w:bookmarkEnd w:id="4041"/>
    </w:p>
    <w:p>
      <w:pPr>
        <w:keepNext w:val="0"/>
        <w:widowControl/>
        <w:jc w:val="both"/>
      </w:pPr>
      <w:r>
        <w:rPr>
          <w:rFonts w:ascii="Times New Roman" w:hAnsi="Times New Roman"/>
          <w:b w:val="0"/>
          <w:i w:val="0"/>
          <w:strike w:val="0"/>
          <w:sz w:val="24"/>
          <w:u w:val="none"/>
        </w:rP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keepNext w:val="0"/>
        <w:widowControl/>
        <w:jc w:val="both"/>
      </w:pPr>
      <w:r>
        <w:rPr>
          <w:rFonts w:ascii="Times New Roman" w:hAnsi="Times New Roman"/>
          <w:b w:val="0"/>
          <w:i w:val="0"/>
          <w:strike w:val="0"/>
          <w:sz w:val="24"/>
          <w:u w:val="none"/>
        </w:rP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keepNext w:val="0"/>
        <w:widowControl/>
        <w:jc w:val="both"/>
      </w:pPr>
      <w:r>
        <w:rPr>
          <w:rFonts w:ascii="Times New Roman" w:hAnsi="Times New Roman"/>
          <w:b w:val="0"/>
          <w:i w:val="0"/>
          <w:strike w:val="0"/>
          <w:sz w:val="24"/>
          <w:u w:val="none"/>
        </w:rP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keepNext w:val="0"/>
        <w:widowControl/>
        <w:jc w:val="both"/>
      </w:pPr>
      <w:r>
        <w:rPr>
          <w:rFonts w:ascii="Times New Roman" w:hAnsi="Times New Roman"/>
          <w:b w:val="0"/>
          <w:i w:val="0"/>
          <w:strike w:val="0"/>
          <w:sz w:val="24"/>
          <w:u w:val="none"/>
        </w:rPr>
        <w:t>All premiums on the policy or policies required under this Section 12 and all deductibles and self-insured retentions shall be borne by the owners of the Apartments as a common expense in proportion to their undivided interests in the common elements.</w:t>
      </w:r>
    </w:p>
    <w:p>
      <w:pPr>
        <w:keepNext w:val="0"/>
        <w:widowControl/>
        <w:jc w:val="both"/>
      </w:pPr>
      <w:r>
        <w:rPr>
          <w:rFonts w:ascii="Times New Roman" w:hAnsi="Times New Roman"/>
          <w:b w:val="0"/>
          <w:i w:val="0"/>
          <w:strike w:val="0"/>
          <w:sz w:val="24"/>
          <w:u w:val="none"/>
        </w:rPr>
        <w:t>Every such policy of insurance shall, unless unobtainable:</w:t>
      </w:r>
    </w:p>
    <w:p>
      <w:pPr>
        <w:keepNext w:val="0"/>
        <w:widowControl/>
        <w:jc w:val="both"/>
      </w:pPr>
      <w:r>
        <w:rPr>
          <w:rFonts w:ascii="Times New Roman" w:hAnsi="Times New Roman"/>
          <w:b w:val="0"/>
          <w:i w:val="0"/>
          <w:strike w:val="0"/>
          <w:sz w:val="24"/>
          <w:u w:val="none"/>
        </w:rP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keepNext w:val="0"/>
        <w:widowControl/>
        <w:jc w:val="both"/>
      </w:pPr>
      <w:r>
        <w:rPr>
          <w:rFonts w:ascii="Times New Roman" w:hAnsi="Times New Roman"/>
          <w:b w:val="0"/>
          <w:i w:val="0"/>
          <w:strike w:val="0"/>
          <w:sz w:val="24"/>
          <w:u w:val="none"/>
        </w:rP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keepNext w:val="0"/>
        <w:widowControl/>
        <w:jc w:val="both"/>
      </w:pPr>
      <w:r>
        <w:rPr>
          <w:rFonts w:ascii="Times New Roman" w:hAnsi="Times New Roman"/>
          <w:b w:val="0"/>
          <w:i w:val="0"/>
          <w:strike w:val="0"/>
          <w:sz w:val="24"/>
          <w:u w:val="none"/>
        </w:rP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keepNext w:val="0"/>
        <w:widowControl/>
        <w:jc w:val="both"/>
      </w:pPr>
      <w:r>
        <w:rPr>
          <w:rFonts w:ascii="Times New Roman" w:hAnsi="Times New Roman"/>
          <w:b w:val="0"/>
          <w:i w:val="0"/>
          <w:strike w:val="0"/>
          <w:sz w:val="24"/>
          <w:u w:val="none"/>
        </w:rPr>
        <w:t>(d) Contain a waiver by the insurer of any right of subrogation or transfer of any recovery right to any right of the board or any of the owners against any of them or any other persons under them;</w:t>
      </w:r>
    </w:p>
    <w:p>
      <w:pPr>
        <w:keepNext w:val="0"/>
        <w:widowControl/>
        <w:jc w:val="both"/>
      </w:pPr>
      <w:r>
        <w:rPr>
          <w:rFonts w:ascii="Times New Roman" w:hAnsi="Times New Roman"/>
          <w:b w:val="0"/>
          <w:i w:val="0"/>
          <w:strike w:val="0"/>
          <w:sz w:val="24"/>
          <w:u w:val="none"/>
        </w:rPr>
        <w:t>(e) Contain a provision waiving any right of the insurer to repair, rebuild or replace if a decision is made pursuant to this Declaration or the Bylaws not to reinstate, rebuild, or restore the damaged or destroyed improvements;</w:t>
      </w:r>
    </w:p>
    <w:p>
      <w:pPr>
        <w:keepNext w:val="0"/>
        <w:widowControl/>
        <w:jc w:val="both"/>
      </w:pPr>
      <w:r>
        <w:rPr>
          <w:rFonts w:ascii="Times New Roman" w:hAnsi="Times New Roman"/>
          <w:b w:val="0"/>
          <w:i w:val="0"/>
          <w:strike w:val="0"/>
          <w:sz w:val="24"/>
          <w:u w:val="none"/>
        </w:rP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keepNext w:val="0"/>
        <w:widowControl/>
        <w:jc w:val="both"/>
      </w:pPr>
      <w:r>
        <w:rPr>
          <w:rFonts w:ascii="Times New Roman" w:hAnsi="Times New Roman"/>
          <w:b w:val="0"/>
          <w:i w:val="0"/>
          <w:strike w:val="0"/>
          <w:sz w:val="24"/>
          <w:u w:val="none"/>
        </w:rPr>
        <w:t>(g) Contain a standard mortgage clause on ISO commercial property form which shall, unless unobtainable:</w:t>
      </w:r>
    </w:p>
    <w:p>
      <w:pPr>
        <w:keepNext w:val="0"/>
        <w:widowControl/>
        <w:jc w:val="both"/>
      </w:pPr>
      <w:r>
        <w:rPr>
          <w:rFonts w:ascii="Times New Roman" w:hAnsi="Times New Roman"/>
          <w:b w:val="0"/>
          <w:i w:val="0"/>
          <w:strike w:val="0"/>
          <w:sz w:val="24"/>
          <w:u w:val="none"/>
        </w:rPr>
        <w:t>&amp;nbsp;&amp;nbsp;&amp;nbsp;&amp;nbsp;(i)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keepNext w:val="0"/>
        <w:widowControl/>
        <w:jc w:val="both"/>
      </w:pPr>
      <w:r>
        <w:rPr>
          <w:rFonts w:ascii="Times New Roman" w:hAnsi="Times New Roman"/>
          <w:b w:val="0"/>
          <w:i w:val="0"/>
          <w:strike w:val="0"/>
          <w:sz w:val="24"/>
          <w:u w:val="none"/>
        </w:rPr>
        <w:t>&amp;nbsp;&amp;nbsp;&amp;nbsp;&amp;nbsp;(ii) Provide that such insurance as to the interest of any mortgagee shall not be invalidated by any act or neglect of the board or the owners or any persons under them;</w:t>
      </w:r>
    </w:p>
    <w:p>
      <w:pPr>
        <w:keepNext w:val="0"/>
        <w:widowControl/>
        <w:jc w:val="both"/>
      </w:pPr>
      <w:r>
        <w:rPr>
          <w:rFonts w:ascii="Times New Roman" w:hAnsi="Times New Roman"/>
          <w:b w:val="0"/>
          <w:i w:val="0"/>
          <w:strike w:val="0"/>
          <w:sz w:val="24"/>
          <w:u w:val="none"/>
        </w:rPr>
        <w:t>&amp;nbsp;&amp;nbsp;&amp;nbsp;&amp;nbsp;(iii)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bookmarkStart w:id="4042" w:name="nav4042"/>
      <w:pPr>
        <w:keepNext/>
        <w:widowControl/>
        <w:spacing w:before="200"/>
        <w:jc w:val="left"/>
      </w:pPr>
      <w:r>
        <w:rPr>
          <w:rFonts w:ascii="Times New Roman" w:hAnsi="Times New Roman"/>
          <w:b/>
          <w:i w:val="0"/>
          <w:strike w:val="0"/>
          <w:sz w:val="24"/>
          <w:u w:val="none"/>
        </w:rPr>
        <w:t>12.2 Liability Insurance</w:t>
      </w:r>
      <w:bookmarkEnd w:id="4042"/>
    </w:p>
    <w:p>
      <w:pPr>
        <w:keepNext w:val="0"/>
        <w:widowControl/>
        <w:jc w:val="both"/>
      </w:pPr>
      <w:r>
        <w:rPr>
          <w:rFonts w:ascii="Times New Roman" w:hAnsi="Times New Roman"/>
          <w:b w:val="0"/>
          <w:i w:val="0"/>
          <w:strike w:val="0"/>
          <w:sz w:val="24"/>
          <w:u w:val="none"/>
        </w:rP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keepNext w:val="0"/>
        <w:widowControl/>
        <w:jc w:val="both"/>
      </w:pPr>
      <w:r>
        <w:rPr>
          <w:rFonts w:ascii="Times New Roman" w:hAnsi="Times New Roman"/>
          <w:b w:val="0"/>
          <w:i w:val="0"/>
          <w:strike w:val="0"/>
          <w:sz w:val="24"/>
          <w:u w:val="none"/>
        </w:rPr>
        <w:t>All premiums on the policy or policies required under this Section 12 shall be borne by the owners of the Apartments in proportion to their undivided interests in the common elements.</w:t>
      </w:r>
    </w:p>
    <w:p>
      <w:pPr>
        <w:keepNext w:val="0"/>
        <w:widowControl/>
        <w:jc w:val="both"/>
      </w:pPr>
      <w:r>
        <w:rPr>
          <w:rFonts w:ascii="Times New Roman" w:hAnsi="Times New Roman"/>
          <w:b w:val="0"/>
          <w:i w:val="0"/>
          <w:strike w:val="0"/>
          <w:sz w:val="24"/>
          <w:u w:val="none"/>
        </w:rPr>
        <w:t>Each such policy, unless unobtainable, shall:</w:t>
      </w:r>
    </w:p>
    <w:p>
      <w:pPr>
        <w:keepNext w:val="0"/>
        <w:widowControl/>
        <w:jc w:val="both"/>
      </w:pPr>
      <w:r>
        <w:rPr>
          <w:rFonts w:ascii="Times New Roman" w:hAnsi="Times New Roman"/>
          <w:b w:val="0"/>
          <w:i w:val="0"/>
          <w:strike w:val="0"/>
          <w:sz w:val="24"/>
          <w:u w:val="none"/>
        </w:rP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keepNext w:val="0"/>
        <w:widowControl/>
        <w:jc w:val="both"/>
      </w:pPr>
      <w:r>
        <w:rPr>
          <w:rFonts w:ascii="Times New Roman" w:hAnsi="Times New Roman"/>
          <w:b w:val="0"/>
          <w:i w:val="0"/>
          <w:strike w:val="0"/>
          <w:sz w:val="24"/>
          <w:u w:val="none"/>
        </w:rP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keepNext w:val="0"/>
        <w:widowControl/>
        <w:jc w:val="both"/>
      </w:pPr>
      <w:r>
        <w:rPr>
          <w:rFonts w:ascii="Times New Roman" w:hAnsi="Times New Roman"/>
          <w:b w:val="0"/>
          <w:i w:val="0"/>
          <w:strike w:val="0"/>
          <w:sz w:val="24"/>
          <w:u w:val="none"/>
        </w:rPr>
        <w:t>(c) Contain a waiver by the insurer of any subrogation to any right of the board, the managing agent or any owner against any of them or any other person under their control; and</w:t>
      </w:r>
    </w:p>
    <w:p>
      <w:pPr>
        <w:keepNext w:val="0"/>
        <w:widowControl/>
        <w:jc w:val="both"/>
      </w:pPr>
      <w:r>
        <w:rPr>
          <w:rFonts w:ascii="Times New Roman" w:hAnsi="Times New Roman"/>
          <w:b w:val="0"/>
          <w:i w:val="0"/>
          <w:strike w:val="0"/>
          <w:sz w:val="24"/>
          <w:u w:val="none"/>
        </w:rPr>
        <w:t>(d) Contain a "severability of interest" clause precluding the insurer from denying the claim of an owner because of negligent acts of the association or other owners.</w:t>
      </w:r>
    </w:p>
    <w:p>
      <w:bookmarkStart w:id="4043" w:name="nav4043"/>
      <w:pPr>
        <w:keepNext/>
        <w:widowControl/>
        <w:spacing w:before="200"/>
        <w:jc w:val="left"/>
      </w:pPr>
      <w:r>
        <w:rPr>
          <w:rFonts w:ascii="Times New Roman" w:hAnsi="Times New Roman"/>
          <w:b/>
          <w:i w:val="0"/>
          <w:strike w:val="0"/>
          <w:sz w:val="24"/>
          <w:u w:val="none"/>
        </w:rPr>
        <w:t>12.3 Worker's Compensation</w:t>
      </w:r>
      <w:bookmarkEnd w:id="4043"/>
    </w:p>
    <w:p>
      <w:pPr>
        <w:keepNext w:val="0"/>
        <w:widowControl/>
        <w:jc w:val="both"/>
      </w:pPr>
      <w:r>
        <w:rPr>
          <w:rFonts w:ascii="Times New Roman" w:hAnsi="Times New Roman"/>
          <w:b w:val="0"/>
          <w:i w:val="0"/>
          <w:strike w:val="0"/>
          <w:sz w:val="24"/>
          <w:u w:val="none"/>
        </w:rPr>
        <w:t>The board on behalf of the Association as a common expense shall effect and maintain a policy of worker's compensation insurance to cover employees of the Association, if any.</w:t>
      </w:r>
    </w:p>
    <w:p>
      <w:bookmarkStart w:id="4044" w:name="nav4044"/>
      <w:pPr>
        <w:keepNext/>
        <w:widowControl/>
        <w:spacing w:before="200"/>
        <w:jc w:val="left"/>
      </w:pPr>
      <w:r>
        <w:rPr>
          <w:rFonts w:ascii="Times New Roman" w:hAnsi="Times New Roman"/>
          <w:b/>
          <w:i w:val="0"/>
          <w:strike w:val="0"/>
          <w:sz w:val="24"/>
          <w:u w:val="none"/>
        </w:rPr>
        <w:t>12.4 Liability Insurance for Members of the Board and Officers of the Association</w:t>
      </w:r>
      <w:bookmarkEnd w:id="4044"/>
    </w:p>
    <w:p>
      <w:pPr>
        <w:keepNext w:val="0"/>
        <w:widowControl/>
        <w:jc w:val="both"/>
      </w:pPr>
      <w:r>
        <w:rPr>
          <w:rFonts w:ascii="Times New Roman" w:hAnsi="Times New Roman"/>
          <w:b w:val="0"/>
          <w:i w:val="0"/>
          <w:strike w:val="0"/>
          <w:sz w:val="24"/>
          <w:u w:val="none"/>
        </w:rP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bookmarkStart w:id="4045" w:name="nav4045"/>
      <w:pPr>
        <w:keepNext/>
        <w:widowControl/>
        <w:spacing w:before="200"/>
        <w:jc w:val="left"/>
      </w:pPr>
      <w:r>
        <w:rPr>
          <w:rFonts w:ascii="Times New Roman" w:hAnsi="Times New Roman"/>
          <w:b/>
          <w:i w:val="0"/>
          <w:strike w:val="0"/>
          <w:sz w:val="24"/>
          <w:u w:val="none"/>
        </w:rPr>
        <w:t>12.5 Other Insurance</w:t>
      </w:r>
      <w:bookmarkEnd w:id="4045"/>
    </w:p>
    <w:p>
      <w:pPr>
        <w:keepNext w:val="0"/>
        <w:widowControl/>
        <w:jc w:val="both"/>
      </w:pPr>
      <w:r>
        <w:rPr>
          <w:rFonts w:ascii="Times New Roman" w:hAnsi="Times New Roman"/>
          <w:b w:val="0"/>
          <w:i w:val="0"/>
          <w:strike w:val="0"/>
          <w:sz w:val="24"/>
          <w:u w:val="none"/>
        </w:rPr>
        <w:t>The board may on behalf of the Association at its common expense, obtain and maintain any other insurance coverage which the board shall in its discretion deem necessary or appropriate.</w:t>
      </w:r>
    </w:p>
    <w:p>
      <w:bookmarkStart w:id="4046" w:name="nav4046"/>
      <w:pPr>
        <w:keepNext/>
        <w:widowControl/>
        <w:spacing w:before="200"/>
        <w:jc w:val="left"/>
      </w:pPr>
      <w:r>
        <w:rPr>
          <w:rFonts w:ascii="Times New Roman" w:hAnsi="Times New Roman"/>
          <w:b/>
          <w:i w:val="0"/>
          <w:strike w:val="0"/>
          <w:sz w:val="24"/>
          <w:u w:val="none"/>
        </w:rPr>
        <w:t>12.6 Review of Insurance Program</w:t>
      </w:r>
      <w:bookmarkEnd w:id="4046"/>
    </w:p>
    <w:p>
      <w:pPr>
        <w:keepNext w:val="0"/>
        <w:widowControl/>
        <w:jc w:val="both"/>
      </w:pPr>
      <w:r>
        <w:rPr>
          <w:rFonts w:ascii="Times New Roman" w:hAnsi="Times New Roman"/>
          <w:b w:val="0"/>
          <w:i w:val="0"/>
          <w:strike w:val="0"/>
          <w:sz w:val="24"/>
          <w:u w:val="none"/>
        </w:rP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bookmarkStart w:id="4047" w:name="nav4047"/>
      <w:pPr>
        <w:keepNext/>
        <w:widowControl/>
        <w:spacing w:before="200"/>
        <w:jc w:val="left"/>
      </w:pPr>
      <w:r>
        <w:rPr>
          <w:rFonts w:ascii="Times New Roman" w:hAnsi="Times New Roman"/>
          <w:b/>
          <w:i w:val="0"/>
          <w:strike w:val="0"/>
          <w:sz w:val="24"/>
          <w:u w:val="none"/>
        </w:rPr>
        <w:t>12.7 Waivers of Subrogation</w:t>
      </w:r>
      <w:bookmarkEnd w:id="4047"/>
    </w:p>
    <w:p>
      <w:pPr>
        <w:keepNext w:val="0"/>
        <w:widowControl/>
        <w:jc w:val="both"/>
      </w:pPr>
      <w:r>
        <w:rPr>
          <w:rFonts w:ascii="Times New Roman" w:hAnsi="Times New Roman"/>
          <w:b w:val="0"/>
          <w:i w:val="0"/>
          <w:strike w:val="0"/>
          <w:sz w:val="24"/>
          <w:u w:val="none"/>
        </w:rP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bookmarkStart w:id="4048" w:name="nav4048"/>
      <w:pPr>
        <w:keepNext/>
        <w:widowControl/>
        <w:spacing w:before="200"/>
        <w:jc w:val="left"/>
      </w:pPr>
      <w:r>
        <w:rPr>
          <w:rFonts w:ascii="Times New Roman" w:hAnsi="Times New Roman"/>
          <w:b/>
          <w:i w:val="0"/>
          <w:strike w:val="0"/>
          <w:sz w:val="24"/>
          <w:u w:val="none"/>
        </w:rPr>
        <w:t>12.8 Substitute Coverage</w:t>
      </w:r>
      <w:bookmarkEnd w:id="4048"/>
    </w:p>
    <w:p>
      <w:pPr>
        <w:keepNext w:val="0"/>
        <w:widowControl/>
        <w:jc w:val="both"/>
      </w:pPr>
      <w:r>
        <w:rPr>
          <w:rFonts w:ascii="Times New Roman" w:hAnsi="Times New Roman"/>
          <w:b w:val="0"/>
          <w:i w:val="0"/>
          <w:strike w:val="0"/>
          <w:sz w:val="24"/>
          <w:u w:val="none"/>
        </w:rP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bookmarkStart w:id="4049" w:name="nav4049"/>
      <w:pPr>
        <w:keepNext/>
        <w:widowControl/>
        <w:spacing w:before="280"/>
        <w:jc w:val="left"/>
      </w:pPr>
      <w:r>
        <w:rPr>
          <w:rFonts w:ascii="Times New Roman" w:hAnsi="Times New Roman"/>
          <w:b/>
          <w:i w:val="0"/>
          <w:strike w:val="0"/>
          <w:sz w:val="26"/>
          <w:u w:val="none"/>
        </w:rPr>
        <w:t>13. INSURED CASUALTY AND UNINSURED CASUALTY.</w:t>
      </w:r>
      <w:bookmarkEnd w:id="4049"/>
    </w:p>
    <w:p>
      <w:bookmarkStart w:id="4050" w:name="nav4050"/>
      <w:pPr>
        <w:keepNext/>
        <w:widowControl/>
        <w:spacing w:before="200"/>
        <w:jc w:val="left"/>
      </w:pPr>
      <w:r>
        <w:rPr>
          <w:rFonts w:ascii="Times New Roman" w:hAnsi="Times New Roman"/>
          <w:b/>
          <w:i w:val="0"/>
          <w:strike w:val="0"/>
          <w:sz w:val="24"/>
          <w:u w:val="none"/>
        </w:rPr>
        <w:t>13.1 Insured Casualty</w:t>
      </w:r>
      <w:bookmarkEnd w:id="4050"/>
    </w:p>
    <w:p>
      <w:pPr>
        <w:keepNext w:val="0"/>
        <w:widowControl/>
        <w:jc w:val="both"/>
      </w:pPr>
      <w:r>
        <w:rPr>
          <w:rFonts w:ascii="Times New Roman" w:hAnsi="Times New Roman"/>
          <w:b w:val="0"/>
          <w:i w:val="0"/>
          <w:strike w:val="0"/>
          <w:sz w:val="24"/>
          <w:u w:val="none"/>
        </w:rP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keepNext w:val="0"/>
        <w:widowControl/>
        <w:jc w:val="both"/>
      </w:pPr>
      <w:r>
        <w:rPr>
          <w:rFonts w:ascii="Times New Roman" w:hAnsi="Times New Roman"/>
          <w:b w:val="0"/>
          <w:i w:val="0"/>
          <w:strike w:val="0"/>
          <w:sz w:val="24"/>
          <w:u w:val="none"/>
        </w:rP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keepNext w:val="0"/>
        <w:widowControl/>
        <w:jc w:val="both"/>
      </w:pPr>
      <w:r>
        <w:rPr>
          <w:rFonts w:ascii="Times New Roman" w:hAnsi="Times New Roman"/>
          <w:b w:val="0"/>
          <w:i w:val="0"/>
          <w:strike w:val="0"/>
          <w:sz w:val="24"/>
          <w:u w:val="none"/>
        </w:rP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keepNext w:val="0"/>
        <w:widowControl/>
        <w:jc w:val="both"/>
      </w:pPr>
      <w:r>
        <w:rPr>
          <w:rFonts w:ascii="Times New Roman" w:hAnsi="Times New Roman"/>
          <w:b w:val="0"/>
          <w:i w:val="0"/>
          <w:strike w:val="0"/>
          <w:sz w:val="24"/>
          <w:u w:val="none"/>
        </w:rP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keepNext w:val="0"/>
        <w:widowControl/>
        <w:jc w:val="both"/>
      </w:pPr>
      <w:r>
        <w:rPr>
          <w:rFonts w:ascii="Times New Roman" w:hAnsi="Times New Roman"/>
          <w:b w:val="0"/>
          <w:i w:val="0"/>
          <w:strike w:val="0"/>
          <w:sz w:val="24"/>
          <w:u w:val="none"/>
        </w:rPr>
        <w:t>(e) Disbursement of Insurance Proceeds. The cost of the work (as estimated by the board of directors) shall be paid out from time to time or at the direction of the board as the work progresses, but subject to the following conditions:</w:t>
      </w:r>
    </w:p>
    <w:p>
      <w:pPr>
        <w:keepNext w:val="0"/>
        <w:widowControl/>
        <w:jc w:val="both"/>
      </w:pPr>
      <w:r>
        <w:rPr>
          <w:rFonts w:ascii="Times New Roman" w:hAnsi="Times New Roman"/>
          <w:b w:val="0"/>
          <w:i w:val="0"/>
          <w:strike w:val="0"/>
          <w:sz w:val="24"/>
          <w:u w:val="none"/>
        </w:rPr>
        <w:t>&amp;nbsp;&amp;nbsp;&amp;nbsp;&amp;nbsp;(i) An architect or engineer (who may be an employee of the board) shall oversee the work;</w:t>
      </w:r>
    </w:p>
    <w:p>
      <w:pPr>
        <w:keepNext w:val="0"/>
        <w:widowControl/>
        <w:jc w:val="both"/>
      </w:pPr>
      <w:r>
        <w:rPr>
          <w:rFonts w:ascii="Times New Roman" w:hAnsi="Times New Roman"/>
          <w:b w:val="0"/>
          <w:i w:val="0"/>
          <w:strike w:val="0"/>
          <w:sz w:val="24"/>
          <w:u w:val="none"/>
        </w:rPr>
        <w:t>&amp;nbsp;&amp;nbsp;&amp;nbsp;&amp;nbsp;(ii)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keepNext w:val="0"/>
        <w:widowControl/>
        <w:jc w:val="both"/>
      </w:pPr>
      <w:r>
        <w:rPr>
          <w:rFonts w:ascii="Times New Roman" w:hAnsi="Times New Roman"/>
          <w:b w:val="0"/>
          <w:i w:val="0"/>
          <w:strike w:val="0"/>
          <w:sz w:val="24"/>
          <w:u w:val="none"/>
        </w:rPr>
        <w:t>&amp;nbsp;&amp;nbsp;&amp;nbsp;&amp;nbsp;(iii)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keepNext w:val="0"/>
        <w:widowControl/>
        <w:jc w:val="both"/>
      </w:pPr>
      <w:r>
        <w:rPr>
          <w:rFonts w:ascii="Times New Roman" w:hAnsi="Times New Roman"/>
          <w:b w:val="0"/>
          <w:i w:val="0"/>
          <w:strike w:val="0"/>
          <w:sz w:val="24"/>
          <w:u w:val="none"/>
        </w:rPr>
        <w:t>&amp;nbsp;&amp;nbsp;&amp;nbsp;&amp;nbsp;(iv) The request for any payment after the work has been completed shall be accompanied by a copy of any certificate or certificates required by law to render occupancy of the premises legal;</w:t>
      </w:r>
    </w:p>
    <w:p>
      <w:pPr>
        <w:keepNext w:val="0"/>
        <w:widowControl/>
        <w:jc w:val="both"/>
      </w:pPr>
      <w:r>
        <w:rPr>
          <w:rFonts w:ascii="Times New Roman" w:hAnsi="Times New Roman"/>
          <w:b w:val="0"/>
          <w:i w:val="0"/>
          <w:strike w:val="0"/>
          <w:sz w:val="24"/>
          <w:u w:val="none"/>
        </w:rPr>
        <w:t>&amp;nbsp;&amp;nbsp;&amp;nbsp;&amp;nbsp;(v)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keepNext w:val="0"/>
        <w:widowControl/>
        <w:jc w:val="both"/>
      </w:pPr>
      <w:r>
        <w:rPr>
          <w:rFonts w:ascii="Times New Roman" w:hAnsi="Times New Roman"/>
          <w:b w:val="0"/>
          <w:i w:val="0"/>
          <w:strike w:val="0"/>
          <w:sz w:val="24"/>
          <w:u w:val="none"/>
        </w:rPr>
        <w:t>&amp;nbsp;&amp;nbsp;&amp;nbsp;&amp;nbsp;(vi) Such other conditions not inconsistent with the foregoing as the Insurance Trustee may reasonably request.</w:t>
      </w:r>
    </w:p>
    <w:p>
      <w:pPr>
        <w:keepNext w:val="0"/>
        <w:widowControl/>
        <w:jc w:val="both"/>
      </w:pPr>
      <w:r>
        <w:rPr>
          <w:rFonts w:ascii="Times New Roman" w:hAnsi="Times New Roman"/>
          <w:b w:val="0"/>
          <w:i w:val="0"/>
          <w:strike w:val="0"/>
          <w:sz w:val="24"/>
          <w:u w:val="none"/>
        </w:rP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keepNext w:val="0"/>
        <w:widowControl/>
        <w:jc w:val="both"/>
      </w:pPr>
      <w:r>
        <w:rPr>
          <w:rFonts w:ascii="Times New Roman" w:hAnsi="Times New Roman"/>
          <w:b w:val="0"/>
          <w:i w:val="0"/>
          <w:strike w:val="0"/>
          <w:sz w:val="24"/>
          <w:u w:val="none"/>
        </w:rP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bookmarkStart w:id="4051" w:name="nav4051"/>
      <w:pPr>
        <w:keepNext/>
        <w:widowControl/>
        <w:spacing w:before="200"/>
        <w:jc w:val="left"/>
      </w:pPr>
      <w:r>
        <w:rPr>
          <w:rFonts w:ascii="Times New Roman" w:hAnsi="Times New Roman"/>
          <w:b/>
          <w:i w:val="0"/>
          <w:strike w:val="0"/>
          <w:sz w:val="24"/>
          <w:u w:val="none"/>
        </w:rPr>
        <w:t>13.2 Uninsured Casualty: Partial Restoration and Determination Against Restoration</w:t>
      </w:r>
      <w:bookmarkEnd w:id="4051"/>
    </w:p>
    <w:p>
      <w:pPr>
        <w:keepNext w:val="0"/>
        <w:widowControl/>
        <w:jc w:val="both"/>
      </w:pPr>
      <w:r>
        <w:rPr>
          <w:rFonts w:ascii="Times New Roman" w:hAnsi="Times New Roman"/>
          <w:b w:val="0"/>
          <w:i w:val="0"/>
          <w:strike w:val="0"/>
          <w:sz w:val="24"/>
          <w:u w:val="none"/>
        </w:rP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keepNext w:val="0"/>
        <w:widowControl/>
        <w:jc w:val="both"/>
      </w:pPr>
      <w:r>
        <w:rPr>
          <w:rFonts w:ascii="Times New Roman" w:hAnsi="Times New Roman"/>
          <w:b w:val="0"/>
          <w:i w:val="0"/>
          <w:strike w:val="0"/>
          <w:sz w:val="24"/>
          <w:u w:val="none"/>
        </w:rP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keepNext w:val="0"/>
        <w:widowControl/>
        <w:jc w:val="both"/>
      </w:pPr>
      <w:r>
        <w:rPr>
          <w:rFonts w:ascii="Times New Roman" w:hAnsi="Times New Roman"/>
          <w:b w:val="0"/>
          <w:i w:val="0"/>
          <w:strike w:val="0"/>
          <w:sz w:val="24"/>
          <w:u w:val="none"/>
        </w:rP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bookmarkStart w:id="4052" w:name="nav4052"/>
      <w:pPr>
        <w:keepNext/>
        <w:widowControl/>
        <w:spacing w:before="280"/>
        <w:jc w:val="left"/>
      </w:pPr>
      <w:r>
        <w:rPr>
          <w:rFonts w:ascii="Times New Roman" w:hAnsi="Times New Roman"/>
          <w:b/>
          <w:i w:val="0"/>
          <w:strike w:val="0"/>
          <w:sz w:val="26"/>
          <w:u w:val="none"/>
        </w:rPr>
        <w:t>14. CONDEMNATION.</w:t>
      </w:r>
      <w:bookmarkEnd w:id="4052"/>
    </w:p>
    <w:p>
      <w:bookmarkStart w:id="4053" w:name="nav4053"/>
      <w:pPr>
        <w:keepNext/>
        <w:widowControl/>
        <w:spacing w:before="200"/>
        <w:jc w:val="left"/>
      </w:pPr>
      <w:r>
        <w:rPr>
          <w:rFonts w:ascii="Times New Roman" w:hAnsi="Times New Roman"/>
          <w:b/>
          <w:i w:val="0"/>
          <w:strike w:val="0"/>
          <w:sz w:val="24"/>
          <w:u w:val="none"/>
        </w:rPr>
        <w:t>14.1 Condemnation Trustee</w:t>
      </w:r>
      <w:bookmarkEnd w:id="4053"/>
    </w:p>
    <w:p>
      <w:pPr>
        <w:keepNext w:val="0"/>
        <w:widowControl/>
        <w:jc w:val="both"/>
      </w:pPr>
      <w:r>
        <w:rPr>
          <w:rFonts w:ascii="Times New Roman" w:hAnsi="Times New Roman"/>
          <w:b w:val="0"/>
          <w:i w:val="0"/>
          <w:strike w:val="0"/>
          <w:sz w:val="24"/>
          <w:u w:val="none"/>
        </w:rP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bookmarkStart w:id="4054" w:name="nav4054"/>
      <w:pPr>
        <w:keepNext/>
        <w:widowControl/>
        <w:spacing w:before="200"/>
        <w:jc w:val="left"/>
      </w:pPr>
      <w:r>
        <w:rPr>
          <w:rFonts w:ascii="Times New Roman" w:hAnsi="Times New Roman"/>
          <w:b/>
          <w:i w:val="0"/>
          <w:strike w:val="0"/>
          <w:sz w:val="24"/>
          <w:u w:val="none"/>
        </w:rPr>
        <w:t>14.2 Allocation of Condemnation Proceeds</w:t>
      </w:r>
      <w:bookmarkEnd w:id="4054"/>
    </w:p>
    <w:p>
      <w:pPr>
        <w:keepNext w:val="0"/>
        <w:widowControl/>
        <w:jc w:val="both"/>
      </w:pPr>
      <w:r>
        <w:rPr>
          <w:rFonts w:ascii="Times New Roman" w:hAnsi="Times New Roman"/>
          <w:b w:val="0"/>
          <w:i w:val="0"/>
          <w:strike w:val="0"/>
          <w:sz w:val="24"/>
          <w:u w:val="none"/>
        </w:rP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bookmarkStart w:id="4055" w:name="nav4055"/>
      <w:pPr>
        <w:keepNext/>
        <w:widowControl/>
        <w:spacing w:before="200"/>
        <w:jc w:val="left"/>
      </w:pPr>
      <w:r>
        <w:rPr>
          <w:rFonts w:ascii="Times New Roman" w:hAnsi="Times New Roman"/>
          <w:b/>
          <w:i w:val="0"/>
          <w:strike w:val="0"/>
          <w:sz w:val="24"/>
          <w:u w:val="none"/>
        </w:rPr>
        <w:t>14.3 Condemnation of Entire Project</w:t>
      </w:r>
      <w:bookmarkEnd w:id="4055"/>
    </w:p>
    <w:p>
      <w:pPr>
        <w:keepNext w:val="0"/>
        <w:widowControl/>
        <w:jc w:val="both"/>
      </w:pPr>
      <w:r>
        <w:rPr>
          <w:rFonts w:ascii="Times New Roman" w:hAnsi="Times New Roman"/>
          <w:b w:val="0"/>
          <w:i w:val="0"/>
          <w:strike w:val="0"/>
          <w:sz w:val="24"/>
          <w:u w:val="none"/>
        </w:rPr>
        <w:t>If the entire Project is taken, the Condemnation Trustee shall pay each apartment owner and mortgagee, as their interests may appear, the portion of the condemnation proceeds determined in the above manner.</w:t>
      </w:r>
    </w:p>
    <w:p>
      <w:bookmarkStart w:id="4056" w:name="nav4056"/>
      <w:pPr>
        <w:keepNext/>
        <w:widowControl/>
        <w:spacing w:before="200"/>
        <w:jc w:val="left"/>
      </w:pPr>
      <w:r>
        <w:rPr>
          <w:rFonts w:ascii="Times New Roman" w:hAnsi="Times New Roman"/>
          <w:b/>
          <w:i w:val="0"/>
          <w:strike w:val="0"/>
          <w:sz w:val="24"/>
          <w:u w:val="none"/>
        </w:rPr>
        <w:t>14.4 Partial Taking</w:t>
      </w:r>
      <w:bookmarkEnd w:id="4056"/>
    </w:p>
    <w:p>
      <w:pPr>
        <w:keepNext w:val="0"/>
        <w:widowControl/>
        <w:jc w:val="both"/>
      </w:pPr>
      <w:r>
        <w:rPr>
          <w:rFonts w:ascii="Times New Roman" w:hAnsi="Times New Roman"/>
          <w:b w:val="0"/>
          <w:i w:val="0"/>
          <w:strike w:val="0"/>
          <w:sz w:val="24"/>
          <w:u w:val="none"/>
        </w:rP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keepNext w:val="0"/>
        <w:widowControl/>
        <w:jc w:val="both"/>
      </w:pPr>
      <w:r>
        <w:rPr>
          <w:rFonts w:ascii="Times New Roman" w:hAnsi="Times New Roman"/>
          <w:b w:val="0"/>
          <w:i w:val="0"/>
          <w:strike w:val="0"/>
          <w:sz w:val="24"/>
          <w:u w:val="none"/>
        </w:rP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keepNext w:val="0"/>
        <w:widowControl/>
        <w:jc w:val="both"/>
      </w:pPr>
      <w:r>
        <w:rPr>
          <w:rFonts w:ascii="Times New Roman" w:hAnsi="Times New Roman"/>
          <w:b w:val="0"/>
          <w:i w:val="0"/>
          <w:strike w:val="0"/>
          <w:sz w:val="24"/>
          <w:u w:val="none"/>
        </w:rP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keepNext w:val="0"/>
        <w:widowControl/>
        <w:jc w:val="both"/>
      </w:pPr>
      <w:r>
        <w:rPr>
          <w:rFonts w:ascii="Times New Roman" w:hAnsi="Times New Roman"/>
          <w:b w:val="0"/>
          <w:i w:val="0"/>
          <w:strike w:val="0"/>
          <w:sz w:val="24"/>
          <w:u w:val="none"/>
        </w:rP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bookmarkStart w:id="4057" w:name="nav4057"/>
      <w:pPr>
        <w:keepNext/>
        <w:widowControl/>
        <w:spacing w:before="280"/>
        <w:jc w:val="left"/>
      </w:pPr>
      <w:r>
        <w:rPr>
          <w:rFonts w:ascii="Times New Roman" w:hAnsi="Times New Roman"/>
          <w:b/>
          <w:i w:val="0"/>
          <w:strike w:val="0"/>
          <w:sz w:val="26"/>
          <w:u w:val="none"/>
        </w:rPr>
        <w:t>15. COMPLIANCE WITH CONDOMINIUM DOCUMENTS.</w:t>
      </w:r>
      <w:bookmarkEnd w:id="4057"/>
    </w:p>
    <w:p>
      <w:bookmarkStart w:id="4058" w:name="nav4058"/>
      <w:pPr>
        <w:keepNext/>
        <w:widowControl/>
        <w:spacing w:before="200"/>
        <w:jc w:val="left"/>
      </w:pPr>
      <w:r>
        <w:rPr>
          <w:rFonts w:ascii="Times New Roman" w:hAnsi="Times New Roman"/>
          <w:b/>
          <w:i w:val="0"/>
          <w:strike w:val="0"/>
          <w:sz w:val="24"/>
          <w:u w:val="none"/>
        </w:rPr>
        <w:t>15.1 Compliance</w:t>
      </w:r>
      <w:bookmarkEnd w:id="4058"/>
    </w:p>
    <w:p>
      <w:pPr>
        <w:keepNext w:val="0"/>
        <w:widowControl/>
        <w:jc w:val="both"/>
      </w:pPr>
      <w:r>
        <w:rPr>
          <w:rFonts w:ascii="Times New Roman" w:hAnsi="Times New Roman"/>
          <w:b w:val="0"/>
          <w:i w:val="0"/>
          <w:strike w:val="0"/>
          <w:sz w:val="24"/>
          <w:u w:val="none"/>
        </w:rP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keepNext w:val="0"/>
        <w:widowControl/>
        <w:jc w:val="both"/>
      </w:pPr>
      <w:r>
        <w:rPr>
          <w:rFonts w:ascii="Times New Roman" w:hAnsi="Times New Roman"/>
          <w:b w:val="0"/>
          <w:i w:val="0"/>
          <w:strike w:val="0"/>
          <w:sz w:val="24"/>
          <w:u w:val="none"/>
        </w:rPr>
        <w:t>In addition to enforcement against the owner(s), the association or any aggrieved owner may bring any such action directly against any tenant or occupant of any Apartment.</w:t>
      </w:r>
    </w:p>
    <w:p>
      <w:pPr>
        <w:keepNext w:val="0"/>
        <w:widowControl/>
        <w:jc w:val="both"/>
      </w:pPr>
      <w:r>
        <w:rPr>
          <w:rFonts w:ascii="Times New Roman" w:hAnsi="Times New Roman"/>
          <w:b w:val="0"/>
          <w:i w:val="0"/>
          <w:strike w:val="0"/>
          <w:sz w:val="24"/>
          <w:u w:val="none"/>
        </w:rP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keepNext w:val="0"/>
        <w:widowControl/>
        <w:jc w:val="both"/>
      </w:pPr>
      <w:r>
        <w:rPr>
          <w:rFonts w:ascii="Times New Roman" w:hAnsi="Times New Roman"/>
          <w:b w:val="0"/>
          <w:i w:val="0"/>
          <w:strike w:val="0"/>
          <w:sz w:val="24"/>
          <w:u w:val="none"/>
        </w:rP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bookmarkStart w:id="4059" w:name="nav4059"/>
      <w:pPr>
        <w:keepNext/>
        <w:widowControl/>
        <w:spacing w:before="200"/>
        <w:jc w:val="left"/>
      </w:pPr>
      <w:r>
        <w:rPr>
          <w:rFonts w:ascii="Times New Roman" w:hAnsi="Times New Roman"/>
          <w:b/>
          <w:i w:val="0"/>
          <w:strike w:val="0"/>
          <w:sz w:val="24"/>
          <w:u w:val="none"/>
        </w:rPr>
        <w:t>15.2 Costs</w:t>
      </w:r>
      <w:bookmarkEnd w:id="4059"/>
    </w:p>
    <w:p>
      <w:pPr>
        <w:keepNext w:val="0"/>
        <w:widowControl/>
        <w:jc w:val="both"/>
      </w:pPr>
      <w:r>
        <w:rPr>
          <w:rFonts w:ascii="Times New Roman" w:hAnsi="Times New Roman"/>
          <w:b w:val="0"/>
          <w:i w:val="0"/>
          <w:strike w:val="0"/>
          <w:sz w:val="24"/>
          <w:u w:val="none"/>
        </w:rP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bookmarkStart w:id="4060" w:name="nav4060"/>
      <w:pPr>
        <w:keepNext/>
        <w:widowControl/>
        <w:spacing w:before="280"/>
        <w:jc w:val="left"/>
      </w:pPr>
      <w:r>
        <w:rPr>
          <w:rFonts w:ascii="Times New Roman" w:hAnsi="Times New Roman"/>
          <w:b/>
          <w:i w:val="0"/>
          <w:strike w:val="0"/>
          <w:sz w:val="26"/>
          <w:u w:val="none"/>
        </w:rPr>
        <w:t>16. AMENDMENTS OF THE DECLARATION.</w:t>
      </w:r>
      <w:bookmarkEnd w:id="4060"/>
    </w:p>
    <w:p>
      <w:bookmarkStart w:id="4061" w:name="nav4061"/>
      <w:pPr>
        <w:keepNext/>
        <w:widowControl/>
        <w:spacing w:before="200"/>
        <w:jc w:val="left"/>
      </w:pPr>
      <w:r>
        <w:rPr>
          <w:rFonts w:ascii="Times New Roman" w:hAnsi="Times New Roman"/>
          <w:b/>
          <w:i w:val="0"/>
          <w:strike w:val="0"/>
          <w:sz w:val="24"/>
          <w:u w:val="none"/>
        </w:rPr>
        <w:t>16.1 Amendments Generally</w:t>
      </w:r>
      <w:bookmarkEnd w:id="4061"/>
    </w:p>
    <w:p>
      <w:pPr>
        <w:keepNext w:val="0"/>
        <w:widowControl/>
        <w:jc w:val="both"/>
      </w:pPr>
      <w:r>
        <w:rPr>
          <w:rFonts w:ascii="Times New Roman" w:hAnsi="Times New Roman"/>
          <w:b w:val="0"/>
          <w:i w:val="0"/>
          <w:strike w:val="0"/>
          <w:sz w:val="24"/>
          <w:u w:val="none"/>
        </w:rPr>
        <w:t>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keepNext w:val="0"/>
        <w:widowControl/>
        <w:jc w:val="both"/>
      </w:pPr>
      <w:r>
        <w:rPr>
          <w:rFonts w:ascii="Times New Roman" w:hAnsi="Times New Roman"/>
          <w:b w:val="0"/>
          <w:i w:val="0"/>
          <w:strike w:val="0"/>
          <w:sz w:val="24"/>
          <w:u w:val="none"/>
        </w:rP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bookmarkStart w:id="4062" w:name="nav4062"/>
      <w:pPr>
        <w:keepNext/>
        <w:widowControl/>
        <w:spacing w:before="200"/>
        <w:jc w:val="left"/>
      </w:pPr>
      <w:r>
        <w:rPr>
          <w:rFonts w:ascii="Times New Roman" w:hAnsi="Times New Roman"/>
          <w:b/>
          <w:i w:val="0"/>
          <w:strike w:val="0"/>
          <w:sz w:val="24"/>
          <w:u w:val="none"/>
        </w:rPr>
        <w:t>16.2 Amendments Required by Law, Lenders, Title Insurers, Etc.</w:t>
      </w:r>
      <w:bookmarkEnd w:id="4062"/>
    </w:p>
    <w:p>
      <w:pPr>
        <w:keepNext w:val="0"/>
        <w:widowControl/>
        <w:jc w:val="both"/>
      </w:pPr>
      <w:r>
        <w:rPr>
          <w:rFonts w:ascii="Times New Roman" w:hAnsi="Times New Roman"/>
          <w:b w:val="0"/>
          <w:i w:val="0"/>
          <w:strike w:val="0"/>
          <w:sz w:val="24"/>
          <w:u w:val="none"/>
        </w:rP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bookmarkStart w:id="4063" w:name="nav4063"/>
      <w:pPr>
        <w:keepNext/>
        <w:widowControl/>
        <w:spacing w:before="200"/>
        <w:jc w:val="left"/>
      </w:pPr>
      <w:r>
        <w:rPr>
          <w:rFonts w:ascii="Times New Roman" w:hAnsi="Times New Roman"/>
          <w:b/>
          <w:i w:val="0"/>
          <w:strike w:val="0"/>
          <w:sz w:val="24"/>
          <w:u w:val="none"/>
        </w:rPr>
        <w:t>16.3 Restatement</w:t>
      </w:r>
      <w:bookmarkEnd w:id="4063"/>
    </w:p>
    <w:p>
      <w:pPr>
        <w:keepNext w:val="0"/>
        <w:widowControl/>
        <w:jc w:val="both"/>
      </w:pPr>
      <w:r>
        <w:rPr>
          <w:rFonts w:ascii="Times New Roman" w:hAnsi="Times New Roman"/>
          <w:b w:val="0"/>
          <w:i w:val="0"/>
          <w:strike w:val="0"/>
          <w:sz w:val="24"/>
          <w:u w:val="none"/>
        </w:rP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bookmarkStart w:id="4064" w:name="nav4064"/>
      <w:pPr>
        <w:keepNext/>
        <w:widowControl/>
        <w:spacing w:before="200"/>
        <w:jc w:val="left"/>
      </w:pPr>
      <w:r>
        <w:rPr>
          <w:rFonts w:ascii="Times New Roman" w:hAnsi="Times New Roman"/>
          <w:b/>
          <w:i w:val="0"/>
          <w:strike w:val="0"/>
          <w:sz w:val="24"/>
          <w:u w:val="none"/>
        </w:rPr>
        <w:t>16.4 Consent of Eligible Mortgage Holders</w:t>
      </w:r>
      <w:bookmarkEnd w:id="4064"/>
    </w:p>
    <w:p>
      <w:pPr>
        <w:keepNext w:val="0"/>
        <w:widowControl/>
        <w:jc w:val="both"/>
      </w:pPr>
      <w:r>
        <w:rPr>
          <w:rFonts w:ascii="Times New Roman" w:hAnsi="Times New Roman"/>
          <w:b w:val="0"/>
          <w:i w:val="0"/>
          <w:strike w:val="0"/>
          <w:sz w:val="24"/>
          <w:u w:val="none"/>
        </w:rP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keepNext w:val="0"/>
        <w:widowControl/>
        <w:jc w:val="both"/>
      </w:pPr>
      <w:r>
        <w:rPr>
          <w:rFonts w:ascii="Times New Roman" w:hAnsi="Times New Roman"/>
          <w:b w:val="0"/>
          <w:i w:val="0"/>
          <w:strike w:val="0"/>
          <w:sz w:val="24"/>
          <w:u w:val="none"/>
        </w:rPr>
        <w:t>(a) voting rights of apartment owners;</w:t>
      </w:r>
    </w:p>
    <w:p>
      <w:pPr>
        <w:keepNext w:val="0"/>
        <w:widowControl/>
        <w:jc w:val="both"/>
      </w:pPr>
      <w:r>
        <w:rPr>
          <w:rFonts w:ascii="Times New Roman" w:hAnsi="Times New Roman"/>
          <w:b w:val="0"/>
          <w:i w:val="0"/>
          <w:strike w:val="0"/>
          <w:sz w:val="24"/>
          <w:u w:val="none"/>
        </w:rPr>
        <w:t>(b) assessments, assessment liens, or subordination of assessment liens;</w:t>
      </w:r>
    </w:p>
    <w:p>
      <w:pPr>
        <w:keepNext w:val="0"/>
        <w:widowControl/>
        <w:jc w:val="both"/>
      </w:pPr>
      <w:r>
        <w:rPr>
          <w:rFonts w:ascii="Times New Roman" w:hAnsi="Times New Roman"/>
          <w:b w:val="0"/>
          <w:i w:val="0"/>
          <w:strike w:val="0"/>
          <w:sz w:val="24"/>
          <w:u w:val="none"/>
        </w:rPr>
        <w:t>(c) the reserve funds for maintenance, repair and replacement of common elements;</w:t>
      </w:r>
    </w:p>
    <w:p>
      <w:pPr>
        <w:keepNext w:val="0"/>
        <w:widowControl/>
        <w:jc w:val="both"/>
      </w:pPr>
      <w:r>
        <w:rPr>
          <w:rFonts w:ascii="Times New Roman" w:hAnsi="Times New Roman"/>
          <w:b w:val="0"/>
          <w:i w:val="0"/>
          <w:strike w:val="0"/>
          <w:sz w:val="24"/>
          <w:u w:val="none"/>
        </w:rPr>
        <w:t>(d) responsibility for maintenance and repair of the Apartments, common elements and limited common elements;</w:t>
      </w:r>
    </w:p>
    <w:p>
      <w:pPr>
        <w:keepNext w:val="0"/>
        <w:widowControl/>
        <w:jc w:val="both"/>
      </w:pPr>
      <w:r>
        <w:rPr>
          <w:rFonts w:ascii="Times New Roman" w:hAnsi="Times New Roman"/>
          <w:b w:val="0"/>
          <w:i w:val="0"/>
          <w:strike w:val="0"/>
          <w:sz w:val="24"/>
          <w:u w:val="none"/>
        </w:rPr>
        <w:t>(e) the common elements and limited common elements appurtenant to the Apartments, or the rights to the use of the common elements and limited common elements, including any change in the undivided interests in the common elements appurtenant to the Apartments;</w:t>
      </w:r>
    </w:p>
    <w:p>
      <w:pPr>
        <w:keepNext w:val="0"/>
        <w:widowControl/>
        <w:jc w:val="both"/>
      </w:pPr>
      <w:r>
        <w:rPr>
          <w:rFonts w:ascii="Times New Roman" w:hAnsi="Times New Roman"/>
          <w:b w:val="0"/>
          <w:i w:val="0"/>
          <w:strike w:val="0"/>
          <w:sz w:val="24"/>
          <w:u w:val="none"/>
        </w:rPr>
        <w:t>(f) the boundaries of any Apartment;</w:t>
      </w:r>
    </w:p>
    <w:p>
      <w:pPr>
        <w:keepNext w:val="0"/>
        <w:widowControl/>
        <w:jc w:val="both"/>
      </w:pPr>
      <w:r>
        <w:rPr>
          <w:rFonts w:ascii="Times New Roman" w:hAnsi="Times New Roman"/>
          <w:b w:val="0"/>
          <w:i w:val="0"/>
          <w:strike w:val="0"/>
          <w:sz w:val="24"/>
          <w:u w:val="none"/>
        </w:rPr>
        <w:t>(g) conversion of Apartment spaces into common elements or limited common elements or vice versa;</w:t>
      </w:r>
    </w:p>
    <w:p>
      <w:pPr>
        <w:keepNext w:val="0"/>
        <w:widowControl/>
        <w:jc w:val="both"/>
      </w:pPr>
      <w:r>
        <w:rPr>
          <w:rFonts w:ascii="Times New Roman" w:hAnsi="Times New Roman"/>
          <w:b w:val="0"/>
          <w:i w:val="0"/>
          <w:strike w:val="0"/>
          <w:sz w:val="24"/>
          <w:u w:val="none"/>
        </w:rPr>
        <w:t>(h) expansion or contraction of the Project, or the addition, annexation, or withdrawal of property to or from the Project;</w:t>
      </w:r>
    </w:p>
    <w:p>
      <w:pPr>
        <w:keepNext w:val="0"/>
        <w:widowControl/>
        <w:jc w:val="both"/>
      </w:pPr>
      <w:r>
        <w:rPr>
          <w:rFonts w:ascii="Times New Roman" w:hAnsi="Times New Roman"/>
          <w:b w:val="0"/>
          <w:i w:val="0"/>
          <w:strike w:val="0"/>
          <w:sz w:val="24"/>
          <w:u w:val="none"/>
        </w:rPr>
        <w:t>(i) insurance or fidelity bonds;</w:t>
      </w:r>
    </w:p>
    <w:p>
      <w:pPr>
        <w:keepNext w:val="0"/>
        <w:widowControl/>
        <w:jc w:val="both"/>
      </w:pPr>
      <w:r>
        <w:rPr>
          <w:rFonts w:ascii="Times New Roman" w:hAnsi="Times New Roman"/>
          <w:b w:val="0"/>
          <w:i w:val="0"/>
          <w:strike w:val="0"/>
          <w:sz w:val="24"/>
          <w:u w:val="none"/>
        </w:rPr>
        <w:t>(j) an apartment owner's right to sell, lease or otherwise transfer his or her Apartment or the imposition of any right of first refusal or similar restriction on the right of an apartment owner to sell, lease or otherwise transfer his or her Apartment;</w:t>
      </w:r>
    </w:p>
    <w:p>
      <w:pPr>
        <w:keepNext w:val="0"/>
        <w:widowControl/>
        <w:jc w:val="both"/>
      </w:pPr>
      <w:r>
        <w:rPr>
          <w:rFonts w:ascii="Times New Roman" w:hAnsi="Times New Roman"/>
          <w:b w:val="0"/>
          <w:i w:val="0"/>
          <w:strike w:val="0"/>
          <w:sz w:val="24"/>
          <w:u w:val="none"/>
        </w:rPr>
        <w:t>(k) the qualification for the managing agent of the Project or the establishment of self-management by the association where professional management has been required by any agency or corporation which has an interest or prospective interest in the Project;</w:t>
      </w:r>
    </w:p>
    <w:p>
      <w:pPr>
        <w:keepNext w:val="0"/>
        <w:widowControl/>
        <w:jc w:val="both"/>
      </w:pPr>
      <w:r>
        <w:rPr>
          <w:rFonts w:ascii="Times New Roman" w:hAnsi="Times New Roman"/>
          <w:b w:val="0"/>
          <w:i w:val="0"/>
          <w:strike w:val="0"/>
          <w:sz w:val="24"/>
          <w:u w:val="none"/>
        </w:rPr>
        <w:t>(l) restoration or repair of the Project after damage or destruction or partial condemnation;</w:t>
      </w:r>
    </w:p>
    <w:p>
      <w:pPr>
        <w:keepNext w:val="0"/>
        <w:widowControl/>
        <w:jc w:val="both"/>
      </w:pPr>
      <w:r>
        <w:rPr>
          <w:rFonts w:ascii="Times New Roman" w:hAnsi="Times New Roman"/>
          <w:b w:val="0"/>
          <w:i w:val="0"/>
          <w:strike w:val="0"/>
          <w:sz w:val="24"/>
          <w:u w:val="none"/>
        </w:rPr>
        <w:t>(m) termination of the legal status of the Project as a condominium after substantial destruction or condemnation; or</w:t>
      </w:r>
    </w:p>
    <w:p>
      <w:pPr>
        <w:keepNext w:val="0"/>
        <w:widowControl/>
        <w:jc w:val="both"/>
      </w:pPr>
      <w:r>
        <w:rPr>
          <w:rFonts w:ascii="Times New Roman" w:hAnsi="Times New Roman"/>
          <w:b w:val="0"/>
          <w:i w:val="0"/>
          <w:strike w:val="0"/>
          <w:sz w:val="24"/>
          <w:u w:val="none"/>
        </w:rPr>
        <w:t>(n) any provision that expressly affects the rights and remedies of holders, insurers, or guarantors of first mortgages on Apartments of the Project.</w:t>
      </w:r>
    </w:p>
    <w:p>
      <w:pPr>
        <w:keepNext w:val="0"/>
        <w:widowControl/>
        <w:jc w:val="both"/>
      </w:pPr>
      <w:r>
        <w:rPr>
          <w:rFonts w:ascii="Times New Roman" w:hAnsi="Times New Roman"/>
          <w:b w:val="0"/>
          <w:i w:val="0"/>
          <w:strike w:val="0"/>
          <w:sz w:val="24"/>
          <w:u w:val="none"/>
        </w:rP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keepNext w:val="0"/>
        <w:widowControl/>
        <w:jc w:val="both"/>
      </w:pPr>
      <w:r>
        <w:rPr>
          <w:rFonts w:ascii="Times New Roman" w:hAnsi="Times New Roman"/>
          <w:b w:val="0"/>
          <w:i w:val="0"/>
          <w:strike w:val="0"/>
          <w:sz w:val="24"/>
          <w:u w:val="none"/>
        </w:rP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bookmarkStart w:id="4065" w:name="nav4065"/>
      <w:pPr>
        <w:keepNext/>
        <w:widowControl/>
        <w:spacing w:before="200"/>
        <w:jc w:val="left"/>
      </w:pPr>
      <w:r>
        <w:rPr>
          <w:rFonts w:ascii="Times New Roman" w:hAnsi="Times New Roman"/>
          <w:b/>
          <w:i w:val="0"/>
          <w:strike w:val="0"/>
          <w:sz w:val="24"/>
          <w:u w:val="none"/>
        </w:rPr>
        <w:t>16.5 Consent of Holders of First Mortgages</w:t>
      </w:r>
      <w:bookmarkEnd w:id="4065"/>
    </w:p>
    <w:p>
      <w:pPr>
        <w:keepNext w:val="0"/>
        <w:widowControl/>
        <w:jc w:val="both"/>
      </w:pPr>
      <w:r>
        <w:rPr>
          <w:rFonts w:ascii="Times New Roman" w:hAnsi="Times New Roman"/>
          <w:b w:val="0"/>
          <w:i w:val="0"/>
          <w:strike w:val="0"/>
          <w:sz w:val="24"/>
          <w:u w:val="none"/>
        </w:rP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keepNext w:val="0"/>
        <w:widowControl/>
        <w:jc w:val="both"/>
      </w:pPr>
      <w:r>
        <w:rPr>
          <w:rFonts w:ascii="Times New Roman" w:hAnsi="Times New Roman"/>
          <w:b w:val="0"/>
          <w:i w:val="0"/>
          <w:strike w:val="0"/>
          <w:sz w:val="24"/>
          <w:u w:val="none"/>
        </w:rPr>
        <w:t>(a) by act or omission seek to abandon or terminate the Project;</w:t>
      </w:r>
    </w:p>
    <w:p>
      <w:pPr>
        <w:keepNext w:val="0"/>
        <w:widowControl/>
        <w:jc w:val="both"/>
      </w:pPr>
      <w:r>
        <w:rPr>
          <w:rFonts w:ascii="Times New Roman" w:hAnsi="Times New Roman"/>
          <w:b w:val="0"/>
          <w:i w:val="0"/>
          <w:strike w:val="0"/>
          <w:sz w:val="24"/>
          <w:u w:val="none"/>
        </w:rPr>
        <w:t>(b) change the pro rata interest or obligations of any Apartment in order to levy assessment or charges, allocate distribution of hazard insurance process or condemnation awards, or determine the pro rata share of ownership of each Apartment in the common elements;</w:t>
      </w:r>
    </w:p>
    <w:p>
      <w:pPr>
        <w:keepNext w:val="0"/>
        <w:widowControl/>
        <w:jc w:val="both"/>
      </w:pPr>
      <w:r>
        <w:rPr>
          <w:rFonts w:ascii="Times New Roman" w:hAnsi="Times New Roman"/>
          <w:b w:val="0"/>
          <w:i w:val="0"/>
          <w:strike w:val="0"/>
          <w:sz w:val="24"/>
          <w:u w:val="none"/>
        </w:rPr>
        <w:t>(c) partition or subdivide any Apartment (the provisions of this Declaration with respect to alteration of the Project are not a partition or subdivision within the meaning of this clause);</w:t>
      </w:r>
    </w:p>
    <w:p>
      <w:pPr>
        <w:keepNext w:val="0"/>
        <w:widowControl/>
        <w:jc w:val="both"/>
      </w:pPr>
      <w:r>
        <w:rPr>
          <w:rFonts w:ascii="Times New Roman" w:hAnsi="Times New Roman"/>
          <w:b w:val="0"/>
          <w:i w:val="0"/>
          <w:strike w:val="0"/>
          <w:sz w:val="24"/>
          <w:u w:val="none"/>
        </w:rP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keepNext w:val="0"/>
        <w:widowControl/>
        <w:jc w:val="both"/>
      </w:pPr>
      <w:r>
        <w:rPr>
          <w:rFonts w:ascii="Times New Roman" w:hAnsi="Times New Roman"/>
          <w:b w:val="0"/>
          <w:i w:val="0"/>
          <w:strike w:val="0"/>
          <w:sz w:val="24"/>
          <w:u w:val="none"/>
        </w:rPr>
        <w:t>(e) use hazard insurance proceeds for losses to any property of the Project (whether Apartments or common elements) for other than the repair, replacement, or reconstruction of the Project or any improvements thereon.</w:t>
      </w:r>
    </w:p>
    <w:p>
      <w:pPr>
        <w:keepNext w:val="0"/>
        <w:widowControl/>
        <w:jc w:val="both"/>
      </w:pPr>
      <w:r>
        <w:rPr>
          <w:rFonts w:ascii="Times New Roman" w:hAnsi="Times New Roman"/>
          <w:b w:val="0"/>
          <w:i w:val="0"/>
          <w:strike w:val="0"/>
          <w:sz w:val="24"/>
          <w:u w:val="none"/>
        </w:rPr>
        <w:t>This Section 16.5 may not be amended without the prior written approval of not less than two-thirds of the holders of first mortgages of Apartments in the Project.</w:t>
      </w:r>
    </w:p>
    <w:p>
      <w:bookmarkStart w:id="4066" w:name="nav4066"/>
      <w:pPr>
        <w:keepNext/>
        <w:widowControl/>
        <w:spacing w:before="280"/>
        <w:jc w:val="left"/>
      </w:pPr>
      <w:r>
        <w:rPr>
          <w:rFonts w:ascii="Times New Roman" w:hAnsi="Times New Roman"/>
          <w:b/>
          <w:i w:val="0"/>
          <w:strike w:val="0"/>
          <w:sz w:val="26"/>
          <w:u w:val="none"/>
        </w:rPr>
        <w:t>17. CAPTIONS.</w:t>
      </w:r>
      <w:bookmarkEnd w:id="4066"/>
    </w:p>
    <w:p>
      <w:pPr>
        <w:keepNext w:val="0"/>
        <w:widowControl/>
        <w:jc w:val="both"/>
      </w:pPr>
      <w:r>
        <w:rPr>
          <w:rFonts w:ascii="Times New Roman" w:hAnsi="Times New Roman"/>
          <w:b w:val="0"/>
          <w:i w:val="0"/>
          <w:strike w:val="0"/>
          <w:sz w:val="24"/>
          <w:u w:val="none"/>
        </w:rPr>
        <w:t>The head notes or captions of each paragraph are for convenience only and shall not be constructed as enlarging, restricting, modifying or otherwise affecting the meaning or context thereof.</w:t>
      </w:r>
    </w:p>
    <w:p>
      <w:bookmarkStart w:id="4067" w:name="nav4067"/>
      <w:pPr>
        <w:keepNext/>
        <w:widowControl/>
        <w:spacing w:before="280"/>
        <w:jc w:val="left"/>
      </w:pPr>
      <w:r>
        <w:rPr>
          <w:rFonts w:ascii="Times New Roman" w:hAnsi="Times New Roman"/>
          <w:b/>
          <w:i w:val="0"/>
          <w:strike w:val="0"/>
          <w:sz w:val="26"/>
          <w:u w:val="none"/>
        </w:rPr>
        <w:t>18. CONFLICT BETWEEN DECLARATION AND THE ACT.</w:t>
      </w:r>
      <w:bookmarkEnd w:id="4067"/>
    </w:p>
    <w:p>
      <w:pPr>
        <w:keepNext w:val="0"/>
        <w:widowControl/>
        <w:jc w:val="both"/>
      </w:pPr>
      <w:r>
        <w:rPr>
          <w:rFonts w:ascii="Times New Roman" w:hAnsi="Times New Roman"/>
          <w:b w:val="0"/>
          <w:i w:val="0"/>
          <w:strike w:val="0"/>
          <w:sz w:val="24"/>
          <w:u w:val="none"/>
        </w:rPr>
        <w:t>In the event of a conflict or inconsistency between the provisions of this Declaration and the Act as a result of a change in the Act or otherwise, the provisions of the Act shall prevail.</w:t>
      </w:r>
    </w:p>
    <w:p>
      <w:pPr>
        <w:keepNext/>
        <w:widowControl/>
        <w:spacing w:before="280"/>
        <w:jc w:val="left"/>
      </w:pPr>
      <w:r>
        <w:rPr>
          <w:rFonts w:ascii="Times New Roman" w:hAnsi="Times New Roman"/>
          <w:b/>
          <w:i w:val="0"/>
          <w:strike w:val="0"/>
          <w:color w:val="000000"/>
          <w:sz w:val="20"/>
          <w:u w:val="none"/>
        </w:rPr>
        <w:t>Added by the 2007 Amendment:</w:t>
      </w:r>
    </w:p>
    <w:p>
      <w:bookmarkStart w:id="4068" w:name="nav4068"/>
      <w:pPr>
        <w:keepNext/>
        <w:widowControl/>
        <w:spacing w:before="200"/>
        <w:jc w:val="left"/>
      </w:pPr>
      <w:r>
        <w:rPr>
          <w:rFonts w:ascii="Times New Roman" w:hAnsi="Times New Roman"/>
          <w:b/>
          <w:i w:val="0"/>
          <w:strike w:val="0"/>
          <w:color w:val="000000"/>
          <w:sz w:val="26"/>
          <w:u w:val="none"/>
        </w:rPr>
        <w:t>19. GOVERNING LAW</w:t>
      </w:r>
      <w:bookmarkEnd w:id="4068"/>
    </w:p>
    <w:p>
      <w:pPr>
        <w:keepNext w:val="0"/>
        <w:widowControl/>
        <w:jc w:val="both"/>
      </w:pPr>
      <w:r>
        <w:rPr>
          <w:rFonts w:ascii="Times New Roman" w:hAnsi="Times New Roman"/>
          <w:b w:val="0"/>
          <w:i w:val="0"/>
          <w:strike w:val="0"/>
          <w:color w:val="000000"/>
          <w:sz w:val="24"/>
          <w:u w:val="none"/>
        </w:rPr>
        <w:t>Notwithstanding anything to the contrary in the Project governing documents, including but not limited to the Declaration, Bylaws, House Rules, and Condominium Map:</w:t>
      </w:r>
    </w:p>
    <w:p>
      <w:pPr>
        <w:keepNext w:val="0"/>
        <w:widowControl/>
        <w:jc w:val="both"/>
      </w:pPr>
      <w:r>
        <w:rPr>
          <w:rFonts w:ascii="Times New Roman" w:hAnsi="Times New Roman"/>
          <w:b w:val="0"/>
          <w:i w:val="0"/>
          <w:strike w:val="0"/>
          <w:color w:val="000000"/>
          <w:sz w:val="24"/>
          <w:u w:val="none"/>
        </w:rPr>
        <w:t>(a) This Project shall be governed by the provisions of Hawaii Revised Statutes, Chapter 514B, as amended;</w:t>
      </w:r>
    </w:p>
    <w:p>
      <w:pPr>
        <w:keepNext w:val="0"/>
        <w:widowControl/>
        <w:jc w:val="both"/>
      </w:pPr>
      <w:r>
        <w:rPr>
          <w:rFonts w:ascii="Times New Roman" w:hAnsi="Times New Roman"/>
          <w:b w:val="0"/>
          <w:i w:val="0"/>
          <w:strike w:val="0"/>
          <w:color w:val="000000"/>
          <w:sz w:val="24"/>
          <w:u w:val="none"/>
        </w:rPr>
        <w:t>(b) Any apartment deed, and the Project's Declaration, Bylaws, House Rules, and Condominium Map shall be liberally construed to facilitate the operation of the Project under the law;</w:t>
      </w:r>
    </w:p>
    <w:p>
      <w:pPr>
        <w:keepNext w:val="0"/>
        <w:widowControl/>
        <w:jc w:val="both"/>
      </w:pPr>
      <w:r>
        <w:rPr>
          <w:rFonts w:ascii="Times New Roman" w:hAnsi="Times New Roman"/>
          <w:b w:val="0"/>
          <w:i w:val="0"/>
          <w:strike w:val="0"/>
          <w:color w:val="000000"/>
          <w:sz w:val="24"/>
          <w:u w:val="none"/>
        </w:rPr>
        <w:t>(c) Amendments to the Declaration and Bylaws, including but not limited to amendments relating to the alteration of the Project, shall require approval of 67% of the owners;</w:t>
      </w:r>
    </w:p>
    <w:p>
      <w:pPr>
        <w:keepNext w:val="0"/>
        <w:widowControl/>
        <w:jc w:val="both"/>
      </w:pPr>
      <w:r>
        <w:rPr>
          <w:rFonts w:ascii="Times New Roman" w:hAnsi="Times New Roman"/>
          <w:b w:val="0"/>
          <w:i w:val="0"/>
          <w:strike w:val="0"/>
          <w:color w:val="000000"/>
          <w:sz w:val="24"/>
          <w:u w:val="none"/>
        </w:rPr>
        <w:t>(d) Approval requirements of 75% for alterations to the common elements shall be reduced to 67%;</w:t>
      </w:r>
    </w:p>
    <w:p>
      <w:pPr>
        <w:keepNext w:val="0"/>
        <w:widowControl/>
        <w:jc w:val="both"/>
      </w:pPr>
      <w:r>
        <w:rPr>
          <w:rFonts w:ascii="Times New Roman" w:hAnsi="Times New Roman"/>
          <w:b w:val="0"/>
          <w:i w:val="0"/>
          <w:strike w:val="0"/>
          <w:color w:val="000000"/>
          <w:sz w:val="24"/>
          <w:u w:val="none"/>
        </w:rPr>
        <w:t>(e) Punitive damages may not be awarded except as provided in Hawaii Revised Statutes, Section 514B-10; and</w:t>
      </w:r>
    </w:p>
    <w:p>
      <w:pPr>
        <w:keepNext w:val="0"/>
        <w:widowControl/>
        <w:jc w:val="both"/>
      </w:pPr>
      <w:r>
        <w:rPr>
          <w:rFonts w:ascii="Times New Roman" w:hAnsi="Times New Roman"/>
          <w:b w:val="0"/>
          <w:i w:val="0"/>
          <w:strike w:val="0"/>
          <w:color w:val="000000"/>
          <w:sz w:val="24"/>
          <w:u w:val="none"/>
        </w:rPr>
        <w:t>(f) Approval requirements for leases or uses of the common elements shall be governed by Hawaii Revised Statutes, Section 514B-38.</w:t>
      </w:r>
    </w:p>
    <w:p>
      <w:pPr>
        <w:keepNext/>
        <w:widowControl/>
        <w:spacing w:before="200"/>
        <w:jc w:val="left"/>
      </w:pPr>
      <w:r>
        <w:rPr>
          <w:rFonts w:ascii="Times New Roman" w:hAnsi="Times New Roman"/>
          <w:b/>
          <w:i w:val="0"/>
          <w:strike w:val="0"/>
          <w:color w:val="000000"/>
          <w:sz w:val="20"/>
          <w:u w:val="none"/>
        </w:rPr>
        <w:t>Operative subordination language from the 2007 Amendment (“NOW THEREFORE” clause):</w:t>
      </w:r>
    </w:p>
    <w:p>
      <w:pPr>
        <w:keepNext w:val="0"/>
        <w:widowControl/>
        <w:jc w:val="both"/>
      </w:pPr>
      <w:r>
        <w:rPr>
          <w:rFonts w:ascii="Times New Roman" w:hAnsi="Times New Roman"/>
          <w:b w:val="0"/>
          <w:i w:val="0"/>
          <w:strike w:val="0"/>
          <w:color w:val="000000"/>
          <w:sz w:val="24"/>
          <w:u w:val="non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 including all approval requirements in HRS Chapter 514B. This amended version of the Declaration shall supersede the original Declaration and all prior amendments to the Declaration.</w:t>
      </w:r>
    </w:p>
    <w:p>
      <w:pPr>
        <w:keepNext w:val="0"/>
        <w:widowControl/>
        <w:spacing w:before="280"/>
        <w:jc w:val="both"/>
      </w:pPr>
    </w:p>
    <w:p>
      <w:pPr>
        <w:keepNext w:val="0"/>
        <w:widowControl/>
        <w:jc w:val="both"/>
      </w:pPr>
      <w:r>
        <w:rPr>
          <w:rFonts w:ascii="Times New Roman" w:hAnsi="Times New Roman"/>
          <w:b w:val="0"/>
          <w:i w:val="0"/>
          <w:strike w:val="0"/>
          <w:sz w:val="24"/>
          <w:u w:val="none"/>
        </w:rPr>
        <w:t>IN WITNESS WHEREOF, the Declarant has executed this Declaration as of the 20th day of November, 2000.</w:t>
      </w:r>
    </w:p>
    <w:p>
      <w:pPr>
        <w:keepNext w:val="0"/>
        <w:widowControl/>
        <w:jc w:val="left"/>
      </w:pPr>
      <w:r>
        <w:rPr>
          <w:rFonts w:ascii="Times New Roman" w:hAnsi="Times New Roman"/>
          <w:b w:val="0"/>
          <w:i/>
          <w:strike w:val="0"/>
          <w:color w:val="000000"/>
          <w:sz w:val="20"/>
          <w:u w:val="none"/>
        </w:rPr>
        <w:t>Makena Estates L.L.C.</w:t>
      </w:r>
    </w:p>
    <w:p>
      <w:pPr>
        <w:keepNext w:val="0"/>
        <w:widowControl/>
        <w:jc w:val="both"/>
      </w:pPr>
      <w:r>
        <w:rPr>
          <w:rFonts w:ascii="Times New Roman" w:hAnsi="Times New Roman"/>
          <w:b w:val="0"/>
          <w:i w:val="0"/>
          <w:strike w:val="0"/>
          <w:sz w:val="24"/>
          <w:u w:val="none"/>
        </w:rPr>
        <w:t>&gt;</w:t>
      </w:r>
    </w:p>
    <w:p>
      <w:pPr>
        <w:keepNext w:val="0"/>
        <w:widowControl/>
        <w:jc w:val="left"/>
      </w:pPr>
      <w:r>
        <w:rPr>
          <w:rFonts w:ascii="Times New Roman" w:hAnsi="Times New Roman"/>
          <w:b w:val="0"/>
          <w:i/>
          <w:strike w:val="0"/>
          <w:color w:val="000000"/>
          <w:sz w:val="20"/>
          <w:u w:val="none"/>
        </w:rPr>
        <w:t>By _____________________________</w:t>
      </w:r>
    </w:p>
    <w:p>
      <w:pPr>
        <w:keepNext w:val="0"/>
        <w:widowControl/>
        <w:jc w:val="left"/>
      </w:pPr>
      <w:r>
        <w:rPr>
          <w:rFonts w:ascii="Times New Roman" w:hAnsi="Times New Roman"/>
          <w:b w:val="0"/>
          <w:i/>
          <w:strike w:val="0"/>
          <w:color w:val="000000"/>
          <w:sz w:val="20"/>
          <w:u w:val="none"/>
        </w:rPr>
        <w:t>Martin W. Quill</w:t>
      </w:r>
    </w:p>
    <w:p>
      <w:pPr>
        <w:keepNext w:val="0"/>
        <w:widowControl/>
        <w:jc w:val="left"/>
      </w:pPr>
      <w:r>
        <w:rPr>
          <w:rFonts w:ascii="Times New Roman" w:hAnsi="Times New Roman"/>
          <w:b w:val="0"/>
          <w:i/>
          <w:strike w:val="0"/>
          <w:color w:val="000000"/>
          <w:sz w:val="20"/>
          <w:u w:val="none"/>
        </w:rPr>
        <w:t>Its Manager Member</w:t>
      </w:r>
    </w:p>
    <w:p>
      <w:pPr>
        <w:keepNext w:val="0"/>
        <w:widowControl/>
        <w:jc w:val="both"/>
      </w:pPr>
      <w:r>
        <w:rPr>
          <w:rFonts w:ascii="Times New Roman" w:hAnsi="Times New Roman"/>
          <w:b w:val="0"/>
          <w:i w:val="0"/>
          <w:strike w:val="0"/>
          <w:sz w:val="24"/>
          <w:u w:val="none"/>
        </w:rPr>
        <w:t>Exhibits:</w:t>
      </w:r>
    </w:p>
    <w:p>
      <w:pPr>
        <w:keepNext w:val="0"/>
        <w:widowControl/>
        <w:jc w:val="both"/>
      </w:pPr>
      <w:r>
        <w:rPr>
          <w:rFonts w:ascii="Times New Roman" w:hAnsi="Times New Roman"/>
          <w:b w:val="0"/>
          <w:i w:val="0"/>
          <w:strike w:val="0"/>
          <w:sz w:val="24"/>
          <w:u w:val="none"/>
        </w:rPr>
        <w:t>- A &amp;nbsp; Description of Land</w:t>
      </w:r>
    </w:p>
    <w:p>
      <w:pPr>
        <w:keepNext w:val="0"/>
        <w:widowControl/>
        <w:jc w:val="both"/>
      </w:pPr>
      <w:r>
        <w:rPr>
          <w:rFonts w:ascii="Times New Roman" w:hAnsi="Times New Roman"/>
          <w:b w:val="0"/>
          <w:i w:val="0"/>
          <w:strike w:val="0"/>
          <w:sz w:val="24"/>
          <w:u w:val="none"/>
        </w:rPr>
        <w:t>- B &amp;nbsp; Description of Buildings and Apartments</w:t>
      </w:r>
    </w:p>
    <w:p>
      <w:pPr>
        <w:keepNext w:val="0"/>
        <w:widowControl/>
        <w:jc w:val="both"/>
      </w:pPr>
      <w:r>
        <w:rPr>
          <w:rFonts w:ascii="Times New Roman" w:hAnsi="Times New Roman"/>
          <w:b w:val="0"/>
          <w:i w:val="0"/>
          <w:strike w:val="0"/>
          <w:sz w:val="24"/>
          <w:u w:val="none"/>
        </w:rPr>
        <w:t>- C &amp;nbsp; List of Apartments, Parking Assignments, Areas and Common Interest Percentages</w:t>
      </w:r>
    </w:p>
    <w:p>
      <w:pPr>
        <w:keepNext w:val="0"/>
        <w:widowControl/>
        <w:jc w:val="both"/>
      </w:pPr>
      <w:r>
        <w:rPr>
          <w:rFonts w:ascii="Times New Roman" w:hAnsi="Times New Roman"/>
          <w:b w:val="0"/>
          <w:i w:val="0"/>
          <w:strike w:val="0"/>
          <w:sz w:val="24"/>
          <w:u w:val="none"/>
        </w:rPr>
        <w:t>STATE OF HAWAII   )</w:t>
      </w:r>
    </w:p>
    <w:p>
      <w:pPr>
        <w:keepNext w:val="0"/>
        <w:widowControl/>
        <w:jc w:val="both"/>
      </w:pPr>
      <w:r>
        <w:rPr>
          <w:rFonts w:ascii="Times New Roman" w:hAnsi="Times New Roman"/>
          <w:b w:val="0"/>
          <w:i w:val="0"/>
          <w:strike w:val="0"/>
          <w:sz w:val="24"/>
          <w:u w:val="none"/>
        </w:rPr>
        <w:t>) SS:</w:t>
      </w:r>
    </w:p>
    <w:p>
      <w:pPr>
        <w:keepNext w:val="0"/>
        <w:widowControl/>
        <w:jc w:val="both"/>
      </w:pPr>
      <w:r>
        <w:rPr>
          <w:rFonts w:ascii="Times New Roman" w:hAnsi="Times New Roman"/>
          <w:b w:val="0"/>
          <w:i w:val="0"/>
          <w:strike w:val="0"/>
          <w:sz w:val="24"/>
          <w:u w:val="none"/>
        </w:rPr>
        <w:t>COUNTY OF MAUI    )</w:t>
      </w:r>
    </w:p>
    <w:p>
      <w:pPr>
        <w:keepNext w:val="0"/>
        <w:widowControl/>
        <w:jc w:val="both"/>
      </w:pPr>
      <w:r>
        <w:rPr>
          <w:rFonts w:ascii="Times New Roman" w:hAnsi="Times New Roman"/>
          <w:b w:val="0"/>
          <w:i w:val="0"/>
          <w:strike w:val="0"/>
          <w:sz w:val="24"/>
          <w:u w:val="none"/>
        </w:rPr>
        <w: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keepNext w:val="0"/>
        <w:widowControl/>
        <w:jc w:val="both"/>
      </w:pPr>
      <w:r>
        <w:rPr>
          <w:rFonts w:ascii="Times New Roman" w:hAnsi="Times New Roman"/>
          <w:b w:val="0"/>
          <w:i w:val="0"/>
          <w:strike w:val="0"/>
          <w:sz w:val="24"/>
          <w:u w:val="none"/>
        </w:rPr>
        <w:t>[L.S.]</w:t>
      </w:r>
    </w:p>
    <w:p>
      <w:pPr>
        <w:keepNext w:val="0"/>
        <w:widowControl/>
        <w:jc w:val="both"/>
      </w:pPr>
      <w:r>
        <w:rPr>
          <w:rFonts w:ascii="Times New Roman" w:hAnsi="Times New Roman"/>
          <w:b w:val="0"/>
          <w:i w:val="0"/>
          <w:strike w:val="0"/>
          <w:sz w:val="24"/>
          <w:u w:val="none"/>
        </w:rPr>
        <w:t>[signature]</w:t>
      </w:r>
    </w:p>
    <w:p>
      <w:pPr>
        <w:keepNext w:val="0"/>
        <w:widowControl/>
        <w:jc w:val="both"/>
      </w:pPr>
      <w:r>
        <w:rPr>
          <w:rFonts w:ascii="Times New Roman" w:hAnsi="Times New Roman"/>
          <w:b w:val="0"/>
          <w:i w:val="0"/>
          <w:strike w:val="0"/>
          <w:sz w:val="24"/>
          <w:u w:val="none"/>
        </w:rPr>
        <w:t>Notary Public, State of Hawaii</w:t>
      </w:r>
    </w:p>
    <w:p>
      <w:pPr>
        <w:keepNext w:val="0"/>
        <w:widowControl/>
        <w:jc w:val="both"/>
      </w:pPr>
      <w:r>
        <w:rPr>
          <w:rFonts w:ascii="Times New Roman" w:hAnsi="Times New Roman"/>
          <w:b w:val="0"/>
          <w:i w:val="0"/>
          <w:strike w:val="0"/>
          <w:sz w:val="24"/>
          <w:u w:val="none"/>
        </w:rPr>
        <w:t>Print Name: Karen T. Fujimoto</w:t>
      </w:r>
    </w:p>
    <w:p>
      <w:pPr>
        <w:keepNext w:val="0"/>
        <w:widowControl/>
        <w:jc w:val="both"/>
      </w:pPr>
      <w:r>
        <w:rPr>
          <w:rFonts w:ascii="Times New Roman" w:hAnsi="Times New Roman"/>
          <w:b w:val="0"/>
          <w:i w:val="0"/>
          <w:strike w:val="0"/>
          <w:sz w:val="24"/>
          <w:u w:val="none"/>
        </w:rPr>
        <w:t>My commission expires: 4/20/2003</w:t>
      </w:r>
    </w:p>
    <w:p>
      <w:pPr>
        <w:keepNext/>
        <w:widowControl/>
        <w:spacing w:before="280"/>
        <w:jc w:val="left"/>
      </w:pPr>
      <w:r>
        <w:rPr>
          <w:rFonts w:ascii="Times New Roman" w:hAnsi="Times New Roman"/>
          <w:b/>
          <w:i w:val="0"/>
          <w:strike w:val="0"/>
          <w:sz w:val="26"/>
          <w:u w:val="none"/>
        </w:rPr>
        <w:t>EXHIBIT A</w:t>
      </w:r>
    </w:p>
    <w:p>
      <w:pPr>
        <w:keepNext w:val="0"/>
        <w:widowControl/>
        <w:jc w:val="both"/>
      </w:pPr>
      <w:r>
        <w:rPr>
          <w:rFonts w:ascii="Times New Roman" w:hAnsi="Times New Roman"/>
          <w:b w:val="0"/>
          <w:i w:val="0"/>
          <w:strike w:val="0"/>
          <w:sz w:val="24"/>
          <w:u w:val="none"/>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keepNext w:val="0"/>
        <w:widowControl/>
        <w:jc w:val="both"/>
      </w:pPr>
      <w:r>
        <w:rPr>
          <w:rFonts w:ascii="Times New Roman" w:hAnsi="Times New Roman"/>
          <w:b w:val="0"/>
          <w:i w:val="0"/>
          <w:strike w:val="0"/>
          <w:sz w:val="24"/>
          <w:u w:val="none"/>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pPr>
            <w:r>
              <w:rPr>
                <w:u w:val="none"/>
              </w:rPr>
            </w:r>
            <w:r>
              <w:rPr>
                <w:rFonts w:ascii="Arial" w:hAnsi="Arial"/>
                <w:b/>
                <w:i w:val="0"/>
                <w:strike w:val="0"/>
                <w:sz w:val="18"/>
                <w:u w:val="none"/>
              </w:rPr>
              <w:t>No.</w:t>
            </w:r>
          </w:p>
        </w:tc>
        <w:tc>
          <w:tcPr>
            <w:tcW w:type="dxa" w:w="2340"/>
          </w:tcPr>
          <w:p>
            <w:pPr>
              <w:spacing w:after="0"/>
            </w:pPr>
            <w:r>
              <w:rPr>
                <w:u w:val="none"/>
              </w:rPr>
            </w:r>
            <w:r>
              <w:rPr>
                <w:rFonts w:ascii="Arial" w:hAnsi="Arial"/>
                <w:b/>
                <w:i w:val="0"/>
                <w:strike w:val="0"/>
                <w:sz w:val="18"/>
                <w:u w:val="none"/>
              </w:rPr>
              <w:t>Azimuth</w:t>
            </w:r>
          </w:p>
        </w:tc>
        <w:tc>
          <w:tcPr>
            <w:tcW w:type="dxa" w:w="2340"/>
          </w:tcPr>
          <w:p>
            <w:pPr>
              <w:spacing w:after="0"/>
            </w:pPr>
            <w:r>
              <w:rPr>
                <w:u w:val="none"/>
              </w:rPr>
            </w:r>
            <w:r>
              <w:rPr>
                <w:rFonts w:ascii="Arial" w:hAnsi="Arial"/>
                <w:b/>
                <w:i w:val="0"/>
                <w:strike w:val="0"/>
                <w:sz w:val="18"/>
                <w:u w:val="none"/>
              </w:rPr>
              <w:t>Distance</w:t>
            </w:r>
          </w:p>
        </w:tc>
        <w:tc>
          <w:tcPr>
            <w:tcW w:type="dxa" w:w="2340"/>
          </w:tcPr>
          <w:p>
            <w:pPr>
              <w:spacing w:after="0"/>
            </w:pPr>
            <w:r>
              <w:rPr>
                <w:u w:val="none"/>
              </w:rPr>
            </w:r>
            <w:r>
              <w:rPr>
                <w:rFonts w:ascii="Arial" w:hAnsi="Arial"/>
                <w:b/>
                <w:i w:val="0"/>
                <w:strike w:val="0"/>
                <w:sz w:val="18"/>
                <w:u w:val="none"/>
              </w:rPr>
              <w:t>Boundary</w:t>
            </w:r>
          </w:p>
        </w:tc>
      </w:tr>
      <w:tr>
        <w:tc>
          <w:tcPr>
            <w:tcW w:type="dxa" w:w="2340"/>
          </w:tcPr>
          <w:p>
            <w:pPr>
              <w:spacing w:after="0"/>
            </w:pPr>
            <w:r>
              <w:rPr>
                <w:u w:val="none"/>
              </w:rPr>
            </w:r>
            <w:r>
              <w:rPr>
                <w:rFonts w:ascii="Arial" w:hAnsi="Arial"/>
                <w:b w:val="0"/>
                <w:i w:val="0"/>
                <w:strike w:val="0"/>
                <w:sz w:val="18"/>
                <w:u w:val="none"/>
              </w:rPr>
              <w:t>1</w:t>
            </w:r>
          </w:p>
        </w:tc>
        <w:tc>
          <w:tcPr>
            <w:tcW w:type="dxa" w:w="2340"/>
          </w:tcPr>
          <w:p>
            <w:pPr>
              <w:spacing w:after="0"/>
            </w:pPr>
            <w:r>
              <w:rPr>
                <w:u w:val="none"/>
              </w:rPr>
            </w:r>
            <w:r>
              <w:rPr>
                <w:rFonts w:ascii="Arial" w:hAnsi="Arial"/>
                <w:b w:val="0"/>
                <w:i w:val="0"/>
                <w:strike w:val="0"/>
                <w:sz w:val="18"/>
                <w:u w:val="none"/>
              </w:rPr>
              <w:t>25° 42′ 20″</w:t>
            </w:r>
          </w:p>
        </w:tc>
        <w:tc>
          <w:tcPr>
            <w:tcW w:type="dxa" w:w="2340"/>
          </w:tcPr>
          <w:p>
            <w:pPr>
              <w:spacing w:after="0"/>
            </w:pPr>
            <w:r>
              <w:rPr>
                <w:u w:val="none"/>
              </w:rPr>
            </w:r>
            <w:r>
              <w:rPr>
                <w:rFonts w:ascii="Arial" w:hAnsi="Arial"/>
                <w:b w:val="0"/>
                <w:i w:val="0"/>
                <w:strike w:val="0"/>
                <w:sz w:val="18"/>
                <w:u w:val="none"/>
              </w:rPr>
              <w:t>49.00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2</w:t>
            </w:r>
          </w:p>
        </w:tc>
        <w:tc>
          <w:tcPr>
            <w:tcW w:type="dxa" w:w="2340"/>
          </w:tcPr>
          <w:p>
            <w:pPr>
              <w:spacing w:after="0"/>
            </w:pPr>
            <w:r>
              <w:rPr>
                <w:u w:val="none"/>
              </w:rPr>
            </w:r>
            <w:r>
              <w:rPr>
                <w:rFonts w:ascii="Arial" w:hAnsi="Arial"/>
                <w:b w:val="0"/>
                <w:i w:val="0"/>
                <w:strike w:val="0"/>
                <w:sz w:val="18"/>
                <w:u w:val="none"/>
              </w:rPr>
              <w:t>89° 02′ 20″</w:t>
            </w:r>
          </w:p>
        </w:tc>
        <w:tc>
          <w:tcPr>
            <w:tcW w:type="dxa" w:w="2340"/>
          </w:tcPr>
          <w:p>
            <w:pPr>
              <w:spacing w:after="0"/>
            </w:pPr>
            <w:r>
              <w:rPr>
                <w:u w:val="none"/>
              </w:rPr>
            </w:r>
            <w:r>
              <w:rPr>
                <w:rFonts w:ascii="Arial" w:hAnsi="Arial"/>
                <w:b w:val="0"/>
                <w:i w:val="0"/>
                <w:strike w:val="0"/>
                <w:sz w:val="18"/>
                <w:u w:val="none"/>
              </w:rPr>
              <w:t>52.00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3</w:t>
            </w:r>
          </w:p>
        </w:tc>
        <w:tc>
          <w:tcPr>
            <w:tcW w:type="dxa" w:w="2340"/>
          </w:tcPr>
          <w:p>
            <w:pPr>
              <w:spacing w:after="0"/>
            </w:pPr>
            <w:r>
              <w:rPr>
                <w:u w:val="none"/>
              </w:rPr>
            </w:r>
            <w:r>
              <w:rPr>
                <w:rFonts w:ascii="Arial" w:hAnsi="Arial"/>
                <w:b w:val="0"/>
                <w:i w:val="0"/>
                <w:strike w:val="0"/>
                <w:sz w:val="18"/>
                <w:u w:val="none"/>
              </w:rPr>
              <w:t>36° 37′ 20″</w:t>
            </w:r>
          </w:p>
        </w:tc>
        <w:tc>
          <w:tcPr>
            <w:tcW w:type="dxa" w:w="2340"/>
          </w:tcPr>
          <w:p>
            <w:pPr>
              <w:spacing w:after="0"/>
            </w:pPr>
            <w:r>
              <w:rPr>
                <w:u w:val="none"/>
              </w:rPr>
            </w:r>
            <w:r>
              <w:rPr>
                <w:rFonts w:ascii="Arial" w:hAnsi="Arial"/>
                <w:b w:val="0"/>
                <w:i w:val="0"/>
                <w:strike w:val="0"/>
                <w:sz w:val="18"/>
                <w:u w:val="none"/>
              </w:rPr>
              <w:t>148.00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4</w:t>
            </w:r>
          </w:p>
        </w:tc>
        <w:tc>
          <w:tcPr>
            <w:tcW w:type="dxa" w:w="2340"/>
          </w:tcPr>
          <w:p>
            <w:pPr>
              <w:spacing w:after="0"/>
            </w:pPr>
            <w:r>
              <w:rPr>
                <w:u w:val="none"/>
              </w:rPr>
            </w:r>
            <w:r>
              <w:rPr>
                <w:rFonts w:ascii="Arial" w:hAnsi="Arial"/>
                <w:b w:val="0"/>
                <w:i w:val="0"/>
                <w:strike w:val="0"/>
                <w:sz w:val="18"/>
                <w:u w:val="none"/>
              </w:rPr>
              <w:t>12° 32′ 20″</w:t>
            </w:r>
          </w:p>
        </w:tc>
        <w:tc>
          <w:tcPr>
            <w:tcW w:type="dxa" w:w="2340"/>
          </w:tcPr>
          <w:p>
            <w:pPr>
              <w:spacing w:after="0"/>
            </w:pPr>
            <w:r>
              <w:rPr>
                <w:u w:val="none"/>
              </w:rPr>
            </w:r>
            <w:r>
              <w:rPr>
                <w:rFonts w:ascii="Arial" w:hAnsi="Arial"/>
                <w:b w:val="0"/>
                <w:i w:val="0"/>
                <w:strike w:val="0"/>
                <w:sz w:val="18"/>
                <w:u w:val="none"/>
              </w:rPr>
              <w:t>75.00 feet</w:t>
            </w:r>
          </w:p>
        </w:tc>
        <w:tc>
          <w:tcPr>
            <w:tcW w:type="dxa" w:w="2340"/>
          </w:tcPr>
          <w:p>
            <w:pPr>
              <w:spacing w:after="0"/>
            </w:pPr>
            <w:r>
              <w:rPr>
                <w:u w:val="none"/>
              </w:rPr>
            </w:r>
            <w:r>
              <w:rPr>
                <w:rFonts w:ascii="Arial" w:hAnsi="Arial"/>
                <w:b w:val="0"/>
                <w:i w:val="0"/>
                <w:strike w:val="0"/>
                <w:sz w:val="18"/>
                <w:u w:val="none"/>
              </w:rPr>
              <w:t>along Lot 7-B (Map 4) of Land Court Application 1846;</w:t>
            </w:r>
          </w:p>
        </w:tc>
      </w:tr>
      <w:tr>
        <w:tc>
          <w:tcPr>
            <w:tcW w:type="dxa" w:w="2340"/>
          </w:tcPr>
          <w:p>
            <w:pPr>
              <w:spacing w:after="0"/>
            </w:pPr>
            <w:r>
              <w:rPr>
                <w:u w:val="none"/>
              </w:rPr>
            </w:r>
            <w:r>
              <w:rPr>
                <w:rFonts w:ascii="Arial" w:hAnsi="Arial"/>
                <w:b w:val="0"/>
                <w:i w:val="0"/>
                <w:strike w:val="0"/>
                <w:sz w:val="18"/>
                <w:u w:val="none"/>
              </w:rPr>
              <w:t>5</w:t>
            </w:r>
          </w:p>
        </w:tc>
        <w:tc>
          <w:tcPr>
            <w:tcW w:type="dxa" w:w="2340"/>
          </w:tcPr>
          <w:p>
            <w:pPr>
              <w:spacing w:after="0"/>
            </w:pPr>
            <w:r>
              <w:rPr>
                <w:u w:val="none"/>
              </w:rPr>
            </w:r>
            <w:r>
              <w:rPr>
                <w:rFonts w:ascii="Arial" w:hAnsi="Arial"/>
                <w:b w:val="0"/>
                <w:i w:val="0"/>
                <w:strike w:val="0"/>
                <w:sz w:val="18"/>
                <w:u w:val="none"/>
              </w:rPr>
              <w:t>99° 32′</w:t>
            </w:r>
          </w:p>
        </w:tc>
        <w:tc>
          <w:tcPr>
            <w:tcW w:type="dxa" w:w="2340"/>
          </w:tcPr>
          <w:p>
            <w:pPr>
              <w:spacing w:after="0"/>
            </w:pPr>
            <w:r>
              <w:rPr>
                <w:u w:val="none"/>
              </w:rPr>
            </w:r>
            <w:r>
              <w:rPr>
                <w:rFonts w:ascii="Arial" w:hAnsi="Arial"/>
                <w:b w:val="0"/>
                <w:i w:val="0"/>
                <w:strike w:val="0"/>
                <w:sz w:val="18"/>
                <w:u w:val="none"/>
              </w:rPr>
              <w:t>70.28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6</w:t>
            </w:r>
          </w:p>
        </w:tc>
        <w:tc>
          <w:tcPr>
            <w:tcW w:type="dxa" w:w="2340"/>
          </w:tcPr>
          <w:p>
            <w:pPr>
              <w:spacing w:after="0"/>
            </w:pPr>
            <w:r>
              <w:rPr>
                <w:u w:val="none"/>
              </w:rPr>
            </w:r>
            <w:r>
              <w:rPr>
                <w:rFonts w:ascii="Arial" w:hAnsi="Arial"/>
                <w:b w:val="0"/>
                <w:i w:val="0"/>
                <w:strike w:val="0"/>
                <w:sz w:val="18"/>
                <w:u w:val="none"/>
              </w:rPr>
              <w:t>189° 32′</w:t>
            </w:r>
          </w:p>
        </w:tc>
        <w:tc>
          <w:tcPr>
            <w:tcW w:type="dxa" w:w="2340"/>
          </w:tcPr>
          <w:p>
            <w:pPr>
              <w:spacing w:after="0"/>
            </w:pPr>
            <w:r>
              <w:rPr>
                <w:u w:val="none"/>
              </w:rPr>
            </w:r>
            <w:r>
              <w:rPr>
                <w:rFonts w:ascii="Arial" w:hAnsi="Arial"/>
                <w:b w:val="0"/>
                <w:i w:val="0"/>
                <w:strike w:val="0"/>
                <w:sz w:val="18"/>
                <w:u w:val="none"/>
              </w:rPr>
              <w:t>28.70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7</w:t>
            </w:r>
          </w:p>
        </w:tc>
        <w:tc>
          <w:tcPr>
            <w:tcW w:type="dxa" w:w="2340"/>
          </w:tcPr>
          <w:p>
            <w:pPr>
              <w:spacing w:after="0"/>
            </w:pPr>
            <w:r>
              <w:rPr>
                <w:u w:val="none"/>
              </w:rPr>
            </w:r>
            <w:r>
              <w:rPr>
                <w:rFonts w:ascii="Arial" w:hAnsi="Arial"/>
                <w:b w:val="0"/>
                <w:i w:val="0"/>
                <w:strike w:val="0"/>
                <w:sz w:val="18"/>
                <w:u w:val="none"/>
              </w:rPr>
              <w:t>90° 13′</w:t>
            </w:r>
          </w:p>
        </w:tc>
        <w:tc>
          <w:tcPr>
            <w:tcW w:type="dxa" w:w="2340"/>
          </w:tcPr>
          <w:p>
            <w:pPr>
              <w:spacing w:after="0"/>
            </w:pPr>
            <w:r>
              <w:rPr>
                <w:u w:val="none"/>
              </w:rPr>
            </w:r>
            <w:r>
              <w:rPr>
                <w:rFonts w:ascii="Arial" w:hAnsi="Arial"/>
                <w:b w:val="0"/>
                <w:i w:val="0"/>
                <w:strike w:val="0"/>
                <w:sz w:val="18"/>
                <w:u w:val="none"/>
              </w:rPr>
              <w:t>64.16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8</w:t>
            </w:r>
          </w:p>
        </w:tc>
        <w:tc>
          <w:tcPr>
            <w:tcW w:type="dxa" w:w="2340"/>
          </w:tcPr>
          <w:p>
            <w:pPr>
              <w:spacing w:after="0"/>
            </w:pPr>
            <w:r>
              <w:rPr>
                <w:u w:val="none"/>
              </w:rPr>
            </w:r>
            <w:r>
              <w:rPr>
                <w:rFonts w:ascii="Arial" w:hAnsi="Arial"/>
                <w:b w:val="0"/>
                <w:i w:val="0"/>
                <w:strike w:val="0"/>
                <w:sz w:val="18"/>
                <w:u w:val="none"/>
              </w:rPr>
              <w:t>6° 18′</w:t>
            </w:r>
          </w:p>
        </w:tc>
        <w:tc>
          <w:tcPr>
            <w:tcW w:type="dxa" w:w="2340"/>
          </w:tcPr>
          <w:p>
            <w:pPr>
              <w:spacing w:after="0"/>
            </w:pPr>
            <w:r>
              <w:rPr>
                <w:u w:val="none"/>
              </w:rPr>
            </w:r>
            <w:r>
              <w:rPr>
                <w:rFonts w:ascii="Arial" w:hAnsi="Arial"/>
                <w:b w:val="0"/>
                <w:i w:val="0"/>
                <w:strike w:val="0"/>
                <w:sz w:val="18"/>
                <w:u w:val="none"/>
              </w:rPr>
              <w:t>34.30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9</w:t>
            </w:r>
          </w:p>
        </w:tc>
        <w:tc>
          <w:tcPr>
            <w:tcW w:type="dxa" w:w="2340"/>
          </w:tcPr>
          <w:p>
            <w:pPr>
              <w:spacing w:after="0"/>
            </w:pPr>
            <w:r>
              <w:rPr>
                <w:u w:val="none"/>
              </w:rPr>
            </w:r>
            <w:r>
              <w:rPr>
                <w:rFonts w:ascii="Arial" w:hAnsi="Arial"/>
                <w:b w:val="0"/>
                <w:i w:val="0"/>
                <w:strike w:val="0"/>
                <w:sz w:val="18"/>
                <w:u w:val="none"/>
              </w:rPr>
              <w:t>84° 59′</w:t>
            </w:r>
          </w:p>
        </w:tc>
        <w:tc>
          <w:tcPr>
            <w:tcW w:type="dxa" w:w="2340"/>
          </w:tcPr>
          <w:p>
            <w:pPr>
              <w:spacing w:after="0"/>
            </w:pPr>
            <w:r>
              <w:rPr>
                <w:u w:val="none"/>
              </w:rPr>
            </w:r>
            <w:r>
              <w:rPr>
                <w:rFonts w:ascii="Arial" w:hAnsi="Arial"/>
                <w:b w:val="0"/>
                <w:i w:val="0"/>
                <w:strike w:val="0"/>
                <w:sz w:val="18"/>
                <w:u w:val="none"/>
              </w:rPr>
              <w:t>458.05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10</w:t>
            </w:r>
          </w:p>
        </w:tc>
        <w:tc>
          <w:tcPr>
            <w:tcW w:type="dxa" w:w="2340"/>
          </w:tcPr>
          <w:p>
            <w:pPr>
              <w:spacing w:after="0"/>
            </w:pPr>
            <w:r>
              <w:rPr>
                <w:u w:val="none"/>
              </w:rPr>
            </w:r>
            <w:r>
              <w:rPr>
                <w:rFonts w:ascii="Arial" w:hAnsi="Arial"/>
                <w:b w:val="0"/>
                <w:i w:val="0"/>
                <w:strike w:val="0"/>
                <w:sz w:val="18"/>
                <w:u w:val="none"/>
              </w:rPr>
              <w:t>104° 19′</w:t>
            </w:r>
          </w:p>
        </w:tc>
        <w:tc>
          <w:tcPr>
            <w:tcW w:type="dxa" w:w="2340"/>
          </w:tcPr>
          <w:p>
            <w:pPr>
              <w:spacing w:after="0"/>
            </w:pPr>
            <w:r>
              <w:rPr>
                <w:u w:val="none"/>
              </w:rPr>
            </w:r>
            <w:r>
              <w:rPr>
                <w:rFonts w:ascii="Arial" w:hAnsi="Arial"/>
                <w:b w:val="0"/>
                <w:i w:val="0"/>
                <w:strike w:val="0"/>
                <w:sz w:val="18"/>
                <w:u w:val="none"/>
              </w:rPr>
              <w:t>159.79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11</w:t>
            </w:r>
          </w:p>
        </w:tc>
        <w:tc>
          <w:tcPr>
            <w:tcW w:type="dxa" w:w="2340"/>
          </w:tcPr>
          <w:p>
            <w:pPr>
              <w:spacing w:after="0"/>
            </w:pPr>
            <w:r>
              <w:rPr>
                <w:u w:val="none"/>
              </w:rPr>
            </w:r>
            <w:r>
              <w:rPr>
                <w:rFonts w:ascii="Arial" w:hAnsi="Arial"/>
                <w:b w:val="0"/>
                <w:i w:val="0"/>
                <w:strike w:val="0"/>
                <w:sz w:val="18"/>
                <w:u w:val="none"/>
              </w:rPr>
              <w:t>215° 07′ 20″</w:t>
            </w:r>
          </w:p>
        </w:tc>
        <w:tc>
          <w:tcPr>
            <w:tcW w:type="dxa" w:w="2340"/>
          </w:tcPr>
          <w:p>
            <w:pPr>
              <w:spacing w:after="0"/>
            </w:pPr>
            <w:r>
              <w:rPr>
                <w:u w:val="none"/>
              </w:rPr>
            </w:r>
            <w:r>
              <w:rPr>
                <w:rFonts w:ascii="Arial" w:hAnsi="Arial"/>
                <w:b w:val="0"/>
                <w:i w:val="0"/>
                <w:strike w:val="0"/>
                <w:sz w:val="18"/>
                <w:u w:val="none"/>
              </w:rPr>
              <w:t>222.70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12</w:t>
            </w:r>
          </w:p>
        </w:tc>
        <w:tc>
          <w:tcPr>
            <w:tcW w:type="dxa" w:w="2340"/>
          </w:tcPr>
          <w:p>
            <w:pPr>
              <w:spacing w:after="0"/>
            </w:pPr>
            <w:r>
              <w:rPr>
                <w:u w:val="none"/>
              </w:rPr>
            </w:r>
            <w:r>
              <w:rPr>
                <w:rFonts w:ascii="Arial" w:hAnsi="Arial"/>
                <w:b w:val="0"/>
                <w:i w:val="0"/>
                <w:strike w:val="0"/>
                <w:sz w:val="18"/>
                <w:u w:val="none"/>
              </w:rPr>
              <w:t>220° 35′ 20″</w:t>
            </w:r>
          </w:p>
        </w:tc>
        <w:tc>
          <w:tcPr>
            <w:tcW w:type="dxa" w:w="2340"/>
          </w:tcPr>
          <w:p>
            <w:pPr>
              <w:spacing w:after="0"/>
            </w:pPr>
            <w:r>
              <w:rPr>
                <w:u w:val="none"/>
              </w:rPr>
            </w:r>
            <w:r>
              <w:rPr>
                <w:rFonts w:ascii="Arial" w:hAnsi="Arial"/>
                <w:b w:val="0"/>
                <w:i w:val="0"/>
                <w:strike w:val="0"/>
                <w:sz w:val="18"/>
                <w:u w:val="none"/>
              </w:rPr>
              <w:t>206.83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13</w:t>
            </w:r>
          </w:p>
        </w:tc>
        <w:tc>
          <w:tcPr>
            <w:tcW w:type="dxa" w:w="2340"/>
          </w:tcPr>
          <w:p>
            <w:pPr>
              <w:spacing w:after="0"/>
            </w:pPr>
            <w:r>
              <w:rPr>
                <w:u w:val="none"/>
              </w:rPr>
            </w:r>
            <w:r>
              <w:rPr>
                <w:rFonts w:ascii="Arial" w:hAnsi="Arial"/>
                <w:b w:val="0"/>
                <w:i w:val="0"/>
                <w:strike w:val="0"/>
                <w:sz w:val="18"/>
                <w:u w:val="none"/>
              </w:rPr>
              <w:t>199° 10′ 20″</w:t>
            </w:r>
          </w:p>
        </w:tc>
        <w:tc>
          <w:tcPr>
            <w:tcW w:type="dxa" w:w="2340"/>
          </w:tcPr>
          <w:p>
            <w:pPr>
              <w:spacing w:after="0"/>
            </w:pPr>
            <w:r>
              <w:rPr>
                <w:u w:val="none"/>
              </w:rPr>
            </w:r>
            <w:r>
              <w:rPr>
                <w:rFonts w:ascii="Arial" w:hAnsi="Arial"/>
                <w:b w:val="0"/>
                <w:i w:val="0"/>
                <w:strike w:val="0"/>
                <w:sz w:val="18"/>
                <w:u w:val="none"/>
              </w:rPr>
              <w:t>153.94 feet</w:t>
            </w:r>
          </w:p>
        </w:tc>
        <w:tc>
          <w:tcPr>
            <w:tcW w:type="dxa" w:w="2340"/>
          </w:tcPr>
          <w:p>
            <w:pPr>
              <w:spacing w:after="0"/>
            </w:pPr>
            <w:r>
              <w:rPr>
                <w:u w:val="none"/>
              </w:rPr>
            </w:r>
            <w:r>
              <w:rPr>
                <w:rFonts w:ascii="Arial" w:hAnsi="Arial"/>
                <w:b w:val="0"/>
                <w:i w:val="0"/>
                <w:strike w:val="0"/>
                <w:sz w:val="18"/>
                <w:u w:val="none"/>
              </w:rPr>
              <w:t>along the remainder of Grant 234 to Torbert and Wilcox;</w:t>
            </w:r>
          </w:p>
        </w:tc>
      </w:tr>
      <w:tr>
        <w:tc>
          <w:tcPr>
            <w:tcW w:type="dxa" w:w="2340"/>
          </w:tcPr>
          <w:p>
            <w:pPr>
              <w:spacing w:after="0"/>
            </w:pPr>
            <w:r>
              <w:rPr>
                <w:u w:val="none"/>
              </w:rPr>
            </w:r>
            <w:r>
              <w:rPr>
                <w:rFonts w:ascii="Arial" w:hAnsi="Arial"/>
                <w:b w:val="0"/>
                <w:i w:val="0"/>
                <w:strike w:val="0"/>
                <w:sz w:val="18"/>
                <w:u w:val="none"/>
              </w:rPr>
              <w:t>14</w:t>
            </w:r>
          </w:p>
        </w:tc>
        <w:tc>
          <w:tcPr>
            <w:tcW w:type="dxa" w:w="2340"/>
          </w:tcPr>
          <w:p>
            <w:pPr>
              <w:spacing w:after="0"/>
            </w:pPr>
            <w:r>
              <w:rPr>
                <w:u w:val="none"/>
              </w:rPr>
            </w:r>
            <w:r>
              <w:rPr>
                <w:rFonts w:ascii="Arial" w:hAnsi="Arial"/>
                <w:b w:val="0"/>
                <w:i w:val="0"/>
                <w:strike w:val="0"/>
                <w:sz w:val="18"/>
                <w:u w:val="none"/>
              </w:rPr>
              <w:t>292° 36′</w:t>
            </w:r>
          </w:p>
        </w:tc>
        <w:tc>
          <w:tcPr>
            <w:tcW w:type="dxa" w:w="2340"/>
          </w:tcPr>
          <w:p>
            <w:pPr>
              <w:spacing w:after="0"/>
            </w:pPr>
            <w:r>
              <w:rPr>
                <w:u w:val="none"/>
              </w:rPr>
            </w:r>
            <w:r>
              <w:rPr>
                <w:rFonts w:ascii="Arial" w:hAnsi="Arial"/>
                <w:b w:val="0"/>
                <w:i w:val="0"/>
                <w:strike w:val="0"/>
                <w:sz w:val="18"/>
                <w:u w:val="none"/>
              </w:rPr>
              <w:t>658.76 feet</w:t>
            </w:r>
          </w:p>
        </w:tc>
        <w:tc>
          <w:tcPr>
            <w:tcW w:type="dxa" w:w="2340"/>
          </w:tcPr>
          <w:p>
            <w:pPr>
              <w:spacing w:after="0"/>
            </w:pPr>
            <w:r>
              <w:rPr>
                <w:u w:val="none"/>
              </w:rPr>
            </w:r>
            <w:r>
              <w:rPr>
                <w:rFonts w:ascii="Arial" w:hAnsi="Arial"/>
                <w:b w:val="0"/>
                <w:i w:val="0"/>
                <w:strike w:val="0"/>
                <w:sz w:val="18"/>
                <w:u w:val="none"/>
              </w:rPr>
              <w:t>along Lot 1 (Map 1) and Lot 324 (Map 42) of Land Court Application 1804 and along the South side of Makena-Alanui Road to the point of beginning and containing an area of 269,186 square feet or 6.180 acres, more or less.</w:t>
            </w:r>
          </w:p>
        </w:tc>
      </w:tr>
    </w:tbl>
    <w:p>
      <w:pPr>
        <w:keepNext w:val="0"/>
        <w:widowControl/>
        <w:jc w:val="both"/>
      </w:pPr>
    </w:p>
    <w:p>
      <w:pPr>
        <w:keepNext w:val="0"/>
        <w:widowControl/>
        <w:jc w:val="both"/>
      </w:pPr>
      <w:r>
        <w:rPr>
          <w:rFonts w:ascii="Times New Roman" w:hAnsi="Times New Roman"/>
          <w:b w:val="0"/>
          <w:i w:val="0"/>
          <w:strike w:val="0"/>
          <w:sz w:val="24"/>
          <w:u w:val="none"/>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keepNext w:val="0"/>
        <w:widowControl/>
        <w:jc w:val="both"/>
      </w:pPr>
      <w:r>
        <w:rPr>
          <w:rFonts w:ascii="Times New Roman" w:hAnsi="Times New Roman"/>
          <w:b w:val="0"/>
          <w:i w:val="0"/>
          <w:strike w:val="0"/>
          <w:sz w:val="24"/>
          <w:u w:val="none"/>
        </w:rPr>
        <w:t>SUBJECT, HOWEVER, to the following:</w:t>
      </w:r>
    </w:p>
    <w:p>
      <w:bookmarkStart w:id="4069" w:name="nav4069"/>
      <w:pPr>
        <w:keepNext w:val="0"/>
        <w:widowControl/>
        <w:jc w:val="both"/>
      </w:pPr>
      <w:r>
        <w:rPr>
          <w:rFonts w:ascii="Times New Roman" w:hAnsi="Times New Roman"/>
          <w:b w:val="0"/>
          <w:i w:val="0"/>
          <w:strike w:val="0"/>
          <w:sz w:val="24"/>
          <w:u w:val="none"/>
        </w:rPr>
        <w:t>1. Reservation in favor of the State of Hawaii of all mineral and metallic mines.</w:t>
      </w:r>
      <w:bookmarkEnd w:id="4069"/>
    </w:p>
    <w:p>
      <w:bookmarkStart w:id="4070" w:name="nav4070"/>
      <w:pPr>
        <w:keepNext w:val="0"/>
        <w:widowControl/>
        <w:jc w:val="both"/>
      </w:pPr>
      <w:r>
        <w:rPr>
          <w:rFonts w:ascii="Times New Roman" w:hAnsi="Times New Roman"/>
          <w:b w:val="0"/>
          <w:i w:val="0"/>
          <w:strike w:val="0"/>
          <w:sz w:val="24"/>
          <w:u w:val="none"/>
        </w:rP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4070"/>
    </w:p>
    <w:p>
      <w:bookmarkStart w:id="4071" w:name="nav4071"/>
      <w:pPr>
        <w:keepNext w:val="0"/>
        <w:widowControl/>
        <w:jc w:val="both"/>
      </w:pPr>
      <w:r>
        <w:rPr>
          <w:rFonts w:ascii="Times New Roman" w:hAnsi="Times New Roman"/>
          <w:b w:val="0"/>
          <w:i w:val="0"/>
          <w:strike w:val="0"/>
          <w:sz w:val="24"/>
          <w:u w:val="none"/>
        </w:rP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4071"/>
    </w:p>
    <w:p>
      <w:bookmarkStart w:id="4072" w:name="nav4072"/>
      <w:pPr>
        <w:keepNext w:val="0"/>
        <w:widowControl/>
        <w:jc w:val="both"/>
      </w:pPr>
      <w:r>
        <w:rPr>
          <w:rFonts w:ascii="Times New Roman" w:hAnsi="Times New Roman"/>
          <w:b w:val="0"/>
          <w:i w:val="0"/>
          <w:strike w:val="0"/>
          <w:sz w:val="24"/>
          <w:u w:val="none"/>
        </w:rPr>
        <w:t>4. The terms and provisions, including the failure to comply with any covenants, conditions and reservations, contained in Unilateral Agreement dated November 23, 1998, recorded in the said Bureau of Conveyances as Document No. 99-034542, by Malia Aina, Ltd.</w:t>
      </w:r>
      <w:bookmarkEnd w:id="4072"/>
    </w:p>
    <w:p>
      <w:bookmarkStart w:id="4073" w:name="nav4073"/>
      <w:pPr>
        <w:keepNext w:val="0"/>
        <w:widowControl/>
        <w:jc w:val="both"/>
      </w:pPr>
      <w:r>
        <w:rPr>
          <w:rFonts w:ascii="Times New Roman" w:hAnsi="Times New Roman"/>
          <w:b w:val="0"/>
          <w:i w:val="0"/>
          <w:strike w:val="0"/>
          <w:sz w:val="24"/>
          <w:u w:val="none"/>
        </w:rPr>
        <w:t>5. Claims arising out of customary and traditional rights and practices, including without limitation those exercised for subsistence, cultural, religious, access or gathering purposes, as provided for in the Hawaii Constitution or the Hawaii Revised Statutes.</w:t>
      </w:r>
      <w:bookmarkEnd w:id="4073"/>
    </w:p>
    <w:p>
      <w:bookmarkStart w:id="4074" w:name="nav4074"/>
      <w:pPr>
        <w:keepNext w:val="0"/>
        <w:widowControl/>
        <w:jc w:val="both"/>
      </w:pPr>
      <w:r>
        <w:rPr>
          <w:rFonts w:ascii="Times New Roman" w:hAnsi="Times New Roman"/>
          <w:b w:val="0"/>
          <w:i w:val="0"/>
          <w:strike w:val="0"/>
          <w:sz w:val="24"/>
          <w:u w:val="none"/>
        </w:rPr>
        <w:t>6. Any lien (or claim of lien) for services, labor or material arising from an improvement or work related to the land described herein.</w:t>
      </w:r>
      <w:bookmarkEnd w:id="4074"/>
    </w:p>
    <w:p>
      <w:bookmarkStart w:id="4075" w:name="nav4075"/>
      <w:pPr>
        <w:keepNext w:val="0"/>
        <w:widowControl/>
        <w:jc w:val="both"/>
      </w:pPr>
      <w:r>
        <w:rPr>
          <w:rFonts w:ascii="Times New Roman" w:hAnsi="Times New Roman"/>
          <w:b w:val="0"/>
          <w:i w:val="0"/>
          <w:strike w:val="0"/>
          <w:sz w:val="24"/>
          <w:u w:val="none"/>
        </w:rPr>
        <w:t>7. Discrepancies, conflicts in boundary lines, shortage in area, encroachments or any other matters which a correct survey or archaeological study would disclose.</w:t>
      </w:r>
      <w:bookmarkEnd w:id="4075"/>
    </w:p>
    <w:p>
      <w:pPr>
        <w:keepNext w:val="0"/>
        <w:widowControl/>
        <w:jc w:val="both"/>
      </w:pPr>
      <w:r>
        <w:rPr>
          <w:rFonts w:ascii="Times New Roman" w:hAnsi="Times New Roman"/>
          <w:b w:val="0"/>
          <w:i w:val="0"/>
          <w:strike w:val="0"/>
          <w:sz w:val="24"/>
          <w:u w:val="none"/>
        </w:rPr>
        <w:t>END OF EXHIBIT A</w:t>
      </w:r>
    </w:p>
    <w:p>
      <w:pPr>
        <w:keepNext w:val="0"/>
        <w:widowControl/>
        <w:jc w:val="both"/>
      </w:pPr>
      <w:r>
        <w:rPr>
          <w:rFonts w:ascii="Times New Roman" w:hAnsi="Times New Roman"/>
          <w:b w:val="0"/>
          <w:i w:val="0"/>
          <w:strike w:val="0"/>
          <w:sz w:val="24"/>
          <w:u w:val="none"/>
        </w:rPr>
        <w:t>Tax Key: 2-1-007-101 (2)</w:t>
      </w:r>
    </w:p>
    <w:p>
      <w:pPr>
        <w:keepNext/>
        <w:widowControl/>
        <w:spacing w:before="280"/>
        <w:jc w:val="left"/>
      </w:pPr>
      <w:r>
        <w:rPr>
          <w:rFonts w:ascii="Times New Roman" w:hAnsi="Times New Roman"/>
          <w:b/>
          <w:i w:val="0"/>
          <w:strike w:val="0"/>
          <w:sz w:val="26"/>
          <w:u w:val="none"/>
        </w:rPr>
        <w:t>EXHIBIT B</w:t>
      </w:r>
    </w:p>
    <w:p>
      <w:pPr>
        <w:keepNext w:val="0"/>
        <w:widowControl/>
        <w:jc w:val="both"/>
      </w:pPr>
      <w:r>
        <w:rPr>
          <w:rFonts w:ascii="Times New Roman" w:hAnsi="Times New Roman"/>
          <w:b w:val="0"/>
          <w:i w:val="0"/>
          <w:strike w:val="0"/>
          <w:sz w:val="24"/>
          <w:u w:val="none"/>
        </w:rPr>
        <w:t>DESCRIPTION AND LOCATION OF THE APARTMENTS AND BUILDINGS</w:t>
      </w:r>
    </w:p>
    <w:p>
      <w:bookmarkStart w:id="4076" w:name="nav4076"/>
      <w:pPr>
        <w:keepNext w:val="0"/>
        <w:widowControl/>
        <w:jc w:val="both"/>
      </w:pPr>
      <w:r>
        <w:rPr>
          <w:rFonts w:ascii="Times New Roman" w:hAnsi="Times New Roman"/>
          <w:b w:val="0"/>
          <w:i w:val="0"/>
          <w:strike w:val="0"/>
          <w:sz w:val="24"/>
          <w:u w:val="none"/>
        </w:rP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bookmarkEnd w:id="4076"/>
    </w:p>
    <w:p>
      <w:bookmarkStart w:id="4077" w:name="nav4077"/>
      <w:pPr>
        <w:keepNext w:val="0"/>
        <w:widowControl/>
        <w:jc w:val="both"/>
      </w:pPr>
      <w:r>
        <w:rPr>
          <w:rFonts w:ascii="Times New Roman" w:hAnsi="Times New Roman"/>
          <w:b w:val="0"/>
          <w:i w:val="0"/>
          <w:strike w:val="0"/>
          <w:sz w:val="24"/>
          <w:u w:val="none"/>
        </w:rP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bookmarkEnd w:id="4077"/>
    </w:p>
    <w:p>
      <w:pPr>
        <w:keepNext w:val="0"/>
        <w:widowControl/>
        <w:jc w:val="both"/>
      </w:pPr>
      <w:r>
        <w:rPr>
          <w:rFonts w:ascii="Times New Roman" w:hAnsi="Times New Roman"/>
          <w:b w:val="0"/>
          <w:i w:val="0"/>
          <w:strike w:val="0"/>
          <w:sz w:val="24"/>
          <w:u w:val="none"/>
        </w:rPr>
        <w:t>_Type A:_</w:t>
      </w:r>
    </w:p>
    <w:p>
      <w:pPr>
        <w:keepNext w:val="0"/>
        <w:widowControl/>
        <w:jc w:val="both"/>
      </w:pPr>
      <w:r>
        <w:rPr>
          <w:rFonts w:ascii="Times New Roman" w:hAnsi="Times New Roman"/>
          <w:b w:val="0"/>
          <w:i w:val="0"/>
          <w:strike w:val="0"/>
          <w:sz w:val="24"/>
          <w:u w:val="none"/>
        </w:rP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keepNext w:val="0"/>
        <w:widowControl/>
        <w:jc w:val="both"/>
      </w:pPr>
      <w:r>
        <w:rPr>
          <w:rFonts w:ascii="Times New Roman" w:hAnsi="Times New Roman"/>
          <w:b w:val="0"/>
          <w:i w:val="0"/>
          <w:strike w:val="0"/>
          <w:sz w:val="24"/>
          <w:u w:val="none"/>
        </w:rPr>
        <w:t>_Type B:_</w:t>
      </w:r>
    </w:p>
    <w:p>
      <w:pPr>
        <w:keepNext w:val="0"/>
        <w:widowControl/>
        <w:jc w:val="both"/>
      </w:pPr>
      <w:r>
        <w:rPr>
          <w:rFonts w:ascii="Times New Roman" w:hAnsi="Times New Roman"/>
          <w:b w:val="0"/>
          <w:i w:val="0"/>
          <w:strike w:val="0"/>
          <w:sz w:val="24"/>
          <w:u w:val="none"/>
        </w:rP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keepNext w:val="0"/>
        <w:widowControl/>
        <w:jc w:val="both"/>
      </w:pPr>
      <w:r>
        <w:rPr>
          <w:rFonts w:ascii="Times New Roman" w:hAnsi="Times New Roman"/>
          <w:b w:val="0"/>
          <w:i w:val="0"/>
          <w:strike w:val="0"/>
          <w:sz w:val="24"/>
          <w:u w:val="none"/>
        </w:rPr>
        <w:t>_Type C, Type E, and Type F:_</w:t>
      </w:r>
    </w:p>
    <w:p>
      <w:pPr>
        <w:keepNext w:val="0"/>
        <w:widowControl/>
        <w:jc w:val="both"/>
      </w:pPr>
      <w:r>
        <w:rPr>
          <w:rFonts w:ascii="Times New Roman" w:hAnsi="Times New Roman"/>
          <w:b w:val="0"/>
          <w:i w:val="0"/>
          <w:strike w:val="0"/>
          <w:sz w:val="24"/>
          <w:u w:val="none"/>
        </w:rP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keepNext w:val="0"/>
        <w:widowControl/>
        <w:jc w:val="both"/>
      </w:pPr>
      <w:r>
        <w:rPr>
          <w:rFonts w:ascii="Times New Roman" w:hAnsi="Times New Roman"/>
          <w:b w:val="0"/>
          <w:i w:val="0"/>
          <w:strike w:val="0"/>
          <w:sz w:val="24"/>
          <w:u w:val="none"/>
        </w:rPr>
        <w:t>_Type D and Type G:_</w:t>
      </w:r>
    </w:p>
    <w:p>
      <w:pPr>
        <w:keepNext w:val="0"/>
        <w:widowControl/>
        <w:jc w:val="both"/>
      </w:pPr>
      <w:r>
        <w:rPr>
          <w:rFonts w:ascii="Times New Roman" w:hAnsi="Times New Roman"/>
          <w:b w:val="0"/>
          <w:i w:val="0"/>
          <w:strike w:val="0"/>
          <w:sz w:val="24"/>
          <w:u w:val="none"/>
        </w:rP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keepNext/>
        <w:widowControl/>
        <w:spacing w:before="280"/>
        <w:jc w:val="left"/>
      </w:pPr>
      <w:r>
        <w:rPr>
          <w:rFonts w:ascii="Times New Roman" w:hAnsi="Times New Roman"/>
          <w:b/>
          <w:i w:val="0"/>
          <w:strike w:val="0"/>
          <w:sz w:val="26"/>
          <w:u w:val="none"/>
        </w:rPr>
        <w:t>EXHIBIT C</w:t>
      </w:r>
    </w:p>
    <w:p>
      <w:pPr>
        <w:keepNext w:val="0"/>
        <w:widowControl/>
        <w:jc w:val="both"/>
      </w:pPr>
      <w:r>
        <w:rPr>
          <w:rFonts w:ascii="Times New Roman" w:hAnsi="Times New Roman"/>
          <w:b w:val="0"/>
          <w:i w:val="0"/>
          <w:strike w:val="0"/>
          <w:sz w:val="24"/>
          <w:u w:val="none"/>
        </w:rPr>
        <w:t>APARTMENT NUMBERS, PARKING STALLS, NET LIVING FLOOR AREAS, OTHER FLOOR AREAS, AND COMMON INTERESTS</w:t>
      </w:r>
    </w:p>
    <w:p>
      <w:pPr>
        <w:keepNext/>
        <w:widowControl/>
        <w:jc w:val="left"/>
      </w:pPr>
      <w:r>
        <w:rPr>
          <w:rFonts w:ascii="Times New Roman" w:hAnsi="Times New Roman"/>
          <w:b/>
          <w:i w:val="0"/>
          <w:strike w:val="0"/>
          <w:color w:val="000000"/>
          <w:sz w:val="20"/>
          <w:u w:val="none"/>
        </w:rPr>
        <w:t>Deleted — original Exhibit C:</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tc>
        <w:tc>
          <w:tcPr>
            <w:tcW w:type="dxa" w:w="1040"/>
          </w:tcPr>
        </w:tc>
        <w:tc>
          <w:tcPr>
            <w:tcW w:type="dxa" w:w="1040"/>
          </w:tcPr>
        </w:tc>
        <w:tc>
          <w:tcPr>
            <w:tcW w:type="dxa" w:w="1040"/>
          </w:tcPr>
        </w:tc>
        <w:tc>
          <w:tcPr>
            <w:tcW w:type="dxa" w:w="1040"/>
          </w:tcPr>
        </w:tc>
        <w:tc>
          <w:tcPr>
            <w:tcW w:type="dxa" w:w="1040"/>
          </w:tcPr>
          <w:p>
            <w:pPr>
              <w:spacing w:after="0"/>
              <w:jc w:val="center"/>
            </w:pPr>
            <w:r>
              <w:rPr>
                <w:u w:val="none"/>
              </w:rPr>
            </w:r>
          </w:p>
        </w:tc>
        <w:tc>
          <w:tcPr>
            <w:tcW w:type="dxa" w:w="1040"/>
          </w:tcPr>
        </w:tc>
        <w:tc>
          <w:tcPr>
            <w:tcW w:type="dxa" w:w="1040"/>
          </w:tcPr>
        </w:tc>
      </w:tr>
      <w:tr>
        <w:tc>
          <w:tcPr>
            <w:tcW w:type="dxa" w:w="1040"/>
          </w:tcPr>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p>
            <w:pPr>
              <w:spacing w:after="0"/>
              <w:jc w:val="center"/>
            </w:pPr>
            <w:r>
              <w:rPr>
                <w:u w:val="none"/>
              </w:rPr>
            </w:r>
          </w:p>
        </w:tc>
        <w:tc>
          <w:tcPr>
            <w:tcW w:type="dxa" w:w="1040"/>
          </w:tcPr>
        </w:tc>
      </w:tr>
    </w:tbl>
    <w:p>
      <w:pPr>
        <w:keepNext w:val="0"/>
        <w:widowControl/>
        <w:jc w:val="both"/>
      </w:pPr>
    </w:p>
    <w:p>
      <w:pPr>
        <w:keepNext/>
        <w:widowControl/>
        <w:jc w:val="left"/>
      </w:pPr>
      <w:r>
        <w:rPr>
          <w:rFonts w:ascii="Times New Roman" w:hAnsi="Times New Roman"/>
          <w:b/>
          <w:i w:val="0"/>
          <w:strike w:val="0"/>
          <w:color w:val="000000"/>
          <w:sz w:val="20"/>
          <w:u w:val="none"/>
        </w:rPr>
        <w:t>Added — Exhibit C substituted by the First Amendment (2001):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Pr>
                <w:u w:val="none"/>
              </w:rPr>
            </w:r>
            <w:r>
              <w:rPr>
                <w:rFonts w:ascii="Arial" w:hAnsi="Arial"/>
                <w:b/>
                <w:i w:val="0"/>
                <w:strike w:val="0"/>
                <w:color w:val="000000"/>
                <w:sz w:val="16"/>
                <w:u w:val="none"/>
              </w:rPr>
              <w:t>Apt. No.</w:t>
            </w:r>
          </w:p>
        </w:tc>
        <w:tc>
          <w:tcPr>
            <w:tcW w:type="dxa" w:w="1040"/>
          </w:tcPr>
          <w:p>
            <w:pPr>
              <w:spacing w:after="0"/>
              <w:jc w:val="center"/>
            </w:pPr>
            <w:r>
              <w:rPr>
                <w:u w:val="none"/>
              </w:rPr>
            </w:r>
            <w:r>
              <w:rPr>
                <w:rFonts w:ascii="Arial" w:hAnsi="Arial"/>
                <w:b/>
                <w:i w:val="0"/>
                <w:strike w:val="0"/>
                <w:color w:val="000000"/>
                <w:sz w:val="16"/>
                <w:u w:val="none"/>
              </w:rPr>
              <w:t>Apt. Type</w:t>
            </w:r>
          </w:p>
        </w:tc>
        <w:tc>
          <w:tcPr>
            <w:tcW w:type="dxa" w:w="1040"/>
          </w:tcPr>
          <w:p>
            <w:pPr>
              <w:spacing w:after="0"/>
              <w:jc w:val="center"/>
            </w:pPr>
            <w:r>
              <w:rPr>
                <w:u w:val="none"/>
              </w:rPr>
            </w:r>
            <w:r>
              <w:rPr>
                <w:rFonts w:ascii="Arial" w:hAnsi="Arial"/>
                <w:b/>
                <w:i w:val="0"/>
                <w:strike w:val="0"/>
                <w:color w:val="000000"/>
                <w:sz w:val="16"/>
                <w:u w:val="none"/>
              </w:rPr>
              <w:t>Bldg. Type</w:t>
            </w:r>
          </w:p>
        </w:tc>
        <w:tc>
          <w:tcPr>
            <w:tcW w:type="dxa" w:w="1040"/>
          </w:tcPr>
          <w:p>
            <w:pPr>
              <w:spacing w:after="0"/>
              <w:jc w:val="center"/>
            </w:pPr>
            <w:r>
              <w:rPr>
                <w:u w:val="none"/>
              </w:rPr>
            </w:r>
            <w:r>
              <w:rPr>
                <w:rFonts w:ascii="Arial" w:hAnsi="Arial"/>
                <w:b/>
                <w:i w:val="0"/>
                <w:strike w:val="0"/>
                <w:color w:val="000000"/>
                <w:sz w:val="16"/>
                <w:u w:val="none"/>
              </w:rPr>
              <w:t>Assigned Covered Parking Stall No.</w:t>
            </w:r>
          </w:p>
        </w:tc>
        <w:tc>
          <w:tcPr>
            <w:tcW w:type="dxa" w:w="1040"/>
          </w:tcPr>
          <w:p>
            <w:pPr>
              <w:spacing w:after="0"/>
              <w:jc w:val="center"/>
            </w:pPr>
            <w:r>
              <w:rPr>
                <w:u w:val="none"/>
              </w:rPr>
            </w:r>
            <w:r>
              <w:rPr>
                <w:rFonts w:ascii="Arial" w:hAnsi="Arial"/>
                <w:b/>
                <w:i w:val="0"/>
                <w:strike w:val="0"/>
                <w:color w:val="000000"/>
                <w:sz w:val="16"/>
                <w:u w:val="none"/>
              </w:rPr>
              <w:t>Net Living Floor Area</w:t>
            </w:r>
          </w:p>
        </w:tc>
        <w:tc>
          <w:tcPr>
            <w:tcW w:type="dxa" w:w="1040"/>
          </w:tcPr>
          <w:p>
            <w:pPr>
              <w:spacing w:after="0"/>
              <w:jc w:val="center"/>
            </w:pPr>
            <w:r>
              <w:rPr>
                <w:u w:val="none"/>
              </w:rPr>
            </w:r>
            <w:r>
              <w:rPr>
                <w:rFonts w:ascii="Arial" w:hAnsi="Arial"/>
                <w:b/>
                <w:i w:val="0"/>
                <w:strike w:val="0"/>
                <w:color w:val="000000"/>
                <w:sz w:val="16"/>
                <w:u w:val="none"/>
              </w:rPr>
              <w:t>Covered Lanai Area</w:t>
            </w:r>
          </w:p>
        </w:tc>
        <w:tc>
          <w:tcPr>
            <w:tcW w:type="dxa" w:w="1040"/>
          </w:tcPr>
          <w:p>
            <w:pPr>
              <w:spacing w:after="0"/>
              <w:jc w:val="center"/>
            </w:pPr>
            <w:r>
              <w:rPr>
                <w:u w:val="none"/>
              </w:rPr>
            </w:r>
            <w:r>
              <w:rPr>
                <w:rFonts w:ascii="Arial" w:hAnsi="Arial"/>
                <w:b/>
                <w:i w:val="0"/>
                <w:strike w:val="0"/>
                <w:color w:val="000000"/>
                <w:sz w:val="16"/>
                <w:u w:val="none"/>
              </w:rPr>
              <w:t>Loft Area</w:t>
            </w:r>
          </w:p>
        </w:tc>
        <w:tc>
          <w:tcPr>
            <w:tcW w:type="dxa" w:w="1040"/>
          </w:tcPr>
          <w:p>
            <w:pPr>
              <w:spacing w:after="0"/>
              <w:jc w:val="center"/>
            </w:pPr>
            <w:r>
              <w:rPr>
                <w:u w:val="none"/>
              </w:rPr>
            </w:r>
            <w:r>
              <w:rPr>
                <w:rFonts w:ascii="Arial" w:hAnsi="Arial"/>
                <w:b/>
                <w:i w:val="0"/>
                <w:strike w:val="0"/>
                <w:color w:val="000000"/>
                <w:sz w:val="16"/>
                <w:u w:val="none"/>
              </w:rPr>
              <w:t>Total Area</w:t>
            </w:r>
          </w:p>
        </w:tc>
        <w:tc>
          <w:tcPr>
            <w:tcW w:type="dxa" w:w="1040"/>
          </w:tcPr>
          <w:p>
            <w:pPr>
              <w:spacing w:after="0"/>
              <w:jc w:val="center"/>
            </w:pPr>
            <w:r>
              <w:rPr>
                <w:u w:val="none"/>
              </w:rPr>
            </w:r>
            <w:r>
              <w:rPr>
                <w:rFonts w:ascii="Arial" w:hAnsi="Arial"/>
                <w:b/>
                <w:i w:val="0"/>
                <w:strike w:val="0"/>
                <w:color w:val="000000"/>
                <w:sz w:val="16"/>
                <w:u w:val="none"/>
              </w:rPr>
              <w:t>Common Interest</w:t>
            </w:r>
          </w:p>
        </w:tc>
      </w:tr>
      <w:tr>
        <w:tc>
          <w:tcPr>
            <w:tcW w:type="dxa" w:w="1040"/>
          </w:tcPr>
          <w:p>
            <w:pPr>
              <w:spacing w:after="0"/>
              <w:jc w:val="center"/>
            </w:pPr>
            <w:r>
              <w:rPr>
                <w:u w:val="none"/>
              </w:rPr>
            </w:r>
            <w:r>
              <w:rPr>
                <w:rFonts w:ascii="Arial" w:hAnsi="Arial"/>
                <w:b w:val="0"/>
                <w:i w:val="0"/>
                <w:strike w:val="0"/>
                <w:color w:val="000000"/>
                <w:sz w:val="16"/>
                <w:u w:val="none"/>
              </w:rPr>
              <w:t>A-301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P09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A-302</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P10</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B-401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P15</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C-401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P31</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D-301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P45</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E-301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F-301</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P73</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F-302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P74</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B-402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P16</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C-402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D-302</w:t>
            </w:r>
          </w:p>
        </w:tc>
        <w:tc>
          <w:tcPr>
            <w:tcW w:type="dxa" w:w="1040"/>
          </w:tcPr>
          <w:p>
            <w:pPr>
              <w:spacing w:after="0"/>
              <w:jc w:val="center"/>
            </w:pPr>
            <w:r>
              <w:rPr>
                <w:u w:val="none"/>
              </w:rPr>
            </w:r>
            <w:r>
              <w:rPr>
                <w:rFonts w:ascii="Arial" w:hAnsi="Arial"/>
                <w:b w:val="0"/>
                <w:i w:val="0"/>
                <w:strike w:val="0"/>
                <w:color w:val="000000"/>
                <w:sz w:val="16"/>
                <w:u w:val="none"/>
              </w:rPr>
              <w:t>A</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P46</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2979</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E-302</w:t>
            </w:r>
          </w:p>
        </w:tc>
        <w:tc>
          <w:tcPr>
            <w:tcW w:type="dxa" w:w="1040"/>
          </w:tcPr>
          <w:p>
            <w:pPr>
              <w:spacing w:after="0"/>
              <w:jc w:val="center"/>
            </w:pPr>
            <w:r>
              <w:rPr>
                <w:u w:val="none"/>
              </w:rPr>
            </w:r>
            <w:r>
              <w:rPr>
                <w:rFonts w:ascii="Arial" w:hAnsi="Arial"/>
                <w:b w:val="0"/>
                <w:i w:val="0"/>
                <w:strike w:val="0"/>
                <w:color w:val="000000"/>
                <w:sz w:val="16"/>
                <w:u w:val="none"/>
              </w:rPr>
              <w:t>B</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P58</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t>657</w:t>
            </w:r>
          </w:p>
        </w:tc>
        <w:tc>
          <w:tcPr>
            <w:tcW w:type="dxa" w:w="1040"/>
          </w:tcPr>
          <w:p>
            <w:pPr>
              <w:spacing w:after="0"/>
              <w:jc w:val="center"/>
            </w:pPr>
            <w:r>
              <w:rPr>
                <w:u w:val="none"/>
              </w:rPr>
            </w:r>
            <w:r>
              <w:rPr>
                <w:rFonts w:ascii="Arial" w:hAnsi="Arial"/>
                <w:b w:val="0"/>
                <w:i w:val="0"/>
                <w:strike w:val="0"/>
                <w:color w:val="000000"/>
                <w:sz w:val="16"/>
                <w:u w:val="none"/>
              </w:rPr>
              <w:t>2951</w:t>
            </w:r>
          </w:p>
        </w:tc>
        <w:tc>
          <w:tcPr>
            <w:tcW w:type="dxa" w:w="1040"/>
          </w:tcPr>
          <w:p>
            <w:pPr>
              <w:spacing w:after="0"/>
              <w:jc w:val="center"/>
            </w:pPr>
            <w:r>
              <w:rPr>
                <w:u w:val="none"/>
              </w:rPr>
            </w:r>
            <w:r>
              <w:rPr>
                <w:rFonts w:ascii="Arial" w:hAnsi="Arial"/>
                <w:b w:val="0"/>
                <w:i w:val="0"/>
                <w:strike w:val="0"/>
                <w:color w:val="000000"/>
                <w:sz w:val="16"/>
                <w:u w:val="none"/>
              </w:rPr>
              <w:t>3.0%</w:t>
            </w:r>
          </w:p>
        </w:tc>
      </w:tr>
      <w:tr>
        <w:tc>
          <w:tcPr>
            <w:tcW w:type="dxa" w:w="1040"/>
          </w:tcPr>
          <w:p>
            <w:pPr>
              <w:spacing w:after="0"/>
              <w:jc w:val="center"/>
            </w:pPr>
            <w:r>
              <w:rPr>
                <w:u w:val="none"/>
              </w:rPr>
            </w:r>
            <w:r>
              <w:rPr>
                <w:rFonts w:ascii="Arial" w:hAnsi="Arial"/>
                <w:b w:val="0"/>
                <w:i w:val="0"/>
                <w:strike w:val="0"/>
                <w:color w:val="000000"/>
                <w:sz w:val="16"/>
                <w:u w:val="none"/>
              </w:rPr>
              <w:t>A-201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P11</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A-202</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B-301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P43</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C-301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P32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D-201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P47</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E-201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P59</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F-201</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P72</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F-202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P75</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B-302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P18</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C-302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P44</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D-202</w:t>
            </w:r>
          </w:p>
        </w:tc>
        <w:tc>
          <w:tcPr>
            <w:tcW w:type="dxa" w:w="1040"/>
          </w:tcPr>
          <w:p>
            <w:pPr>
              <w:spacing w:after="0"/>
              <w:jc w:val="center"/>
            </w:pPr>
            <w:r>
              <w:rPr>
                <w:u w:val="none"/>
              </w:rPr>
            </w:r>
            <w:r>
              <w:rPr>
                <w:rFonts w:ascii="Arial" w:hAnsi="Arial"/>
                <w:b w:val="0"/>
                <w:i w:val="0"/>
                <w:strike w:val="0"/>
                <w:color w:val="000000"/>
                <w:sz w:val="16"/>
                <w:u w:val="none"/>
              </w:rPr>
              <w:t>C</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P48</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E-202</w:t>
            </w:r>
          </w:p>
        </w:tc>
        <w:tc>
          <w:tcPr>
            <w:tcW w:type="dxa" w:w="1040"/>
          </w:tcPr>
          <w:p>
            <w:pPr>
              <w:spacing w:after="0"/>
              <w:jc w:val="center"/>
            </w:pPr>
            <w:r>
              <w:rPr>
                <w:u w:val="none"/>
              </w:rPr>
            </w:r>
            <w:r>
              <w:rPr>
                <w:rFonts w:ascii="Arial" w:hAnsi="Arial"/>
                <w:b w:val="0"/>
                <w:i w:val="0"/>
                <w:strike w:val="0"/>
                <w:color w:val="000000"/>
                <w:sz w:val="16"/>
                <w:u w:val="none"/>
              </w:rPr>
              <w:t>D</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2.575%</w:t>
            </w:r>
          </w:p>
        </w:tc>
      </w:tr>
      <w:tr>
        <w:tc>
          <w:tcPr>
            <w:tcW w:type="dxa" w:w="1040"/>
          </w:tcPr>
          <w:p>
            <w:pPr>
              <w:spacing w:after="0"/>
              <w:jc w:val="center"/>
            </w:pPr>
            <w:r>
              <w:rPr>
                <w:u w:val="none"/>
              </w:rPr>
            </w:r>
            <w:r>
              <w:rPr>
                <w:rFonts w:ascii="Arial" w:hAnsi="Arial"/>
                <w:b w:val="0"/>
                <w:i w:val="0"/>
                <w:strike w:val="0"/>
                <w:color w:val="000000"/>
                <w:sz w:val="16"/>
                <w:u w:val="none"/>
              </w:rPr>
              <w:t>A-101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P13</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B-101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C-101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D-101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P49</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E-101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F-101</w:t>
            </w:r>
          </w:p>
        </w:tc>
        <w:tc>
          <w:tcPr>
            <w:tcW w:type="dxa" w:w="1040"/>
          </w:tcPr>
          <w:p>
            <w:pPr>
              <w:spacing w:after="0"/>
              <w:jc w:val="center"/>
            </w:pPr>
            <w:r>
              <w:rPr>
                <w:u w:val="none"/>
              </w:rPr>
            </w:r>
            <w:r>
              <w:rPr>
                <w:rFonts w:ascii="Arial" w:hAnsi="Arial"/>
                <w:b w:val="0"/>
                <w:i w:val="0"/>
                <w:strike w:val="0"/>
                <w:color w:val="000000"/>
                <w:sz w:val="16"/>
                <w:u w:val="none"/>
              </w:rPr>
              <w:t>E</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P71</w:t>
            </w:r>
          </w:p>
        </w:tc>
        <w:tc>
          <w:tcPr>
            <w:tcW w:type="dxa" w:w="1040"/>
          </w:tcPr>
          <w:p>
            <w:pPr>
              <w:spacing w:after="0"/>
              <w:jc w:val="center"/>
            </w:pPr>
            <w:r>
              <w:rPr>
                <w:u w:val="none"/>
              </w:rPr>
            </w:r>
            <w:r>
              <w:rPr>
                <w:rFonts w:ascii="Arial" w:hAnsi="Arial"/>
                <w:b w:val="0"/>
                <w:i w:val="0"/>
                <w:strike w:val="0"/>
                <w:color w:val="000000"/>
                <w:sz w:val="16"/>
                <w:u w:val="none"/>
              </w:rPr>
              <w:t>2049</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2255</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F-102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P70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A-102</w:t>
            </w:r>
          </w:p>
        </w:tc>
        <w:tc>
          <w:tcPr>
            <w:tcW w:type="dxa" w:w="1040"/>
          </w:tcPr>
          <w:p>
            <w:pPr>
              <w:spacing w:after="0"/>
              <w:jc w:val="center"/>
            </w:pPr>
            <w:r>
              <w:rPr>
                <w:u w:val="none"/>
              </w:rPr>
            </w:r>
            <w:r>
              <w:rPr>
                <w:rFonts w:ascii="Arial" w:hAnsi="Arial"/>
                <w:b w:val="0"/>
                <w:i w:val="0"/>
                <w:strike w:val="0"/>
                <w:color w:val="000000"/>
                <w:sz w:val="16"/>
                <w:u w:val="none"/>
              </w:rPr>
              <w:t>F</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P14</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B-102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P22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C-102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w:t>
            </w:r>
          </w:p>
        </w:tc>
        <w:tc>
          <w:tcPr>
            <w:tcW w:type="dxa" w:w="1040"/>
          </w:tcPr>
          <w:p>
            <w:pPr>
              <w:spacing w:after="0"/>
              <w:jc w:val="center"/>
            </w:pPr>
            <w:r>
              <w:rPr>
                <w:u w:val="none"/>
              </w:rPr>
            </w:r>
            <w:r>
              <w:rPr>
                <w:rFonts w:ascii="Arial" w:hAnsi="Arial"/>
                <w:b w:val="0"/>
                <w:i w:val="0"/>
                <w:strike w:val="0"/>
                <w:color w:val="000000"/>
                <w:sz w:val="16"/>
                <w:u w:val="none"/>
              </w:rPr>
              <w:t>P40</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D-102</w:t>
            </w:r>
          </w:p>
        </w:tc>
        <w:tc>
          <w:tcPr>
            <w:tcW w:type="dxa" w:w="1040"/>
          </w:tcPr>
          <w:p>
            <w:pPr>
              <w:spacing w:after="0"/>
              <w:jc w:val="center"/>
            </w:pPr>
            <w:r>
              <w:rPr>
                <w:u w:val="none"/>
              </w:rPr>
            </w:r>
            <w:r>
              <w:rPr>
                <w:rFonts w:ascii="Arial" w:hAnsi="Arial"/>
                <w:b w:val="0"/>
                <w:i w:val="0"/>
                <w:strike w:val="0"/>
                <w:color w:val="000000"/>
                <w:sz w:val="16"/>
                <w:u w:val="none"/>
              </w:rPr>
              <w:t>F</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P50</w:t>
            </w:r>
          </w:p>
        </w:tc>
        <w:tc>
          <w:tcPr>
            <w:tcW w:type="dxa" w:w="1040"/>
          </w:tcPr>
          <w:p>
            <w:pPr>
              <w:spacing w:after="0"/>
              <w:jc w:val="center"/>
            </w:pPr>
            <w:r>
              <w:rPr>
                <w:u w:val="none"/>
              </w:rPr>
            </w:r>
            <w:r>
              <w:rPr>
                <w:rFonts w:ascii="Arial" w:hAnsi="Arial"/>
                <w:b w:val="0"/>
                <w:i w:val="0"/>
                <w:strike w:val="0"/>
                <w:color w:val="000000"/>
                <w:sz w:val="16"/>
                <w:u w:val="none"/>
              </w:rPr>
              <w:t>2116</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2322</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t>E-102</w:t>
            </w:r>
          </w:p>
        </w:tc>
        <w:tc>
          <w:tcPr>
            <w:tcW w:type="dxa" w:w="1040"/>
          </w:tcPr>
          <w:p>
            <w:pPr>
              <w:spacing w:after="0"/>
              <w:jc w:val="center"/>
            </w:pPr>
            <w:r>
              <w:rPr>
                <w:u w:val="none"/>
              </w:rPr>
            </w:r>
            <w:r>
              <w:rPr>
                <w:rFonts w:ascii="Arial" w:hAnsi="Arial"/>
                <w:b w:val="0"/>
                <w:i w:val="0"/>
                <w:strike w:val="0"/>
                <w:color w:val="000000"/>
                <w:sz w:val="16"/>
                <w:u w:val="none"/>
              </w:rPr>
              <w:t>G</w:t>
            </w:r>
          </w:p>
        </w:tc>
        <w:tc>
          <w:tcPr>
            <w:tcW w:type="dxa" w:w="1040"/>
          </w:tcPr>
          <w:p>
            <w:pPr>
              <w:spacing w:after="0"/>
              <w:jc w:val="center"/>
            </w:pPr>
            <w:r>
              <w:rPr>
                <w:u w:val="none"/>
              </w:rPr>
            </w:r>
            <w:r>
              <w:rPr>
                <w:rFonts w:ascii="Arial" w:hAnsi="Arial"/>
                <w:b w:val="0"/>
                <w:i w:val="0"/>
                <w:strike w:val="0"/>
                <w:color w:val="000000"/>
                <w:sz w:val="16"/>
                <w:u w:val="none"/>
              </w:rPr>
              <w:t>II</w:t>
            </w:r>
          </w:p>
        </w:tc>
        <w:tc>
          <w:tcPr>
            <w:tcW w:type="dxa" w:w="1040"/>
          </w:tcPr>
          <w:p>
            <w:pPr>
              <w:spacing w:after="0"/>
              <w:jc w:val="center"/>
            </w:pPr>
            <w:r>
              <w:rPr>
                <w:u w:val="none"/>
              </w:rPr>
            </w:r>
            <w:r>
              <w:rPr>
                <w:rFonts w:ascii="Arial" w:hAnsi="Arial"/>
                <w:b w:val="0"/>
                <w:i w:val="0"/>
                <w:strike w:val="0"/>
                <w:color w:val="000000"/>
                <w:sz w:val="16"/>
                <w:u w:val="none"/>
              </w:rPr>
              <w:t>P62</w:t>
            </w:r>
          </w:p>
        </w:tc>
        <w:tc>
          <w:tcPr>
            <w:tcW w:type="dxa" w:w="1040"/>
          </w:tcPr>
          <w:p>
            <w:pPr>
              <w:spacing w:after="0"/>
              <w:jc w:val="center"/>
            </w:pPr>
            <w:r>
              <w:rPr>
                <w:u w:val="none"/>
              </w:rPr>
            </w:r>
            <w:r>
              <w:rPr>
                <w:rFonts w:ascii="Arial" w:hAnsi="Arial"/>
                <w:b w:val="0"/>
                <w:i w:val="0"/>
                <w:strike w:val="0"/>
                <w:color w:val="000000"/>
                <w:sz w:val="16"/>
                <w:u w:val="none"/>
              </w:rPr>
              <w:t>2088</w:t>
            </w:r>
          </w:p>
        </w:tc>
        <w:tc>
          <w:tcPr>
            <w:tcW w:type="dxa" w:w="1040"/>
          </w:tcPr>
          <w:p>
            <w:pPr>
              <w:spacing w:after="0"/>
              <w:jc w:val="center"/>
            </w:pPr>
            <w:r>
              <w:rPr>
                <w:u w:val="none"/>
              </w:rPr>
            </w:r>
            <w:r>
              <w:rPr>
                <w:rFonts w:ascii="Arial" w:hAnsi="Arial"/>
                <w:b w:val="0"/>
                <w:i w:val="0"/>
                <w:strike w:val="0"/>
                <w:color w:val="000000"/>
                <w:sz w:val="16"/>
                <w:u w:val="none"/>
              </w:rPr>
              <w:t>206</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2294</w:t>
            </w:r>
          </w:p>
        </w:tc>
        <w:tc>
          <w:tcPr>
            <w:tcW w:type="dxa" w:w="1040"/>
          </w:tcPr>
          <w:p>
            <w:pPr>
              <w:spacing w:after="0"/>
              <w:jc w:val="center"/>
            </w:pPr>
            <w:r>
              <w:rPr>
                <w:u w:val="none"/>
              </w:rPr>
            </w:r>
            <w:r>
              <w:rPr>
                <w:rFonts w:ascii="Arial" w:hAnsi="Arial"/>
                <w:b w:val="0"/>
                <w:i w:val="0"/>
                <w:strike w:val="0"/>
                <w:color w:val="000000"/>
                <w:sz w:val="16"/>
                <w:u w:val="none"/>
              </w:rPr>
              <w:t>1.9%</w:t>
            </w:r>
          </w:p>
        </w:tc>
      </w:tr>
      <w:tr>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i w:val="0"/>
                <w:strike w:val="0"/>
                <w:color w:val="000000"/>
                <w:sz w:val="16"/>
                <w:u w:val="none"/>
              </w:rPr>
              <w:t>Totals</w:t>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r>
          </w:p>
        </w:tc>
        <w:tc>
          <w:tcPr>
            <w:tcW w:type="dxa" w:w="1040"/>
          </w:tcPr>
          <w:p>
            <w:pPr>
              <w:spacing w:after="0"/>
              <w:jc w:val="center"/>
            </w:pPr>
            <w:r>
              <w:rPr>
                <w:u w:val="none"/>
              </w:rPr>
            </w:r>
            <w:r>
              <w:rPr>
                <w:rFonts w:ascii="Arial" w:hAnsi="Arial"/>
                <w:b w:val="0"/>
                <w:i w:val="0"/>
                <w:strike w:val="0"/>
                <w:color w:val="000000"/>
                <w:sz w:val="16"/>
                <w:u w:val="none"/>
              </w:rPr>
              <w:t>100.0%</w:t>
            </w:r>
          </w:p>
        </w:tc>
      </w:tr>
    </w:tbl>
    <w:p>
      <w:pPr>
        <w:keepNext w:val="0"/>
        <w:widowControl/>
        <w:jc w:val="both"/>
      </w:pPr>
    </w:p>
    <w:sectPr w:rsidR="00FC693F" w:rsidRPr="0006063C" w:rsidSect="00034616">
      <w:headerReference w:type="first" r:id="rId15"/>
      <w:headerReference w:type="default" r:id="rId14"/>
      <w:footerReference w:type="first" r:id="rId13"/>
      <w:footerReference w:type="default" r:id="rId13"/>
      <w:pgSz w:w="12240" w:h="15840"/>
      <w:pgMar w:top="1440" w:right="1512" w:bottom="1296" w:left="1656"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1</w:t>
      </w:r>
    </w:fldSimple>
    <w:r>
      <w:t xml:space="preserve"> of </w:t>
    </w:r>
    <w:fldSimple w:instr="NUMPAGES">
      <w:r>
        <w:t>1</w:t>
      </w:r>
    </w:fldSimple>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6"/>
        <w:color w:val="888888"/>
      </w:rPr>
      <w:t xml:space="preserve">For review navigation only — not part of the recorded document.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8"/>
      </w:rPr>
      <w:t xml:space="preserve">Page </w:t>
    </w:r>
    <w:fldSimple w:instr="PAGE">
      <w:r>
        <w:t>1</w:t>
      </w:r>
    </w:fldSimple>
    <w:r>
      <w:rPr>
        <w:sz w:val="18"/>
      </w:rPr>
      <w:t xml:space="preserve"> of 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strike w:val="0"/>
        <w:sz w:val="28"/>
        <w:u w:val="none"/>
      </w:rPr>
      <w:t>Declaration of Condominium Property Regime of Nā Hale O Mākena — REDLINE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 w:val="right" w:pos="9072"/>
      </w:tabs>
    </w:pPr>
    <w:r>
      <w:tab/>
    </w:r>
    <w:r>
      <w:rPr>
        <w:b/>
        <w:sz w:val="20"/>
      </w:rPr>
      <w:t xml:space="preserve">Declaration of Condominium Property Regime of Nā Hale O Mākena</w:t>
    </w:r>
    <w:r>
      <w:tab/>
    </w:r>
    <w:hyperlink w:anchor="navtop">
      <w:r>
        <w:rPr>
          <w:u w:val="single"/>
          <w:color w:val="1D4ED8"/>
          <w:sz w:val="18"/>
        </w:rPr>
        <w:t xml:space="preserve">Return to Contents</w:t>
      </w:r>
    </w:hyperlink>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