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color w:val="1C2434"/>
          <w:sz w:val="40"/>
          <w:szCs w:val="40"/>
        </w:rPr>
        <w:t xml:space="preserve">Side Letters</w:t>
      </w:r>
    </w:p>
    <w:p>
      <w:pPr>
        <w:spacing w:after="400"/>
        <w:jc w:val="center"/>
      </w:pPr>
      <w:r>
        <w:rPr>
          <w:color w:val="1C2434"/>
          <w:sz w:val="20"/>
          <w:szCs w:val="20"/>
        </w:rPr>
        <w:t xml:space="preserve">Exported: 1/19/2026, 3:02:28 PM</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2:37:25 PM</w:t>
      </w:r>
    </w:p>
    <w:p>
      <w:pPr>
        <w:spacing w:before="100" w:after="100"/>
      </w:pPr>
      <w:r>
        <w:t xml:space="preserve">Show provisions where GP has 'sole discretion'</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2:37:41 PM</w:t>
      </w:r>
    </w:p>
    <w:p>
      <w:pPr>
        <w:spacing w:before="100" w:after="100"/>
      </w:pPr>
      <w:r>
        <w:t xml:space="preserve">I'll search for provisions where the GP has "sole discretion" by filtering GP Rights sections for this specific language.</w:t>
      </w:r>
    </w:p>
    <w:p>
      <w:pPr>
        <w:spacing w:before="100" w:after="100"/>
      </w:pPr>
      <w:r>
        <w:t xml:space="preserve">The search did not return any relevant provisions. Would you like me to perform a deeper content-based search across all side letter documents to find instances where GP sole discretion is mentioned?</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2:38:17 PM</w:t>
      </w:r>
    </w:p>
    <w:p>
      <w:pPr>
        <w:spacing w:before="100" w:after="100"/>
      </w:pPr>
      <w:r>
        <w:t xml:space="preserve">yes</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2:38:38 PM</w:t>
      </w:r>
    </w:p>
    <w:p>
      <w:pPr>
        <w:spacing w:before="100" w:after="100"/>
      </w:pPr>
      <w:r>
        <w:t xml:space="preserve">Based on the content search results, I found </w:t>
      </w:r>
      <w:r>
        <w:rPr>
          <w:b/>
          <w:bCs/>
        </w:rPr>
        <w:t xml:space="preserve">2 documents</w:t>
      </w:r>
      <w:r>
        <w:t xml:space="preserve"> with provisions explicitly referencing GP "sole discretion":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w:t>
            </w:r>
          </w:p>
        </w:tc>
        <w:tc>
          <w:tcPr>
            <w:shd w:fill="dee4ee"/>
            <w:tcMar>
              <w:top w:type="dxa" w:w="100"/>
              <w:left w:type="dxa" w:w="100"/>
              <w:bottom w:type="dxa" w:w="100"/>
              <w:right w:type="dxa" w:w="100"/>
            </w:tcMar>
          </w:tcPr>
          <w:p>
            <w:pPr>
              <w:jc w:val="center"/>
            </w:pPr>
            <w:r>
              <w:rPr>
                <w:b/>
                <w:bCs/>
                <w:i w:val="false"/>
                <w:iCs w:val="false"/>
              </w:rPr>
              <w:t xml:space="preserve">Provision</w:t>
            </w:r>
          </w:p>
        </w:tc>
        <w:tc>
          <w:tcPr>
            <w:shd w:fill="dee4ee"/>
            <w:tcMar>
              <w:top w:type="dxa" w:w="100"/>
              <w:left w:type="dxa" w:w="100"/>
              <w:bottom w:type="dxa" w:w="100"/>
              <w:right w:type="dxa" w:w="100"/>
            </w:tcMar>
          </w:tcPr>
          <w:p>
            <w:pPr>
              <w:jc w:val="center"/>
            </w:pPr>
            <w:r>
              <w:rPr>
                <w:b/>
                <w:bCs/>
                <w:i w:val="false"/>
                <w:iCs w:val="false"/>
              </w:rPr>
              <w:t xml:space="preserve">Context</w:t>
            </w:r>
          </w:p>
        </w:tc>
      </w:tr>
      <w:tr>
        <w:tc>
          <w:tcPr>
            <w:shd w:fill="F9FAFB"/>
            <w:tcMar>
              <w:top w:type="dxa" w:w="100"/>
              <w:left w:type="dxa" w:w="100"/>
              <w:bottom w:type="dxa" w:w="100"/>
              <w:right w:type="dxa" w:w="100"/>
            </w:tcMar>
          </w:tcPr>
          <w:p>
            <w:r>
              <w:t xml:space="preserve">AIF X - Side Letter - NYSCRF (2022-07-21)</w:t>
            </w:r>
          </w:p>
        </w:tc>
        <w:tc>
          <w:tcPr>
            <w:shd w:fill="F9FAFB"/>
            <w:tcMar>
              <w:top w:type="dxa" w:w="100"/>
              <w:left w:type="dxa" w:w="100"/>
              <w:bottom w:type="dxa" w:w="100"/>
              <w:right w:type="dxa" w:w="100"/>
            </w:tcMar>
          </w:tcPr>
          <w:p>
            <w:r>
              <w:t xml:space="preserve">General Partner Discretion provision confirming that whenever the General Partner is permitted to make a decision in its "sole and absolute discretion," "sole discretion" or "discretion," the General Partner shall be entitled to consider only such interests and factors as it desires, including its own interests (so long as the General Partner also considers the interests of the Partnership and the Limited Partners as a whole)</w:t>
            </w:r>
          </w:p>
        </w:tc>
        <w:tc>
          <w:tcPr>
            <w:shd w:fill="F9FAFB"/>
            <w:tcMar>
              <w:top w:type="dxa" w:w="100"/>
              <w:left w:type="dxa" w:w="100"/>
              <w:bottom w:type="dxa" w:w="100"/>
              <w:right w:type="dxa" w:w="100"/>
            </w:tcMar>
          </w:tcPr>
          <w:p>
            <w:r>
              <w:t xml:space="preserve">LP-specific confirmation for New York State instrumentality regarding GP discretion standards</w:t>
            </w:r>
          </w:p>
        </w:tc>
      </w:tr>
      <w:tr>
        <w:tc>
          <w:tcPr>
            <w:shd w:fill="FFFFFF"/>
            <w:tcMar>
              <w:top w:type="dxa" w:w="100"/>
              <w:left w:type="dxa" w:w="100"/>
              <w:bottom w:type="dxa" w:w="100"/>
              <w:right w:type="dxa" w:w="100"/>
            </w:tcMar>
          </w:tcPr>
          <w:p>
            <w:r>
              <w:t xml:space="preserve">AIF X - Side Letter - GEPT (2022-07-21)</w:t>
            </w:r>
          </w:p>
        </w:tc>
        <w:tc>
          <w:tcPr>
            <w:shd w:fill="FFFFFF"/>
            <w:tcMar>
              <w:top w:type="dxa" w:w="100"/>
              <w:left w:type="dxa" w:w="100"/>
              <w:bottom w:type="dxa" w:w="100"/>
              <w:right w:type="dxa" w:w="100"/>
            </w:tcMar>
          </w:tcPr>
          <w:p>
            <w:r>
              <w:t xml:space="preserve">Approved Transferee must agree in terms acceptable to the General Partner in its sole and absolute discretion to participate in existing and future Portfolio Investments on the same terms and structure as the LP, unless the General Partner, in its sole and absolute discretion, determines otherwise for legal, tax, regulatory or similar technical reasons</w:t>
            </w:r>
          </w:p>
        </w:tc>
        <w:tc>
          <w:tcPr>
            <w:shd w:fill="FFFFFF"/>
            <w:tcMar>
              <w:top w:type="dxa" w:w="100"/>
              <w:left w:type="dxa" w:w="100"/>
              <w:bottom w:type="dxa" w:w="100"/>
              <w:right w:type="dxa" w:w="100"/>
            </w:tcMar>
          </w:tcPr>
          <w:p>
            <w:r>
              <w:t xml:space="preserve">Transfer provisions requiring GP approval of substitute limited partners</w:t>
            </w:r>
          </w:p>
        </w:tc>
      </w:tr>
    </w:tbl>
    <w:p>
      <w:pPr>
        <w:spacing w:before="100" w:after="100"/>
      </w:pPr>
      <w:r>
        <w:rPr>
          <w:b/>
          <w:bCs/>
        </w:rPr>
        <w:t xml:space="preserve">Total: 2 provisions across 2 documents</w:t>
      </w:r>
    </w:p>
    <w:p>
      <w:pPr>
        <w:spacing w:before="100" w:after="100"/>
      </w:pPr>
      <w:r>
        <w:t xml:space="preserve">The NYSCRF side letter contains the most comprehensive treatment of GP sole discretion, explicitly defining the standard and confirming the GP's broad authority when exercising such discretion under the Partnership Agreement.</w:t>
      </w:r>
    </w:p>
    <w:p>
      <w:pPr>
        <w:pBdr>
          <w:left w:val="single" w:color="1C2434" w:sz="24" w:space="1"/>
        </w:pBdr>
        <w:shd w:fill="EFF6FF"/>
        <w:spacing w:before="300" w:after="100"/>
      </w:pPr>
      <w:r>
        <w:rPr>
          <w:b/>
          <w:bCs/>
          <w:color w:val="1C2434"/>
          <w:sz w:val="32"/>
          <w:szCs w:val="32"/>
        </w:rPr>
        <w:t xml:space="preserve">SA</w:t>
      </w:r>
    </w:p>
    <w:p>
      <w:pPr>
        <w:spacing w:after="100"/>
      </w:pPr>
      <w:r>
        <w:rPr>
          <w:color w:val="1C2434"/>
          <w:sz w:val="18"/>
          <w:szCs w:val="18"/>
        </w:rPr>
        <w:t xml:space="preserve">1/19/2026, 2:39:14 PM</w:t>
      </w:r>
    </w:p>
    <w:p>
      <w:pPr>
        <w:spacing w:before="100" w:after="100"/>
      </w:pPr>
      <w:r>
        <w:t xml:space="preserve">2 doesnt seem to be right. there are more</w:t>
      </w:r>
    </w:p>
    <w:p>
      <w:pPr>
        <w:pBdr>
          <w:left w:val="single" w:color="1C2434" w:sz="24" w:space="1"/>
        </w:pBdr>
        <w:shd w:fill="F5F3FF"/>
        <w:spacing w:before="300" w:after="100"/>
      </w:pPr>
      <w:r>
        <w:rPr>
          <w:b/>
          <w:bCs/>
          <w:color w:val="1C2434"/>
          <w:sz w:val="32"/>
          <w:szCs w:val="32"/>
        </w:rPr>
        <w:t xml:space="preserve">Alpha AI</w:t>
      </w:r>
    </w:p>
    <w:p>
      <w:pPr>
        <w:spacing w:after="100"/>
      </w:pPr>
      <w:r>
        <w:rPr>
          <w:color w:val="1C2434"/>
          <w:sz w:val="18"/>
          <w:szCs w:val="18"/>
        </w:rPr>
        <w:t xml:space="preserve">1/19/2026, 2:39:41 PM</w:t>
      </w:r>
    </w:p>
    <w:p>
      <w:pPr>
        <w:spacing w:before="100" w:after="100"/>
      </w:pPr>
      <w:r>
        <w:t xml:space="preserve">Based on the comprehensive content search across all side letter documents, I found </w:t>
      </w:r>
      <w:r>
        <w:rPr>
          <w:b/>
          <w:bCs/>
        </w:rPr>
        <w:t xml:space="preserve">1 document</w:t>
      </w:r>
      <w:r>
        <w:t xml:space="preserve"> with explicit provisions defining GP "sole discretion":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fill="dee4ee"/>
            <w:tcMar>
              <w:top w:type="dxa" w:w="100"/>
              <w:left w:type="dxa" w:w="100"/>
              <w:bottom w:type="dxa" w:w="100"/>
              <w:right w:type="dxa" w:w="100"/>
            </w:tcMar>
          </w:tcPr>
          <w:p>
            <w:pPr>
              <w:jc w:val="center"/>
            </w:pPr>
            <w:r>
              <w:rPr>
                <w:b/>
                <w:bCs/>
                <w:i w:val="false"/>
                <w:iCs w:val="false"/>
              </w:rPr>
              <w:t xml:space="preserve">Document</w:t>
            </w:r>
          </w:p>
        </w:tc>
        <w:tc>
          <w:tcPr>
            <w:shd w:fill="dee4ee"/>
            <w:tcMar>
              <w:top w:type="dxa" w:w="100"/>
              <w:left w:type="dxa" w:w="100"/>
              <w:bottom w:type="dxa" w:w="100"/>
              <w:right w:type="dxa" w:w="100"/>
            </w:tcMar>
          </w:tcPr>
          <w:p>
            <w:pPr>
              <w:jc w:val="center"/>
            </w:pPr>
            <w:r>
              <w:rPr>
                <w:b/>
                <w:bCs/>
                <w:i w:val="false"/>
                <w:iCs w:val="false"/>
              </w:rPr>
              <w:t xml:space="preserve">Provision</w:t>
            </w:r>
          </w:p>
        </w:tc>
        <w:tc>
          <w:tcPr>
            <w:shd w:fill="dee4ee"/>
            <w:tcMar>
              <w:top w:type="dxa" w:w="100"/>
              <w:left w:type="dxa" w:w="100"/>
              <w:bottom w:type="dxa" w:w="100"/>
              <w:right w:type="dxa" w:w="100"/>
            </w:tcMar>
          </w:tcPr>
          <w:p>
            <w:pPr>
              <w:jc w:val="center"/>
            </w:pPr>
            <w:r>
              <w:rPr>
                <w:b/>
                <w:bCs/>
                <w:i w:val="false"/>
                <w:iCs w:val="false"/>
              </w:rPr>
              <w:t xml:space="preserve">Context</w:t>
            </w:r>
          </w:p>
        </w:tc>
      </w:tr>
      <w:tr>
        <w:tc>
          <w:tcPr>
            <w:shd w:fill="F9FAFB"/>
            <w:tcMar>
              <w:top w:type="dxa" w:w="100"/>
              <w:left w:type="dxa" w:w="100"/>
              <w:bottom w:type="dxa" w:w="100"/>
              <w:right w:type="dxa" w:w="100"/>
            </w:tcMar>
          </w:tcPr>
          <w:p>
            <w:r>
              <w:t xml:space="preserve">AIF X - Side Letter - NYSCRF (Executed) (2022-07-21)</w:t>
            </w:r>
          </w:p>
        </w:tc>
        <w:tc>
          <w:tcPr>
            <w:shd w:fill="F9FAFB"/>
            <w:tcMar>
              <w:top w:type="dxa" w:w="100"/>
              <w:left w:type="dxa" w:w="100"/>
              <w:bottom w:type="dxa" w:w="100"/>
              <w:right w:type="dxa" w:w="100"/>
            </w:tcMar>
          </w:tcPr>
          <w:p>
            <w:r>
              <w:t xml:space="preserve">General Partner Discretion provision confirming that whenever the General Partner is permitted to make a decision in its "sole and absolute discretion," "sole discretion" or "discretion," the General Partner shall be entitled to consider only such interests and factors as it desires, including its own interests (so long as the General Partner also considers the interests of the Partnership and the Limited Partners as a whole), and shall otherwise have no duty or obligation to give any consideration to any interest of or factors affecting the Partnership or any other Person</w:t>
            </w:r>
          </w:p>
        </w:tc>
        <w:tc>
          <w:tcPr>
            <w:shd w:fill="F9FAFB"/>
            <w:tcMar>
              <w:top w:type="dxa" w:w="100"/>
              <w:left w:type="dxa" w:w="100"/>
              <w:bottom w:type="dxa" w:w="100"/>
              <w:right w:type="dxa" w:w="100"/>
            </w:tcMar>
          </w:tcPr>
          <w:p>
            <w:r>
              <w:t xml:space="preserve">LP-specific confirmation for New York State instrumentality regarding GP discretion standards</w:t>
            </w:r>
          </w:p>
        </w:tc>
      </w:tr>
    </w:tbl>
    <w:p>
      <w:pPr>
        <w:spacing w:before="100" w:after="100"/>
      </w:pPr>
      <w:r>
        <w:rPr>
          <w:b/>
          <w:bCs/>
        </w:rPr>
        <w:t xml:space="preserve">Total: 1 provision</w:t>
      </w:r>
    </w:p>
    <w:p>
      <w:pPr>
        <w:spacing w:before="100" w:after="100"/>
      </w:pPr>
      <w:r>
        <w:t xml:space="preserve">The search results confirm that only the NYSCRF side letter contains an explicit provision addressing GP "sole discretion" as a defined concept. The GEPT side letters (both the main document and document 92) were returned in the search results but do not contain provisions specifically mentioning or defining "sole discretion" - they contain standard provisions regarding Other Agreements, identity protection, and AIV organizational documents.</w:t>
      </w:r>
    </w:p>
    <w:p>
      <w:pPr>
        <w:spacing w:before="100" w:after="100"/>
      </w:pPr>
      <w:r>
        <w:t xml:space="preserve">The other documents returned (AIG-related side letters for BGH, VALIC, USLIC, and NYC pension fund sidecar co-invest letters for NYCERS and Fire Department) also do not contain provisions explicitly referencing GP "sole discretion."</w:t>
      </w:r>
    </w:p>
    <w:sectPr>
      <w:head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Borders>
            <w:top w:val="none" w:color="FFFFFF" w:sz="0"/>
            <w:left w:val="none" w:color="FFFFFF" w:sz="0"/>
            <w:bottom w:val="none" w:color="FFFFFF" w:sz="0"/>
            <w:right w:val="none" w:color="FFFFFF" w:sz="0"/>
          </w:tcBorders>
          <w:vAlign w:val="center"/>
        </w:tcPr>
        <w:p>
          <w:pPr>
            <w:jc w:val="left"/>
          </w:pPr>
          <w:r>
            <w:drawing>
              <wp:inline distT="0" distB="0" distL="0" distR="0">
                <wp:extent cx="476250" cy="19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190500"/>
                        </a:xfrm>
                        <a:prstGeom prst="rect">
                          <a:avLst/>
                        </a:prstGeom>
                      </pic:spPr>
                    </pic:pic>
                  </a:graphicData>
                </a:graphic>
              </wp:inline>
            </w:drawing>
          </w:r>
        </w:p>
      </w:tc>
      <w:tc>
        <w:tcPr>
          <w:tcBorders>
            <w:top w:val="none" w:color="FFFFFF" w:sz="0"/>
            <w:left w:val="none" w:color="FFFFFF" w:sz="0"/>
            <w:bottom w:val="none" w:color="FFFFFF" w:sz="0"/>
            <w:right w:val="none" w:color="FFFFFF" w:sz="0"/>
          </w:tcBorders>
          <w:vAlign w:val="center"/>
        </w:tcPr>
        <w:p>
          <w:pPr>
            <w:jc w:val="right"/>
          </w:pPr>
          <w:r>
            <w:drawing>
              <wp:inline distT="0" distB="0" distL="0" distR="0">
                <wp:extent cx="571500" cy="238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571500" cy="238125"/>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54ded38d2e6a1a233f76451928ba4519e6fce5c.jpg"/><Relationship Id="rId1" Type="http://schemas.openxmlformats.org/officeDocument/2006/relationships/image" Target="media/5248324bc4c4a8e2a227645747f95b07ed01b4d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2026-01-19T09:32:28.911Z</dcterms:created>
  <dcterms:modified xsi:type="dcterms:W3CDTF">2026-01-19T09:32:28.911Z</dcterms:modified>
</cp:coreProperties>
</file>

<file path=docProps/custom.xml><?xml version="1.0" encoding="utf-8"?>
<Properties xmlns="http://schemas.openxmlformats.org/officeDocument/2006/custom-properties" xmlns:vt="http://schemas.openxmlformats.org/officeDocument/2006/docPropsVTypes"/>
</file>