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1/19/2026, 6:58:32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5:48:04 PM</w:t>
      </w:r>
    </w:p>
    <w:p>
      <w:pPr>
        <w:spacing w:before="100" w:after="100"/>
      </w:pPr>
      <w:r>
        <w:t xml:space="preserve">If i ask a question regarding side letters, how many documents will you analyze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5:48:21 PM</w:t>
      </w:r>
    </w:p>
    <w:p>
      <w:pPr>
        <w:spacing w:before="100" w:after="100"/>
      </w:pPr>
      <w:r>
        <w:t xml:space="preserve">Searching for the total number of side letter documents available in the database.</w:t>
      </w:r>
    </w:p>
    <w:p>
      <w:pPr>
        <w:spacing w:before="100" w:after="100"/>
      </w:pPr>
      <w:r>
        <w:rPr>
          <w:b/>
          <w:bCs/>
        </w:rPr>
        <w:t xml:space="preserve">212 documents</w:t>
      </w:r>
    </w:p>
    <w:p>
      <w:pPr>
        <w:spacing w:before="100" w:after="100"/>
      </w:pPr>
      <w:r>
        <w:t xml:space="preserve">This is the total number of side letter documents available for analysis when you ask questions about side letters.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6:41:27 PM</w:t>
      </w:r>
    </w:p>
    <w:p>
      <w:pPr>
        <w:spacing w:before="100" w:after="100"/>
      </w:pPr>
      <w:r>
        <w:t xml:space="preserve">Pull all litigation provisions and organize by most recently executed along with the investor name and executed date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6:42:01 PM</w:t>
      </w:r>
    </w:p>
    <w:p>
      <w:pPr>
        <w:spacing w:before="100" w:after="100"/>
      </w:pPr>
      <w:r>
        <w:t xml:space="preserve">Searching for litigation provisions related to proceedings against the fund, ordered by most recent execution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Provision Text</w:t>
            </w:r>
          </w:p>
        </w:tc>
        <w:tc>
          <w:tcPr>
            <w:shd w:fill="dee4ee"/>
            <w:tcMar>
              <w:top w:type="dxa" w:w="100"/>
              <w:left w:type="dxa" w:w="100"/>
              <w:bottom w:type="dxa" w:w="100"/>
              <w:right w:type="dxa" w:w="100"/>
            </w:tcMar>
          </w:tcPr>
          <w:p>
            <w:pPr>
              <w:jc w:val="center"/>
            </w:pPr>
            <w:r>
              <w:rPr>
                <w:b/>
                <w:bCs/>
                <w:i w:val="false"/>
                <w:iCs w:val="false"/>
              </w:rPr>
              <w:t xml:space="preserve">Executed Date</w:t>
            </w:r>
          </w:p>
        </w:tc>
      </w:tr>
      <w:tr>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General Partner must report legal, regulatory investigations and litigation outcomes to Advisory Board as soon as reasonably practicable.</w:t>
            </w:r>
          </w:p>
        </w:tc>
        <w:tc>
          <w:tcPr>
            <w:shd w:fill="F9FAFB"/>
            <w:tcMar>
              <w:top w:type="dxa" w:w="100"/>
              <w:left w:type="dxa" w:w="100"/>
              <w:bottom w:type="dxa" w:w="100"/>
              <w:right w:type="dxa" w:w="100"/>
            </w:tcMar>
          </w:tcPr>
          <w:p>
            <w:r>
              <w:t xml:space="preserve">March 30, 2023</w:t>
            </w:r>
          </w:p>
        </w:tc>
      </w:tr>
      <w:tr>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General Partner must report legal, regulatory investigations, litigation outcomes, and bankruptcy-related matters to Advisory Board when material or required.</w:t>
            </w:r>
          </w:p>
        </w:tc>
        <w:tc>
          <w:tcPr>
            <w:shd w:fill="FFFFFF"/>
            <w:tcMar>
              <w:top w:type="dxa" w:w="100"/>
              <w:left w:type="dxa" w:w="100"/>
              <w:bottom w:type="dxa" w:w="100"/>
              <w:right w:type="dxa" w:w="100"/>
            </w:tcMar>
          </w:tcPr>
          <w:p>
            <w:r>
              <w:t xml:space="preserve">March 30, 2023</w:t>
            </w:r>
          </w:p>
        </w:tc>
      </w:tr>
      <w:tr>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 managers or other similar officers appointed in respect of such counterparties or any of their assets. If, as a result of any court decision or order or similar development in New Hampshire public disclosure law, the LP advises the General Partner that it is reasonably likely to be required to disclose information provided by the General Partner regarding the Partnership's portfolio companies, or to the extent that the Partnership Agreement</w:t>
            </w:r>
          </w:p>
        </w:tc>
        <w:tc>
          <w:tcPr>
            <w:shd w:fill="F9FAFB"/>
            <w:tcMar>
              <w:top w:type="dxa" w:w="100"/>
              <w:left w:type="dxa" w:w="100"/>
              <w:bottom w:type="dxa" w:w="100"/>
              <w:right w:type="dxa" w:w="100"/>
            </w:tcMar>
          </w:tcPr>
          <w:p>
            <w:r>
              <w:t xml:space="preserve">June 30, 2023</w:t>
            </w:r>
          </w:p>
        </w:tc>
      </w:tr>
      <w:tr>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Investment Manager confirms no material legal actions exist and no indemnification payments have been made. The investment manager further confirms that it will notify the Investor as soon as reasonably practicable of any material litigation that could adversely affect the investment manager.</w:t>
            </w:r>
          </w:p>
        </w:tc>
        <w:tc>
          <w:tcPr>
            <w:shd w:fill="FFFFFF"/>
            <w:tcMar>
              <w:top w:type="dxa" w:w="100"/>
              <w:left w:type="dxa" w:w="100"/>
              <w:bottom w:type="dxa" w:w="100"/>
              <w:right w:type="dxa" w:w="100"/>
            </w:tcMar>
          </w:tcPr>
          <w:p>
            <w:r>
              <w:t xml:space="preserve">April [ ], 2023</w:t>
            </w:r>
          </w:p>
        </w:tc>
      </w:tr>
      <w:tr>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ICLOP III</w:t>
            </w:r>
          </w:p>
        </w:tc>
        <w:tc>
          <w:tcPr>
            <w:shd w:fill="F9FAFB"/>
            <w:tcMar>
              <w:top w:type="dxa" w:w="100"/>
              <w:left w:type="dxa" w:w="100"/>
              <w:bottom w:type="dxa" w:w="100"/>
              <w:right w:type="dxa" w:w="100"/>
            </w:tcMar>
          </w:tcPr>
          <w:p>
            <w:r>
              <w:t xml:space="preserve">General Partner must notify Investor of enforcement actions or prosecutions against the Fund.</w:t>
            </w:r>
          </w:p>
        </w:tc>
        <w:tc>
          <w:tcPr>
            <w:shd w:fill="F9FAFB"/>
            <w:tcMar>
              <w:top w:type="dxa" w:w="100"/>
              <w:left w:type="dxa" w:w="100"/>
              <w:bottom w:type="dxa" w:w="100"/>
              <w:right w:type="dxa" w:w="100"/>
            </w:tcMar>
          </w:tcPr>
          <w:p>
            <w:r>
              <w:t xml:space="preserve">November 3, 2022</w:t>
            </w:r>
          </w:p>
        </w:tc>
      </w:tr>
      <w:tr>
        <w:tc>
          <w:tcPr>
            <w:shd w:fill="FFFFFF"/>
            <w:tcMar>
              <w:top w:type="dxa" w:w="100"/>
              <w:left w:type="dxa" w:w="100"/>
              <w:bottom w:type="dxa" w:w="100"/>
              <w:right w:type="dxa" w:w="100"/>
            </w:tcMar>
          </w:tcPr>
          <w:p>
            <w:r>
              <w:t xml:space="preserve">National Nominees Limited ANF CARE Super Pty Ltd ATF CARE Super (A/C CRADIP)</w:t>
            </w:r>
          </w:p>
        </w:tc>
        <w:tc>
          <w:tcPr>
            <w:shd w:fill="FFFFFF"/>
            <w:tcMar>
              <w:top w:type="dxa" w:w="100"/>
              <w:left w:type="dxa" w:w="100"/>
              <w:bottom w:type="dxa" w:w="100"/>
              <w:right w:type="dxa" w:w="100"/>
            </w:tcMar>
          </w:tcPr>
          <w:p>
            <w:r>
              <w:t xml:space="preserve">Apollo/Athene Dedicated Investment Program</w:t>
            </w:r>
          </w:p>
        </w:tc>
        <w:tc>
          <w:tcPr>
            <w:shd w:fill="FFFFFF"/>
            <w:tcMar>
              <w:top w:type="dxa" w:w="100"/>
              <w:left w:type="dxa" w:w="100"/>
              <w:bottom w:type="dxa" w:w="100"/>
              <w:right w:type="dxa" w:w="100"/>
            </w:tcMar>
          </w:tcPr>
          <w:p>
            <w:r>
              <w:t xml:space="preserve">The General Partner confirms no pending or threatened actions affecting its ability to perform duties.</w:t>
            </w:r>
          </w:p>
        </w:tc>
        <w:tc>
          <w:tcPr>
            <w:shd w:fill="FFFFFF"/>
            <w:tcMar>
              <w:top w:type="dxa" w:w="100"/>
              <w:left w:type="dxa" w:w="100"/>
              <w:bottom w:type="dxa" w:w="100"/>
              <w:right w:type="dxa" w:w="100"/>
            </w:tcMar>
          </w:tcPr>
          <w:p>
            <w:r>
              <w:t xml:space="preserve">July 21, 2022</w:t>
            </w:r>
          </w:p>
        </w:tc>
      </w:tr>
      <w:tr>
        <w:tc>
          <w:tcPr>
            <w:shd w:fill="F9FAFB"/>
            <w:tcMar>
              <w:top w:type="dxa" w:w="100"/>
              <w:left w:type="dxa" w:w="100"/>
              <w:bottom w:type="dxa" w:w="100"/>
              <w:right w:type="dxa" w:w="100"/>
            </w:tcMar>
          </w:tcPr>
          <w:p>
            <w:r>
              <w:t xml:space="preserve">The 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report significant legal or regulatory actions affecting the Partnership to the Advisory Board.</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Yuhaviatam, LLC</w:t>
            </w:r>
          </w:p>
        </w:tc>
        <w:tc>
          <w:tcPr>
            <w:shd w:fill="FFFFFF"/>
            <w:tcMar>
              <w:top w:type="dxa" w:w="100"/>
              <w:left w:type="dxa" w:w="100"/>
              <w:bottom w:type="dxa" w:w="100"/>
              <w:right w:type="dxa" w:w="100"/>
            </w:tcMar>
          </w:tcPr>
          <w:p>
            <w:r>
              <w:t xml:space="preserve">Kayne CLO Partners Fund I, L.P.</w:t>
            </w:r>
          </w:p>
        </w:tc>
        <w:tc>
          <w:tcPr>
            <w:shd w:fill="FFFFFF"/>
            <w:tcMar>
              <w:top w:type="dxa" w:w="100"/>
              <w:left w:type="dxa" w:w="100"/>
              <w:bottom w:type="dxa" w:w="100"/>
              <w:right w:type="dxa" w:w="100"/>
            </w:tcMar>
          </w:tcPr>
          <w:p>
            <w:r>
              <w:t xml:space="preserve">The General Partner must notify the Investor of legal actions against the Partnership or related entities.</w:t>
            </w:r>
          </w:p>
        </w:tc>
        <w:tc>
          <w:tcPr>
            <w:shd w:fill="FFFFFF"/>
            <w:tcMar>
              <w:top w:type="dxa" w:w="100"/>
              <w:left w:type="dxa" w:w="100"/>
              <w:bottom w:type="dxa" w:w="100"/>
              <w:right w:type="dxa" w:w="100"/>
            </w:tcMar>
          </w:tcPr>
          <w:p>
            <w:r>
              <w:t xml:space="preserve">December 15, 2017</w:t>
            </w:r>
          </w:p>
        </w:tc>
      </w:tr>
    </w:tbl>
    <w:p>
      <w:pPr>
        <w:spacing w:before="100" w:after="100"/>
      </w:pPr>
      <w:r>
        <w:rPr>
          <w:b/>
          <w:bCs/>
        </w:rPr>
        <w:t xml:space="preserve">Total: 8 litigation provisions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6:43:01 PM</w:t>
      </w:r>
    </w:p>
    <w:p>
      <w:pPr>
        <w:spacing w:before="100" w:after="100"/>
      </w:pPr>
      <w:r>
        <w:t xml:space="preserve">provide as is text present in all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6:44:33 PM</w:t>
      </w:r>
    </w:p>
    <w:p>
      <w:pPr>
        <w:spacing w:before="100" w:after="100"/>
      </w:pPr>
      <w:r>
        <w:t xml:space="preserve">Searching for litigation provisions with complete as-is text, ordered by most recent execution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Executed Date</w:t>
            </w:r>
          </w:p>
        </w:tc>
        <w:tc>
          <w:tcPr>
            <w:shd w:fill="dee4ee"/>
            <w:tcMar>
              <w:top w:type="dxa" w:w="100"/>
              <w:left w:type="dxa" w:w="100"/>
              <w:bottom w:type="dxa" w:w="100"/>
              <w:right w:type="dxa" w:w="100"/>
            </w:tcMar>
          </w:tcPr>
          <w:p>
            <w:pPr>
              <w:jc w:val="center"/>
            </w:pPr>
            <w:r>
              <w:rPr>
                <w:b/>
                <w:bCs/>
                <w:i w:val="false"/>
                <w:iCs w:val="false"/>
              </w:rPr>
              <w:t xml:space="preserve">Provision Text (As-Is)</w:t>
            </w:r>
          </w:p>
        </w:tc>
      </w:tr>
      <w:tr>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10. Litigation. The General Partner hereby represents that as of the date that is immediately prior to the Effective Date and to its knowledge as of the date of the Effective Date, except as previously disclosed in writing to the LP on or prior to the date that is immediately prior to the Effective Date (including, without limitation, through posting on the Partnership's web portal and/or in any public filing made by a member of the Apollo Group thereof with the SEC, the U.S. Commodity Futures Trading Commission or the National Futures Association, including, for the avoidance of doubt, Form ADV filed by Apollo Management, L.P. with the SEC), and subject to the LP's acknowledgment in the final sentence of this Paragraph 10, (a) there are no actions, proceedings or investigations pending or, to its knowledge, threatened against or affecting the General Partner or the Partnership, and (b) other than with respect to various proceedings initiated from time to time against certain principals and Affiliates of the General Partner (collectively, "GP Persons") in connection with Investments, service as a member of a board of a portfolio company, portfolio company recapitalizations, mergers, restructurings, purchases, sales, and other transactions and generally relative to consideration and "pricing" issues, none of which have been determined adversely to any of such GP Persons, whether by judicial findings, consents, decrees or monetary settlements, during the preceding five years, none of such GP Persons has been the subject of (or settled) any actual action, suit, arbitration, legal, administrative or other governmental investigation, inquiry or proceeding (whether United States federal, state, local or non-United States) that, in the case of each of (a) and (b), (i) is reasonably likely to adversely affect the ability of any such GP Person to be actively involved in the investment decisions of the Partnership or to otherwise act on behalf of the General Partner, (ii) is reasonably likely to adversely affect the ability of the General Partner to discharge any of its duties or obligations under the Partnership Agreement, (iii) challenges the validity or purpose of the Partnership, (iv) is reasonably likely to materially and adversely affect the operations, properties or business of the General Partner or the Partnership, or (v) involves claims or allegations that have a material likelihood of resulting in a finding or admission that one or more of such GP Persons is guilty of fraud, misrepresentation or violation of any United States federal, state or securities law, rule or regulation and such finding or admission is reasonably likely to have a material adverse effect on the operations, Investments or business of the General Partner or the Partnership. The 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 managers or other similar officers appointed in respect of such counterparties or any of their assets.</w:t>
            </w:r>
          </w:p>
        </w:tc>
      </w:tr>
      <w:tr>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2. Advisory Board Representative; Subcommittee Member. (a) The General Partner hereby agrees that the LP, together with the New York City Employees' Retirement System, the Teachers' Retirement System of the City of New York, the New York City Police Pension Fund and the Board of Education Retirement System of the City of New York (collectively, the "NYC Investing Entities") shall have the right to designate one representative to serve as (i) an Advisory Board Member and (ii) a Subcommittee Member on all subcommittees of the Advisory Board (the "LP Advisory Board Member") for so long as (A) the NYC Investing Entities holding more than 50% of their aggregated Interests in the Partnership are not Defaulting Limited Partners, (B) the LP has not sold, assigned, pledged, mortgaged, charged or otherwise transferred all of its interests in the Fund X Entities, (C) no such LP Advisory Board Member has been removed by the General Partner pursuant to Section 6.10(b)(i) of the Partnership Agreement, and (D) the authority of an LP Advisory Board Member has not been terminated by the Limited Partners pursuant to Section 6.10(b) of the Partnership Agreement. Subject to the foregoing sentence, the General Partner further agrees that in the event of the</w:t>
            </w:r>
          </w:p>
        </w:tc>
      </w:tr>
      <w:tr>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2. Advisory Board Representative; Subcommittee Member. (a) The General Partner hereby agrees that the LP, together with the Teachers' Retirement System of the City of New York, the New York City Police Pension Fund, the New York City Fire Department Pension Fund and the New York City Employees' Retirement System (collectively, the "NYC Investing Entities") shall have the right to designate one representative to serve as (i) an Advisory Board Member and (ii) a Subcommittee Member on all subcommittees of the Advisory Board (the "LP Advisory Board Member") for so long as (A) the NYC Investing Entities holding more than 50% of their aggregated Interests in the Partnership are not Defaulting Limited Partners, (B) the LP has not sold, assigned, pledged, mortgaged, charged or otherwise transferred all of its interests in the Fund X Entities, (C) no such LP Advisory Board Member has been removed by the General Partner pursuant to Section 6.10(b)(i) of the Partnership Agreement, and (D) the authority of an LP Advisory Board Member has not been terminated by the Limited Partners pursuant to Section 6.10(b) of the Partnership Agreement. Subject to the foregoing sentence, the General Partner further agrees that in the event of the resignation, removal by the</w:t>
            </w:r>
          </w:p>
        </w:tc>
      </w:tr>
      <w:tr>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ICLOP III</w:t>
            </w:r>
          </w:p>
        </w:tc>
        <w:tc>
          <w:tcPr>
            <w:shd w:fill="FFFFFF"/>
            <w:tcMar>
              <w:top w:type="dxa" w:w="100"/>
              <w:left w:type="dxa" w:w="100"/>
              <w:bottom w:type="dxa" w:w="100"/>
              <w:right w:type="dxa" w:w="100"/>
            </w:tcMar>
          </w:tcPr>
          <w:p>
            <w:r>
              <w:t xml:space="preserve">November 3, 2022</w:t>
            </w:r>
          </w:p>
        </w:tc>
        <w:tc>
          <w:tcPr>
            <w:shd w:fill="FFFFFF"/>
            <w:tcMar>
              <w:top w:type="dxa" w:w="100"/>
              <w:left w:type="dxa" w:w="100"/>
              <w:bottom w:type="dxa" w:w="100"/>
              <w:right w:type="dxa" w:w="100"/>
            </w:tcMar>
          </w:tcPr>
          <w:p>
            <w:r>
              <w:t xml:space="preserve">7. Notification of Certain Events. The General Partner hereby agrees that upon the occurrence of any enforcement action or prosecution (or settlement in lieu thereof) brought by any U.S. or non-U.S. governmental authority against the Fund, the General Partner, or any of their Affiliates involved in the Fund's activities relating to an alleged violation of securities, tax, fiduciary or criminal laws (in each case, with respect to their investment management activities); any material claim for indemnification or any civil action (or settlement in lieu thereof) brought against the Fund, the General Partner, or any of their Affiliates which, in each case, the General Partner reasonably expects would have a material adverse effect on the Fund or the General Partner, the General Partner shall provide the Investor with timely written notice of learning of such action.</w:t>
            </w:r>
          </w:p>
        </w:tc>
      </w:tr>
      <w:tr>
        <w:tc>
          <w:tcPr>
            <w:shd w:fill="F9FAFB"/>
            <w:tcMar>
              <w:top w:type="dxa" w:w="100"/>
              <w:left w:type="dxa" w:w="100"/>
              <w:bottom w:type="dxa" w:w="100"/>
              <w:right w:type="dxa" w:w="100"/>
            </w:tcMar>
          </w:tcPr>
          <w:p>
            <w:r>
              <w:t xml:space="preserve">National Nominees Limited ANF CARE Super Pty Ltd ATF CARE Super (A/C CRADIP)</w:t>
            </w:r>
          </w:p>
        </w:tc>
        <w:tc>
          <w:tcPr>
            <w:shd w:fill="F9FAFB"/>
            <w:tcMar>
              <w:top w:type="dxa" w:w="100"/>
              <w:left w:type="dxa" w:w="100"/>
              <w:bottom w:type="dxa" w:w="100"/>
              <w:right w:type="dxa" w:w="100"/>
            </w:tcMar>
          </w:tcPr>
          <w:p>
            <w:r>
              <w:t xml:space="preserve">Apollo/Athene Dedicated Investment Program</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15. Litigation. The General Partner hereby represents that as of the date that is immediately prior to the date of the LP's initial Closing Date and to its knowledge as of the date of the LP's initial Closing Date, except as previously disclosed in writing to the LP on or prior to the date that is immediately prior to the date of the LP's initial Closing Date (including, without limitation, through posting on the "Apollo/Athene Dedicated Investment Program Due Diligence" IntraLinks datasite and/or in any public filing made by a member of the Apollo Group thereof with the SEC, the U.S. Commodity Futures Trading Commission or the National Futures Association, including, for the avoidance of doubt, Form ADV filed by Apollo Capital Management, L.P. with the SEC), and subject to the LP's acknowledgment in the final sentence of this Section 15, (a) there are no actions, proceedings or investigations pending or, to its knowledge, threatened against or affecting the General Partner, the Management Company or the Partnership, and (b) other than with respect to various proceedings initiated from time to time against certain principals and Affiliates of the General Partner (collectively, "GP Persons") in connection with portfolio investments, service as a member of a board of a portfolio company, portfolio company recapitalizations, mergers, restructurings, purchases, sales, and other transactions and generally relative to consideration and "pricing" issues, none of which have been determined adversely to any of such GP Persons, whether by judicial findings, consents, decrees or monetary settlements, during the preceding five years, none of such GP Persons has been the subject of (or settled) any actual action, suit, arbitration, legal, administrative or other governmental investigation, inquiry or proceeding (whether United States federal, state, local or non-United States) that, in the case of each of (a) and (b), (i) is reasonably likely to adversely affect the ability of any such GP Person to be actively involved in the investment decisions of the Partnership or to otherwise act on behalf of the General Partner, (ii) is reasonably likely to adversely affect the ability of the General Partner to discharge any of its duties or obligations under the Partnership Agreement, (iii) challenges the validity or purpose of the Partnership, (iv) is reasonably likely to materially and adversely affect the operations, properties or business of the General Partner, the Management Company or the Partnership, or (v) involves claims or allegations that have a material likelihood of resulting in a finding or admission that one or more of such GP Persons is guilty of fraud, misrepresentation or violation of any United States federal, state or securities law, rule or regulation and such finding or admission is reasonably likely to have a material adverse effect on the operations, Portfolio Investments or business of the General Partner or the Partnership. The 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w:t>
            </w:r>
          </w:p>
        </w:tc>
      </w:tr>
      <w:tr>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 Advisory Board Representative; Subcommittee Member. (a) The General Partner hereby agrees that the LP, together with the Teachers' Retirement System of the City of New York, the New York City Police Pension Fund, the New York City Fire Department Pension Fund and the New York City Employees' Retirement System (collectively, the "NYC Investing Entities") shall have the right to designate one representative to serve as (i) an Advisory Board Member and (ii) a Subcommittee Member on all subcommittees of the Advisory Board (the "LP Advisory Board Member") for so long as (A) the NYC Investing Entities holding more than 50% of their aggregated Interests in the Partnership are not Defaulting Limited Partners, (B) the LP has not sold, assigned, pledged, mortgaged, charged or otherwise transferred all of its interests in the Fund X Entities, (C) no such LP Advisory Board Member has been removed by the General Partner pursuant to Section 6.10(b)(i) of the Partnership Agreement, and (D) the authority of an LP Advisory Board Member has not been terminated by the Limited Partners pursuant to Section 6.10(b) of the Partnership Agreement. Subject to the foregoing sentence, the General Partner further agrees that in the event of the resignation, removal by the</w:t>
            </w:r>
          </w:p>
        </w:tc>
      </w:tr>
      <w:tr>
        <w:tc>
          <w:tcPr>
            <w:shd w:fill="F9FAFB"/>
            <w:tcMar>
              <w:top w:type="dxa" w:w="100"/>
              <w:left w:type="dxa" w:w="100"/>
              <w:bottom w:type="dxa" w:w="100"/>
              <w:right w:type="dxa" w:w="100"/>
            </w:tcMar>
          </w:tcPr>
          <w:p>
            <w:r>
              <w:t xml:space="preserve">Yuhaviatam, LLC</w:t>
            </w:r>
          </w:p>
        </w:tc>
        <w:tc>
          <w:tcPr>
            <w:shd w:fill="F9FAFB"/>
            <w:tcMar>
              <w:top w:type="dxa" w:w="100"/>
              <w:left w:type="dxa" w:w="100"/>
              <w:bottom w:type="dxa" w:w="100"/>
              <w:right w:type="dxa" w:w="100"/>
            </w:tcMar>
          </w:tcPr>
          <w:p>
            <w:r>
              <w:t xml:space="preserve">Kayne CLO Partners Fund I, L.P.</w:t>
            </w:r>
          </w:p>
        </w:tc>
        <w:tc>
          <w:tcPr>
            <w:shd w:fill="F9FAFB"/>
            <w:tcMar>
              <w:top w:type="dxa" w:w="100"/>
              <w:left w:type="dxa" w:w="100"/>
              <w:bottom w:type="dxa" w:w="100"/>
              <w:right w:type="dxa" w:w="100"/>
            </w:tcMar>
          </w:tcPr>
          <w:p>
            <w:r>
              <w:t xml:space="preserve">December 15, 2017</w:t>
            </w:r>
          </w:p>
        </w:tc>
        <w:tc>
          <w:tcPr>
            <w:shd w:fill="F9FAFB"/>
            <w:tcMar>
              <w:top w:type="dxa" w:w="100"/>
              <w:left w:type="dxa" w:w="100"/>
              <w:bottom w:type="dxa" w:w="100"/>
              <w:right w:type="dxa" w:w="100"/>
            </w:tcMar>
          </w:tcPr>
          <w:p>
            <w:r>
              <w:t xml:space="preserve">(e) The General Partner hereby agrees that upon the occurrence of any enforcement action or prosecution (or settlement in lieu thereof) brought by any U.S. or non-U.S. governmental authority against the Partnership, the General Partner or KACALP (with respect to KACALP, in connection with the Partnership's activities) relating to an alleged violation of securities, tax, fiduciary or criminal laws; any material claim for indemnification pursuant to Section 10.07 of the Partnership Agreement; or any</w:t>
            </w:r>
          </w:p>
        </w:tc>
      </w:tr>
      <w:tr>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April [ ], 2023</w:t>
            </w:r>
          </w:p>
        </w:tc>
        <w:tc>
          <w:tcPr>
            <w:shd w:fill="FFFFFF"/>
            <w:tcMar>
              <w:top w:type="dxa" w:w="100"/>
              <w:left w:type="dxa" w:w="100"/>
              <w:bottom w:type="dxa" w:w="100"/>
              <w:right w:type="dxa" w:w="100"/>
            </w:tcMar>
          </w:tcPr>
          <w:p>
            <w:r>
              <w:t xml:space="preserve">6. Litigation. The Investment Manager hereby represents and warrants that to the best of its knowledge as of the date of this letter: (a) there are no material actions, proceedings or investigations pending or threatened against the Partnership, the Investment Manager or any of their Affiliates that could have a material adverse effect on the Investment Manager; and (b) neither the Partnership nor the Investment Manager has made any payment in respect of its indemnification obligations pursuant to or in accordance with the Fund Partnership Agreement or the Adviser Partnership Agreement. The Investment Manager shall notify the Investor as soon as reasonably practicable of any material litigation (being material administrative, civil or criminal actions, suits or proceedings (pending, on appeal or concluded)) of which the Investment Manager becomes aware, in which the Investment Manager or the Partnership is a named party, and that, if adversely determined, would be reasonably expected to have a material adverse effect on the Investment Manager.</w:t>
            </w:r>
          </w:p>
        </w:tc>
      </w:tr>
    </w:tbl>
    <w:p>
      <w:pPr>
        <w:spacing w:before="100" w:after="100"/>
      </w:pPr>
      <w:r>
        <w:rPr>
          <w:b/>
          <w:bCs/>
        </w:rPr>
        <w:t xml:space="preserve">Total: 8 litigation provisions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6:49:54 PM</w:t>
      </w:r>
    </w:p>
    <w:p>
      <w:pPr>
        <w:spacing w:before="100" w:after="100"/>
      </w:pPr>
      <w:r>
        <w:t xml:space="preserve">Can you please provide me 20 side letters that have either withholding tax or investment policy provisions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6:50:47 PM</w:t>
      </w:r>
    </w:p>
    <w:p>
      <w:pPr>
        <w:spacing w:before="100" w:after="100"/>
      </w:pPr>
      <w:r>
        <w:t xml:space="preserve">Searching for side letters containing withholding tax provisions OR investment policy provisions.</w:t>
      </w:r>
    </w:p>
    <w:p>
      <w:pPr>
        <w:spacing w:before="100" w:after="100"/>
      </w:pPr>
      <w:r>
        <w:t xml:space="preserve">137 documents matched the search criteria. Below are the first 20 side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Executed Date</w:t>
            </w:r>
          </w:p>
        </w:tc>
      </w:tr>
      <w:tr>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March 1, 2023</w:t>
            </w:r>
          </w:p>
        </w:tc>
      </w:tr>
      <w:tr>
        <w:tc>
          <w:tcPr>
            <w:shd w:fill="FFFFFF"/>
            <w:tcMar>
              <w:top w:type="dxa" w:w="100"/>
              <w:left w:type="dxa" w:w="100"/>
              <w:bottom w:type="dxa" w:w="100"/>
              <w:right w:type="dxa" w:w="100"/>
            </w:tcMar>
          </w:tcPr>
          <w:p>
            <w:r>
              <w:t xml:space="preserve">118 - AIF X - Side Letter - LCP IX Holdings LP (Lexington Partners)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LCP IX Holdings, L.P.</w:t>
            </w:r>
          </w:p>
        </w:tc>
        <w:tc>
          <w:tcPr>
            <w:shd w:fill="FFFFFF"/>
            <w:tcMar>
              <w:top w:type="dxa" w:w="100"/>
              <w:left w:type="dxa" w:w="100"/>
              <w:bottom w:type="dxa" w:w="100"/>
              <w:right w:type="dxa" w:w="100"/>
            </w:tcMar>
          </w:tcPr>
          <w:p>
            <w:r>
              <w:t xml:space="preserve">July 21, 2022</w:t>
            </w:r>
          </w:p>
        </w:tc>
      </w:tr>
      <w:tr>
        <w:tc>
          <w:tcPr>
            <w:shd w:fill="F9FAFB"/>
            <w:tcMar>
              <w:top w:type="dxa" w:w="100"/>
              <w:left w:type="dxa" w:w="100"/>
              <w:bottom w:type="dxa" w:w="100"/>
              <w:right w:type="dxa" w:w="100"/>
            </w:tcMar>
          </w:tcPr>
          <w:p>
            <w:r>
              <w:t xml:space="preserve">AOP (Lux) X - Side Letter - LGT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Crown Global Secondaries V Master SCSp</w:t>
            </w:r>
          </w:p>
        </w:tc>
        <w:tc>
          <w:tcPr>
            <w:shd w:fill="F9FAFB"/>
            <w:tcMar>
              <w:top w:type="dxa" w:w="100"/>
              <w:left w:type="dxa" w:w="100"/>
              <w:bottom w:type="dxa" w:w="100"/>
              <w:right w:type="dxa" w:w="100"/>
            </w:tcMar>
          </w:tcPr>
          <w:p>
            <w:r>
              <w:t xml:space="preserve">December 16, 2022</w:t>
            </w:r>
          </w:p>
        </w:tc>
      </w:tr>
      <w:tr>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July 21, 2022</w:t>
            </w:r>
          </w:p>
        </w:tc>
      </w:tr>
      <w:tr>
        <w:tc>
          <w:tcPr>
            <w:shd w:fill="F9FAFB"/>
            <w:tcMar>
              <w:top w:type="dxa" w:w="100"/>
              <w:left w:type="dxa" w:w="100"/>
              <w:bottom w:type="dxa" w:w="100"/>
              <w:right w:type="dxa" w:w="100"/>
            </w:tcMar>
          </w:tcPr>
          <w:p>
            <w:r>
              <w:t xml:space="preserve">163 - AIF X - Side Letter - SP Touchdown Acquisitions L.P. (GVS)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SP Touchdown Acquisitions L.P.</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July 21, 2022</w:t>
            </w:r>
          </w:p>
        </w:tc>
      </w:tr>
      <w:tr>
        <w:tc>
          <w:tcPr>
            <w:shd w:fill="F9FAFB"/>
            <w:tcMar>
              <w:top w:type="dxa" w:w="100"/>
              <w:left w:type="dxa" w:w="100"/>
              <w:bottom w:type="dxa" w:w="100"/>
              <w:right w:type="dxa" w:w="100"/>
            </w:tcMar>
          </w:tcPr>
          <w:p>
            <w:r>
              <w:t xml:space="preserve">ICLOP III Side Letter - UMich vF (fully signed)</w:t>
            </w:r>
          </w:p>
        </w:tc>
        <w:tc>
          <w:tcPr>
            <w:shd w:fill="F9FAFB"/>
            <w:tcMar>
              <w:top w:type="dxa" w:w="100"/>
              <w:left w:type="dxa" w:w="100"/>
              <w:bottom w:type="dxa" w:w="100"/>
              <w:right w:type="dxa" w:w="100"/>
            </w:tcMar>
          </w:tcPr>
          <w:p>
            <w:r>
              <w:t xml:space="preserve">ICLOP III</w:t>
            </w:r>
          </w:p>
        </w:tc>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November 3, 2022</w:t>
            </w:r>
          </w:p>
        </w:tc>
      </w:tr>
      <w:tr>
        <w:tc>
          <w:tcPr>
            <w:shd w:fill="FFFFFF"/>
            <w:tcMar>
              <w:top w:type="dxa" w:w="100"/>
              <w:left w:type="dxa" w:w="100"/>
              <w:bottom w:type="dxa" w:w="100"/>
              <w:right w:type="dxa" w:w="100"/>
            </w:tcMar>
          </w:tcPr>
          <w:p>
            <w:r>
              <w:t xml:space="preserve">Apollo Hybrid Value Overseas Partners (Delaware 892), L.P. - Side Letter - Public Pension Agency</w:t>
            </w:r>
          </w:p>
        </w:tc>
        <w:tc>
          <w:tcPr>
            <w:shd w:fill="FFFFFF"/>
            <w:tcMar>
              <w:top w:type="dxa" w:w="100"/>
              <w:left w:type="dxa" w:w="100"/>
              <w:bottom w:type="dxa" w:w="100"/>
              <w:right w:type="dxa" w:w="100"/>
            </w:tcMar>
          </w:tcPr>
          <w:p>
            <w:r>
              <w:t xml:space="preserve">Hybrid Value Fund</w:t>
            </w:r>
          </w:p>
        </w:tc>
        <w:tc>
          <w:tcPr>
            <w:shd w:fill="FFFFFF"/>
            <w:tcMar>
              <w:top w:type="dxa" w:w="100"/>
              <w:left w:type="dxa" w:w="100"/>
              <w:bottom w:type="dxa" w:w="100"/>
              <w:right w:type="dxa" w:w="100"/>
            </w:tcMar>
          </w:tcPr>
          <w:p>
            <w:r>
              <w:t xml:space="preserve">Public Pension Agency of the Kingdom of Saudi Arabia</w:t>
            </w:r>
          </w:p>
        </w:tc>
        <w:tc>
          <w:tcPr>
            <w:shd w:fill="FFFFFF"/>
            <w:tcMar>
              <w:top w:type="dxa" w:w="100"/>
              <w:left w:type="dxa" w:w="100"/>
              <w:bottom w:type="dxa" w:w="100"/>
              <w:right w:type="dxa" w:w="100"/>
            </w:tcMar>
          </w:tcPr>
          <w:p>
            <w:r>
              <w:t xml:space="preserve">July 21, 2022</w:t>
            </w:r>
          </w:p>
        </w:tc>
      </w:tr>
      <w:tr>
        <w:tc>
          <w:tcPr>
            <w:shd w:fill="F9FAFB"/>
            <w:tcMar>
              <w:top w:type="dxa" w:w="100"/>
              <w:left w:type="dxa" w:w="100"/>
              <w:bottom w:type="dxa" w:w="100"/>
              <w:right w:type="dxa" w:w="100"/>
            </w:tcMar>
          </w:tcPr>
          <w:p>
            <w:r>
              <w:t xml:space="preserve">67 - AIF X - Side Letter - CNP CPE (EVI), L.P. (Flexstone)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CNP CPE (EVI), L.P.</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AOP X - Side Letter - Brown Brothers Harriman &amp; Co. as custodian for AFP Planvital S.A. Fondo de Pensiones Tipo A 0102749 (2023-06-06)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BBH &amp; Co. As Custodian For AFP Planvital SA Fondo Pensiones A</w:t>
            </w:r>
          </w:p>
        </w:tc>
        <w:tc>
          <w:tcPr>
            <w:shd w:fill="FFFFFF"/>
            <w:tcMar>
              <w:top w:type="dxa" w:w="100"/>
              <w:left w:type="dxa" w:w="100"/>
              <w:bottom w:type="dxa" w:w="100"/>
              <w:right w:type="dxa" w:w="100"/>
            </w:tcMar>
          </w:tcPr>
          <w:p>
            <w:r>
              <w:t xml:space="preserve">June 6, 2023</w:t>
            </w:r>
          </w:p>
        </w:tc>
      </w:tr>
      <w:tr>
        <w:tc>
          <w:tcPr>
            <w:shd w:fill="F9FAFB"/>
            <w:tcMar>
              <w:top w:type="dxa" w:w="100"/>
              <w:left w:type="dxa" w:w="100"/>
              <w:bottom w:type="dxa" w:w="100"/>
              <w:right w:type="dxa" w:w="100"/>
            </w:tcMar>
          </w:tcPr>
          <w:p>
            <w:r>
              <w:t xml:space="preserve">AOP (DE 892) X - Side Letter - Keva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Keva</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139 - AIF X - Side Letter - NewVest Vintage 2022 Aggregator (PE 50) LP.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NewVest Vintage 2022 Aggregator (PE 50) LP</w:t>
            </w:r>
          </w:p>
        </w:tc>
        <w:tc>
          <w:tcPr>
            <w:shd w:fill="FFFFFF"/>
            <w:tcMar>
              <w:top w:type="dxa" w:w="100"/>
              <w:left w:type="dxa" w:w="100"/>
              <w:bottom w:type="dxa" w:w="100"/>
              <w:right w:type="dxa" w:w="100"/>
            </w:tcMar>
          </w:tcPr>
          <w:p>
            <w:r>
              <w:t xml:space="preserve">July 21, 2022</w:t>
            </w:r>
          </w:p>
        </w:tc>
      </w:tr>
      <w:tr>
        <w:tc>
          <w:tcPr>
            <w:shd w:fill="F9FAFB"/>
            <w:tcMar>
              <w:top w:type="dxa" w:w="100"/>
              <w:left w:type="dxa" w:w="100"/>
              <w:bottom w:type="dxa" w:w="100"/>
              <w:right w:type="dxa" w:w="100"/>
            </w:tcMar>
          </w:tcPr>
          <w:p>
            <w:r>
              <w:t xml:space="preserve">AP Jupiter Debt Co-Invest I, L.P. - Side Letter - SAFE (2015-12-18)</w:t>
            </w:r>
          </w:p>
        </w:tc>
        <w:tc>
          <w:tcPr>
            <w:shd w:fill="F9FAFB"/>
            <w:tcMar>
              <w:top w:type="dxa" w:w="100"/>
              <w:left w:type="dxa" w:w="100"/>
              <w:bottom w:type="dxa" w:w="100"/>
              <w:right w:type="dxa" w:w="100"/>
            </w:tcMar>
          </w:tcPr>
          <w:p>
            <w:r>
              <w:t xml:space="preserve">Fund VIII, Apollo Natural Resources Partners I</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March 30, 2023</w:t>
            </w:r>
          </w:p>
        </w:tc>
      </w:tr>
      <w:tr>
        <w:tc>
          <w:tcPr>
            <w:shd w:fill="F9FAFB"/>
            <w:tcMar>
              <w:top w:type="dxa" w:w="100"/>
              <w:left w:type="dxa" w:w="100"/>
              <w:bottom w:type="dxa" w:w="100"/>
              <w:right w:type="dxa" w:w="100"/>
            </w:tcMar>
          </w:tcPr>
          <w:p>
            <w:r>
              <w:t xml:space="preserve">AOP X - Side Letter - Contrato de Fideicomiso Irrevocable CIB_3825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Contrato de Fideicomiso Irrevocable CIB/3825</w:t>
            </w:r>
          </w:p>
        </w:tc>
        <w:tc>
          <w:tcPr>
            <w:shd w:fill="F9FAFB"/>
            <w:tcMar>
              <w:top w:type="dxa" w:w="100"/>
              <w:left w:type="dxa" w:w="100"/>
              <w:bottom w:type="dxa" w:w="100"/>
              <w:right w:type="dxa" w:w="100"/>
            </w:tcMar>
          </w:tcPr>
          <w:p>
            <w:r>
              <w:t xml:space="preserve">June 30, 2023</w:t>
            </w:r>
          </w:p>
        </w:tc>
      </w:tr>
      <w:tr>
        <w:tc>
          <w:tcPr>
            <w:shd w:fill="FFFFFF"/>
            <w:tcMar>
              <w:top w:type="dxa" w:w="100"/>
              <w:left w:type="dxa" w:w="100"/>
              <w:bottom w:type="dxa" w:w="100"/>
              <w:right w:type="dxa" w:w="100"/>
            </w:tcMar>
          </w:tcPr>
          <w:p>
            <w:r>
              <w:t xml:space="preserve">68 - AIF X - Side Letter - CNP US (201), L.P. (Flexstone)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CNP US (201), L.P.</w:t>
            </w:r>
          </w:p>
        </w:tc>
        <w:tc>
          <w:tcPr>
            <w:shd w:fill="FFFFFF"/>
            <w:tcMar>
              <w:top w:type="dxa" w:w="100"/>
              <w:left w:type="dxa" w:w="100"/>
              <w:bottom w:type="dxa" w:w="100"/>
              <w:right w:type="dxa" w:w="100"/>
            </w:tcMar>
          </w:tcPr>
          <w:p>
            <w:r>
              <w:t xml:space="preserve">July 21, 2022</w:t>
            </w:r>
          </w:p>
        </w:tc>
      </w:tr>
      <w:tr>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Apollo Overseas Partners IX, L.P. - Side Letter - Partners Group Global Value SICAV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Partners Group Global Value SICAV</w:t>
            </w:r>
          </w:p>
        </w:tc>
        <w:tc>
          <w:tcPr>
            <w:shd w:fill="FFFFFF"/>
            <w:tcMar>
              <w:top w:type="dxa" w:w="100"/>
              <w:left w:type="dxa" w:w="100"/>
              <w:bottom w:type="dxa" w:w="100"/>
              <w:right w:type="dxa" w:w="100"/>
            </w:tcMar>
          </w:tcPr>
          <w:p>
            <w:r>
              <w:t xml:space="preserve">June 1, 2017</w:t>
            </w:r>
          </w:p>
        </w:tc>
      </w:tr>
      <w:tr>
        <w:tc>
          <w:tcPr>
            <w:shd w:fill="F9FAFB"/>
            <w:tcMar>
              <w:top w:type="dxa" w:w="100"/>
              <w:left w:type="dxa" w:w="100"/>
              <w:bottom w:type="dxa" w:w="100"/>
              <w:right w:type="dxa" w:w="100"/>
            </w:tcMar>
          </w:tcPr>
          <w:p>
            <w:r>
              <w:t xml:space="preserve">Apollo Overseas Partners X, L.P. - Citibanamex - Side Letter (2022-11-01)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CIBanco, S.A., Institución de Banca Múltiple solely in its capacity as Trustee o</w:t>
            </w:r>
          </w:p>
        </w:tc>
        <w:tc>
          <w:tcPr>
            <w:shd w:fill="F9FAFB"/>
            <w:tcMar>
              <w:top w:type="dxa" w:w="100"/>
              <w:left w:type="dxa" w:w="100"/>
              <w:bottom w:type="dxa" w:w="100"/>
              <w:right w:type="dxa" w:w="100"/>
            </w:tcMar>
          </w:tcPr>
          <w:p>
            <w:r>
              <w:t xml:space="preserve">November 1, 2022</w:t>
            </w:r>
          </w:p>
        </w:tc>
      </w:tr>
      <w:tr>
        <w:tc>
          <w:tcPr>
            <w:shd w:fill="FFFFFF"/>
            <w:tcMar>
              <w:top w:type="dxa" w:w="100"/>
              <w:left w:type="dxa" w:w="100"/>
              <w:bottom w:type="dxa" w:w="100"/>
              <w:right w:type="dxa" w:w="100"/>
            </w:tcMar>
          </w:tcPr>
          <w:p>
            <w:r>
              <w:t xml:space="preserve">AOP X - Side Letter - Growth Value Securities Limited (Executed)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Growth Value Securities Ltd.</w:t>
            </w:r>
          </w:p>
        </w:tc>
        <w:tc>
          <w:tcPr>
            <w:shd w:fill="FFFFFF"/>
            <w:tcMar>
              <w:top w:type="dxa" w:w="100"/>
              <w:left w:type="dxa" w:w="100"/>
              <w:bottom w:type="dxa" w:w="100"/>
              <w:right w:type="dxa" w:w="100"/>
            </w:tcMar>
          </w:tcPr>
          <w:p>
            <w:r>
              <w:t xml:space="preserve">July 21, 2022</w:t>
            </w:r>
          </w:p>
        </w:tc>
      </w:tr>
    </w:tbl>
    <w:p>
      <w:pPr>
        <w:spacing w:before="100" w:after="100"/>
      </w:pPr>
      <w:r>
        <w:rPr>
          <w:b/>
          <w:bCs/>
        </w:rPr>
        <w:t xml:space="preserve">Total: 20 side letters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6:51:09 PM</w:t>
      </w:r>
    </w:p>
    <w:p>
      <w:pPr>
        <w:spacing w:before="100" w:after="100"/>
      </w:pPr>
      <w:r>
        <w:t xml:space="preserve">What side letters do not allow an investor to invest in alcohol</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6:51:43 PM</w:t>
      </w:r>
    </w:p>
    <w:p>
      <w:pPr>
        <w:spacing w:before="100" w:after="100"/>
      </w:pPr>
      <w:r>
        <w:t xml:space="preserve">Searching for side letters with investment restrictions on alcohol across provisions and obligations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Restriction</w:t>
            </w:r>
          </w:p>
        </w:tc>
      </w:tr>
      <w:tr>
        <w:tc>
          <w:tcPr>
            <w:shd w:fill="F9FAFB"/>
            <w:tcMar>
              <w:top w:type="dxa" w:w="100"/>
              <w:left w:type="dxa" w:w="100"/>
              <w:bottom w:type="dxa" w:w="100"/>
              <w:right w:type="dxa" w:w="100"/>
            </w:tcMar>
          </w:tcPr>
          <w:p>
            <w:r>
              <w:t xml:space="preserve">Apollo Hybrid Value Overseas Partners (Delaware 892), L.P. - Side Letter - Public Pension Agency</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The LP cannot invest in companies deriving over 50% revenues from alcohol production at initial investment time.</w:t>
            </w:r>
          </w:p>
        </w:tc>
      </w:tr>
      <w:tr>
        <w:tc>
          <w:tcPr>
            <w:shd w:fill="FFFFFF"/>
            <w:tcMar>
              <w:top w:type="dxa" w:w="100"/>
              <w:left w:type="dxa" w:w="100"/>
              <w:bottom w:type="dxa" w:w="100"/>
              <w:right w:type="dxa" w:w="100"/>
            </w:tcMar>
          </w:tcPr>
          <w:p>
            <w:r>
              <w:t xml:space="preserve">139 - AIF X - Side Letter - NewVest Vintage 2022 Aggregator (PE 50) LP. (2023-03-30)</w:t>
            </w:r>
          </w:p>
        </w:tc>
        <w:tc>
          <w:tcPr>
            <w:shd w:fill="FFFFFF"/>
            <w:tcMar>
              <w:top w:type="dxa" w:w="100"/>
              <w:left w:type="dxa" w:w="100"/>
              <w:bottom w:type="dxa" w:w="100"/>
              <w:right w:type="dxa" w:w="100"/>
            </w:tcMar>
          </w:tcPr>
          <w:p>
            <w:r>
              <w:t xml:space="preserve">NewVest Vintage 2022 Aggregator (PE 50)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principally engaged in production, distribution, or sale of alcoholic beverages.</w:t>
            </w:r>
          </w:p>
        </w:tc>
      </w:tr>
      <w:tr>
        <w:tc>
          <w:tcPr>
            <w:shd w:fill="F9FAFB"/>
            <w:tcMar>
              <w:top w:type="dxa" w:w="100"/>
              <w:left w:type="dxa" w:w="100"/>
              <w:bottom w:type="dxa" w:w="100"/>
              <w:right w:type="dxa" w:w="100"/>
            </w:tcMar>
          </w:tcPr>
          <w:p>
            <w:r>
              <w:t xml:space="preserve">Apollo Investment Fund X, L.P. - Side Letter - Fondo de Fondos Global Investments, LLC (2023-06-30)</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entity shall not engage in production or sale of alcoholic beverages or tobacco products.</w:t>
            </w:r>
          </w:p>
        </w:tc>
      </w:tr>
      <w:tr>
        <w:tc>
          <w:tcPr>
            <w:shd w:fill="FFFFFF"/>
            <w:tcMar>
              <w:top w:type="dxa" w:w="100"/>
              <w:left w:type="dxa" w:w="100"/>
              <w:bottom w:type="dxa" w:w="100"/>
              <w:right w:type="dxa" w:w="100"/>
            </w:tcMar>
          </w:tcPr>
          <w:p>
            <w:r>
              <w:t xml:space="preserve">AOP X - Side Letter (AFP Modelo S.A. Fondo de Pensiones Tipo B) (2023-02-07)</w:t>
            </w:r>
          </w:p>
        </w:tc>
        <w:tc>
          <w:tcPr>
            <w:shd w:fill="FFFFFF"/>
            <w:tcMar>
              <w:top w:type="dxa" w:w="100"/>
              <w:left w:type="dxa" w:w="100"/>
              <w:bottom w:type="dxa" w:w="100"/>
              <w:right w:type="dxa" w:w="100"/>
            </w:tcMar>
          </w:tcPr>
          <w:p>
            <w:r>
              <w:t xml:space="preserve">BBH &amp; CO AS CUSTODIAN FOR AFP MODELO S.A. FONDO DE PENSIONES TIPO B 5200365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Prohibition on business activities involving the production or sale of alcoholic beverages by the restricted party.</w:t>
            </w:r>
          </w:p>
        </w:tc>
      </w:tr>
      <w:tr>
        <w:tc>
          <w:tcPr>
            <w:shd w:fill="F9FAFB"/>
            <w:tcMar>
              <w:top w:type="dxa" w:w="100"/>
              <w:left w:type="dxa" w:w="100"/>
              <w:bottom w:type="dxa" w:w="100"/>
              <w:right w:type="dxa" w:w="100"/>
            </w:tcMar>
          </w:tcPr>
          <w:p>
            <w:r>
              <w:t xml:space="preserve">88 - Apollo Investment Fund X, L.P. - Side Letter - Fondo de Fondos Global Investments, LLC (2023-06-30)</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Investments in companies involved in producing or selling alcoholic beverages is prohibited.</w:t>
            </w:r>
          </w:p>
        </w:tc>
      </w:tr>
      <w:tr>
        <w:tc>
          <w:tcPr>
            <w:shd w:fill="FFFFFF"/>
            <w:tcMar>
              <w:top w:type="dxa" w:w="100"/>
              <w:left w:type="dxa" w:w="100"/>
              <w:bottom w:type="dxa" w:w="100"/>
              <w:right w:type="dxa" w:w="100"/>
            </w:tcMar>
          </w:tcPr>
          <w:p>
            <w:r>
              <w:t xml:space="preserve">AOP X - Side Letter (AFP Modelo S.A. Fondo de Pensiones Tipo C) (2023-02-07)</w:t>
            </w:r>
          </w:p>
        </w:tc>
        <w:tc>
          <w:tcPr>
            <w:shd w:fill="FFFFFF"/>
            <w:tcMar>
              <w:top w:type="dxa" w:w="100"/>
              <w:left w:type="dxa" w:w="100"/>
              <w:bottom w:type="dxa" w:w="100"/>
              <w:right w:type="dxa" w:w="100"/>
            </w:tcMar>
          </w:tcPr>
          <w:p>
            <w:r>
              <w:t xml:space="preserve">BBH &amp; Co as custodian for AFP Modelo S.A. Fondo de Pensiones Tipo C 5200373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Portfolio companies deriving more than 10% of revenues from producing or selling alcoholic beverages are prohibited investments.</w:t>
            </w:r>
          </w:p>
        </w:tc>
      </w:tr>
      <w:tr>
        <w:tc>
          <w:tcPr>
            <w:shd w:fill="F9FAFB"/>
            <w:tcMar>
              <w:top w:type="dxa" w:w="100"/>
              <w:left w:type="dxa" w:w="100"/>
              <w:bottom w:type="dxa" w:w="100"/>
              <w:right w:type="dxa" w:w="100"/>
            </w:tcMar>
          </w:tcPr>
          <w:p>
            <w:r>
              <w:t xml:space="preserve">AOP DE X - Side Letter - ASP 2022 Aspire II LP (AlpInvest) (2022-07-21)</w:t>
            </w:r>
          </w:p>
        </w:tc>
        <w:tc>
          <w:tcPr>
            <w:shd w:fill="F9FAFB"/>
            <w:tcMar>
              <w:top w:type="dxa" w:w="100"/>
              <w:left w:type="dxa" w:w="100"/>
              <w:bottom w:type="dxa" w:w="100"/>
              <w:right w:type="dxa" w:w="100"/>
            </w:tcMar>
          </w:tcPr>
          <w:p>
            <w:r>
              <w:t xml:space="preserve">ASP 2022 Aspire II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deriving over 10% revenue from producing, trading, or distributing tobacco or alcoholic beverages.</w:t>
            </w:r>
          </w:p>
        </w:tc>
      </w:tr>
      <w:tr>
        <w:tc>
          <w:tcPr>
            <w:shd w:fill="FFFFFF"/>
            <w:tcMar>
              <w:top w:type="dxa" w:w="100"/>
              <w:left w:type="dxa" w:w="100"/>
              <w:bottom w:type="dxa" w:w="100"/>
              <w:right w:type="dxa" w:w="100"/>
            </w:tcMar>
          </w:tcPr>
          <w:p>
            <w:r>
              <w:t xml:space="preserve">AOP X - Side Letter - Magellan 2122 Limited (2022-11-01</w:t>
            </w:r>
          </w:p>
        </w:tc>
        <w:tc>
          <w:tcPr>
            <w:shd w:fill="FFFFFF"/>
            <w:tcMar>
              <w:top w:type="dxa" w:w="100"/>
              <w:left w:type="dxa" w:w="100"/>
              <w:bottom w:type="dxa" w:w="100"/>
              <w:right w:type="dxa" w:w="100"/>
            </w:tcMar>
          </w:tcPr>
          <w:p>
            <w:r>
              <w:t xml:space="preserve">Magellan 2122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primarily engaged in producing or selling alcoholic beverages at initial investment.</w:t>
            </w:r>
          </w:p>
        </w:tc>
      </w:tr>
      <w:tr>
        <w:tc>
          <w:tcPr>
            <w:shd w:fill="F9FAFB"/>
            <w:tcMar>
              <w:top w:type="dxa" w:w="100"/>
              <w:left w:type="dxa" w:w="100"/>
              <w:bottom w:type="dxa" w:w="100"/>
              <w:right w:type="dxa" w:w="100"/>
            </w:tcMar>
          </w:tcPr>
          <w:p>
            <w:r>
              <w:t xml:space="preserve">Apollo Overseas Partners (Delaware 892) IX, L.P.  - Side Letter - Kuwait Investment Authority (2017-06-01)</w:t>
            </w:r>
          </w:p>
        </w:tc>
        <w:tc>
          <w:tcPr>
            <w:shd w:fill="F9FAFB"/>
            <w:tcMar>
              <w:top w:type="dxa" w:w="100"/>
              <w:left w:type="dxa" w:w="100"/>
              <w:bottom w:type="dxa" w:w="100"/>
              <w:right w:type="dxa" w:w="100"/>
            </w:tcMar>
          </w:tcPr>
          <w:p>
            <w:r>
              <w:t xml:space="preserve">Kuwait Investment Authority acting for and on behalf of the Government of the St</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The LP cannot invest in companies deriving majority revenues from alcoholic beverage production, distribution, or sale.</w:t>
            </w:r>
          </w:p>
        </w:tc>
      </w:tr>
      <w:tr>
        <w:tc>
          <w:tcPr>
            <w:shd w:fill="FFFFFF"/>
            <w:tcMar>
              <w:top w:type="dxa" w:w="100"/>
              <w:left w:type="dxa" w:w="100"/>
              <w:bottom w:type="dxa" w:w="100"/>
              <w:right w:type="dxa" w:w="100"/>
            </w:tcMar>
          </w:tcPr>
          <w:p>
            <w:r>
              <w:t xml:space="preserve">190 - Apollo Investment Fund X, L.P. - Robert Wood Johnson Foundation Side Letter</w:t>
            </w:r>
          </w:p>
        </w:tc>
        <w:tc>
          <w:tcPr>
            <w:shd w:fill="FFFFFF"/>
            <w:tcMar>
              <w:top w:type="dxa" w:w="100"/>
              <w:left w:type="dxa" w:w="100"/>
              <w:bottom w:type="dxa" w:w="100"/>
              <w:right w:type="dxa" w:w="100"/>
            </w:tcMar>
          </w:tcPr>
          <w:p>
            <w:r>
              <w:t xml:space="preserve">The Robert Wood Johnson Foundation</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Foundation prohibits investments in companies generating over 25% revenue from alcoholic beverages, breweries, and distilleries.</w:t>
            </w:r>
          </w:p>
        </w:tc>
      </w:tr>
      <w:tr>
        <w:tc>
          <w:tcPr>
            <w:shd w:fill="F9FAFB"/>
            <w:tcMar>
              <w:top w:type="dxa" w:w="100"/>
              <w:left w:type="dxa" w:w="100"/>
              <w:bottom w:type="dxa" w:w="100"/>
              <w:right w:type="dxa" w:w="100"/>
            </w:tcMar>
          </w:tcPr>
          <w:p>
            <w:r>
              <w:t xml:space="preserve">AOP X - Side Letter (AFP Modelo S.A. Fondo de Pensiones Tipo D) (2023-02-07)</w:t>
            </w:r>
          </w:p>
        </w:tc>
        <w:tc>
          <w:tcPr>
            <w:shd w:fill="F9FAFB"/>
            <w:tcMar>
              <w:top w:type="dxa" w:w="100"/>
              <w:left w:type="dxa" w:w="100"/>
              <w:bottom w:type="dxa" w:w="100"/>
              <w:right w:type="dxa" w:w="100"/>
            </w:tcMar>
          </w:tcPr>
          <w:p>
            <w:r>
              <w:t xml:space="preserve">BBH &amp; CO AS CUSTODIAN FOR AFP MODELO S.A. FONDO DE PENSIONES TIPO D 5200381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entity is prohibited from producing or selling alcoholic beverages.</w:t>
            </w:r>
          </w:p>
        </w:tc>
      </w:tr>
    </w:tbl>
    <w:p>
      <w:pPr>
        <w:spacing w:before="100" w:after="100"/>
      </w:pPr>
      <w:r>
        <w:rPr>
          <w:b/>
          <w:bCs/>
        </w:rPr>
        <w:t xml:space="preserve">Total: 11 side letters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6:52:16 PM</w:t>
      </w:r>
    </w:p>
    <w:p>
      <w:pPr>
        <w:spacing w:before="100" w:after="100"/>
      </w:pPr>
      <w:r>
        <w:t xml:space="preserve">provide as is text present in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6:52:59 PM</w:t>
      </w:r>
    </w:p>
    <w:p>
      <w:pPr>
        <w:spacing w:before="100" w:after="100"/>
      </w:pPr>
      <w:r>
        <w:t xml:space="preserve">Searching for investment restriction provisions related to alcohol, filtering for provisions with complete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Complete Provision Text (As-Is)</w:t>
            </w:r>
          </w:p>
        </w:tc>
      </w:tr>
      <w:tr>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Investment Policy: The LP is prohibited from participating in a Portfolio Investment in the equity of a Portfolio Company that, at the time of the Partnership's initial investment in such Portfolio Company: (a) in the aggregate, derives more than 50% of its gross annual revenues from (i) gambling, (ii) the production of alcohol, (iii) the production of pork, (iv) the production or trade of tobacco or (v) pornography; or (b) has its principal place of business in Bahrain, Cyprus, Egypt, Iran, Iraq, Israel, Jordan, Kuwait, Lebanon, Oman, Palestine, Qatar, Saudi Arabia, Syria, the United Arab Emirates or Yemen.</w:t>
            </w:r>
          </w:p>
        </w:tc>
      </w:tr>
      <w:tr>
        <w:tc>
          <w:tcPr>
            <w:shd w:fill="FFFFFF"/>
            <w:tcMar>
              <w:top w:type="dxa" w:w="100"/>
              <w:left w:type="dxa" w:w="100"/>
              <w:bottom w:type="dxa" w:w="100"/>
              <w:right w:type="dxa" w:w="100"/>
            </w:tcMar>
          </w:tcPr>
          <w:p>
            <w:r>
              <w:t xml:space="preserve">NewVest Vintage 2022 Aggregator (PE 50)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(a) is principally engaged in (i) the production, distribution or sale of anti-personnel landmines, cluster bombs or weapons of mass destruction (including, without limitation, nuclear weapons, chemical weapons, or biological weapons); (ii) the production or sale of weapons, firearms, munitions or armaments (other than the production or sale of computer technology, communications equipment, software, medical supplies, vaccines or similar items); (iii) the burning of thermal coal to general electricity ("thermal coal" shall mean, as used herein, coal used to generate electricity, such as that which is burned to create steam to run turbines, but shall not include any transitioning technologies that relate to coal); (iv) the production or sale of drugs that is illegal in the jurisdiction in which such drugs are manufactured or sold; (v) the production, distribution or sale of pork products; (vi) the production, distribution or sale of pornography; (vii) the production, distribution or sale of alcoholic beverages; (viii) the production, distribution or sale of tobacco; or (ix) the operation of gambling establishments or the production, distribution or sale of gambling machines;</w:t>
            </w:r>
          </w:p>
        </w:tc>
      </w:tr>
      <w:tr>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 the production or sale of alcoholic beverages or tobacco products;</w:t>
            </w:r>
          </w:p>
        </w:tc>
      </w:tr>
      <w:tr>
        <w:tc>
          <w:tcPr>
            <w:shd w:fill="FFFFFF"/>
            <w:tcMar>
              <w:top w:type="dxa" w:w="100"/>
              <w:left w:type="dxa" w:w="100"/>
              <w:bottom w:type="dxa" w:w="100"/>
              <w:right w:type="dxa" w:w="100"/>
            </w:tcMar>
          </w:tcPr>
          <w:p>
            <w:r>
              <w:t xml:space="preserve">BBH &amp; CO AS CUSTODIAN FOR AFP MODELO S.A. FONDO DE PENSIONES TIPO B 5200365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 producing or selling alcoholic beverages; or</w:t>
            </w:r>
          </w:p>
        </w:tc>
      </w:tr>
      <w:tr>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 the production or sale of alcoholic beverages or tobacco products;</w:t>
            </w:r>
          </w:p>
        </w:tc>
      </w:tr>
      <w:tr>
        <w:tc>
          <w:tcPr>
            <w:shd w:fill="FFFFFF"/>
            <w:tcMar>
              <w:top w:type="dxa" w:w="100"/>
              <w:left w:type="dxa" w:w="100"/>
              <w:bottom w:type="dxa" w:w="100"/>
              <w:right w:type="dxa" w:w="100"/>
            </w:tcMar>
          </w:tcPr>
          <w:p>
            <w:r>
              <w:t xml:space="preserve">BBH &amp; Co as custodian for AFP Modelo S.A. Fondo de Pensiones Tipo C 5200373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 producing or selling alcoholic beverages; or</w:t>
            </w:r>
          </w:p>
        </w:tc>
      </w:tr>
      <w:tr>
        <w:tc>
          <w:tcPr>
            <w:shd w:fill="F9FAFB"/>
            <w:tcMar>
              <w:top w:type="dxa" w:w="100"/>
              <w:left w:type="dxa" w:w="100"/>
              <w:bottom w:type="dxa" w:w="100"/>
              <w:right w:type="dxa" w:w="100"/>
            </w:tcMar>
          </w:tcPr>
          <w:p>
            <w:r>
              <w:t xml:space="preserve">ASP 2022 Aspire II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 (excluding, for the avoidance of doubt, retailers, restaurants, and persons involved in the supply chain related to the production, trade or distribution of non-tobacco components of tobacco products or non-alcohol components of alcoholic beverages, including packaging).</w:t>
            </w:r>
          </w:p>
        </w:tc>
      </w:tr>
      <w:tr>
        <w:tc>
          <w:tcPr>
            <w:shd w:fill="FFFFFF"/>
            <w:tcMar>
              <w:top w:type="dxa" w:w="100"/>
              <w:left w:type="dxa" w:w="100"/>
              <w:bottom w:type="dxa" w:w="100"/>
              <w:right w:type="dxa" w:w="100"/>
            </w:tcMar>
          </w:tcPr>
          <w:p>
            <w:r>
              <w:t xml:space="preserve">Magellan 2122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 Policy: The LP is prohibited from participating in any Portfolio Investment in a Portfolio Company that, at the time of the Partnership's initial investment therein: (a) is primarily engaged in: (i) gambling; (ii) the production or sale of alcoholic beverages; (iii) the production or sale of tobacco products; (iv) the production or sale of pork products; (v) pornography; or (vi) the manufacture or sale of weapons, armaments, artillery or ammunition; or (b) generates a majority of its revenues from business operations in the following countries: Algeria, Bahrain, Egypt, Iran, Iraq, Israel, Jordan, Kuwait, Lebanon, Libya, Morocco, Oman, Qatar, Saudi Arabia, Syria, Tunisia, United Arab Emirates and Yemen.</w:t>
            </w:r>
          </w:p>
        </w:tc>
      </w:tr>
      <w:tr>
        <w:tc>
          <w:tcPr>
            <w:shd w:fill="F9FAFB"/>
            <w:tcMar>
              <w:top w:type="dxa" w:w="100"/>
              <w:left w:type="dxa" w:w="100"/>
              <w:bottom w:type="dxa" w:w="100"/>
              <w:right w:type="dxa" w:w="100"/>
            </w:tcMar>
          </w:tcPr>
          <w:p>
            <w:r>
              <w:t xml:space="preserve">Kuwait Investment Authority acting for and on behalf of the Government of the St</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Exhibit A - Investment Policy: The LP is prohibited from participating in any Portfolio Investment in a Portfolio Company that, at the time of the Partnership's initial investment in such Portfolio Company, such Portfolio Company derives a majority of its revenues from (a) gambling activities or (b) the production, distribution, or sale of pork products or alcoholic beverages.</w:t>
            </w:r>
          </w:p>
        </w:tc>
      </w:tr>
      <w:tr>
        <w:tc>
          <w:tcPr>
            <w:shd w:fill="FFFFFF"/>
            <w:tcMar>
              <w:top w:type="dxa" w:w="100"/>
              <w:left w:type="dxa" w:w="100"/>
              <w:bottom w:type="dxa" w:w="100"/>
              <w:right w:type="dxa" w:w="100"/>
            </w:tcMar>
          </w:tcPr>
          <w:p>
            <w:r>
              <w:t xml:space="preserve">The Robert Wood Johnson Foundation</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 used herein, the term "FACT Company" means a company that, to the actual knowledge of the General Partner, generated more than 25 percent of its annual gross revenues in its most recently completed fiscal year from its growth, manufacture, production, retail sale or wholesale distribution of: (a) alcoholic beverages;</w:t>
            </w:r>
          </w:p>
        </w:tc>
      </w:tr>
      <w:tr>
        <w:tc>
          <w:tcPr>
            <w:shd w:fill="F9FAFB"/>
            <w:tcMar>
              <w:top w:type="dxa" w:w="100"/>
              <w:left w:type="dxa" w:w="100"/>
              <w:bottom w:type="dxa" w:w="100"/>
              <w:right w:type="dxa" w:w="100"/>
            </w:tcMar>
          </w:tcPr>
          <w:p>
            <w:r>
              <w:t xml:space="preserve">BBH &amp; CO AS CUSTODIAN FOR AFP MODELO S.A. FONDO DE PENSIONES TIPO D 5200381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 producing or selling alcoholic beverages; or</w:t>
            </w:r>
          </w:p>
        </w:tc>
      </w:tr>
    </w:tbl>
    <w:p>
      <w:pPr>
        <w:spacing w:before="100" w:after="100"/>
      </w:pPr>
      <w:r>
        <w:rPr>
          <w:b/>
          <w:bCs/>
        </w:rPr>
        <w:t xml:space="preserve">Total: 11 provisions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6:54:40 PM</w:t>
      </w:r>
    </w:p>
    <w:p>
      <w:pPr>
        <w:spacing w:before="100" w:after="100"/>
      </w:pPr>
      <w:r>
        <w:t xml:space="preserve">give with file name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6:54:56 PM</w:t>
      </w:r>
    </w:p>
    <w:p>
      <w:pPr>
        <w:spacing w:before="100" w:after="100"/>
      </w:pPr>
      <w:r>
        <w:t xml:space="preserve">The search did not return any relevant side letters with complete as-is text of alcohol investment restriction provisions. Would you like me to perform a deeper content-based search?</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6:55:23 PM</w:t>
      </w:r>
    </w:p>
    <w:p>
      <w:pPr>
        <w:spacing w:before="100" w:after="100"/>
      </w:pPr>
      <w:r>
        <w:t xml:space="preserve">yes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6:56:22 PM</w:t>
      </w:r>
    </w:p>
    <w:p>
      <w:pPr>
        <w:spacing w:before="100" w:after="100"/>
      </w:pPr>
      <w:r>
        <w:t xml:space="preserve">Searching for investment restriction provisions related to alcohol with complete as-is text from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Complete Provision Text (As-Is)</w:t>
            </w:r>
          </w:p>
        </w:tc>
      </w:tr>
      <w:tr>
        <w:tc>
          <w:tcPr>
            <w:shd w:fill="F9FAFB"/>
            <w:tcMar>
              <w:top w:type="dxa" w:w="100"/>
              <w:left w:type="dxa" w:w="100"/>
              <w:bottom w:type="dxa" w:w="100"/>
              <w:right w:type="dxa" w:w="100"/>
            </w:tcMar>
          </w:tcPr>
          <w:p>
            <w:r>
              <w:t xml:space="preserve">Apollo Hybrid Value Overseas Partners (Delaware 892), L.P. - Side Letter - Public Pension Agency</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[AUDIT_1]Investment Policy</w:t>
            </w:r>
          </w:p>
        </w:tc>
      </w:tr>
    </w:tbl>
    <w:p>
      <w:pPr>
        <w:spacing w:before="100" w:after="100"/>
      </w:pPr>
      <w:r>
        <w:t xml:space="preserve">The LP is prohibited from participating in a Portfolio Investment in the equity of a Portfolio Company that, at the time of the Partnership's initial investment in such Portfolio Company:
(a) in the aggregate, derives more than 50% of its gross annual revenues from (i) gambling, (ii) the production of alcohol, (iii) the production of pork, (iv) the production or trade of tobacco or (v) pornography; or
(b) has its principal place of business in Bahrain, Cyprus, Egypt, Iran, Iraq, Israel, Jordan, Kuwait, Lebanon, Oman, Palestine, Qatar, Saudi Arabia, Syria, the United Arab Emirates or Yemen.[/AUDIT_1] |
| 139 - AIF X - Side Letter - NewVest Vintage 2022 Aggregator (PE 50) LP. (2023-03-30) | NewVest Vintage 2022 Aggregator (PE 50) LP | Fund X | The LP is prohibited from participating in a Portfolio Investment in a Portfolio Company that, at the time of the Partnership's initial investment in such Portfolio Company:
(a) is principally engaged in (i) the production, distribution or sale of anti-personnel landmines, cluster bombs or weapons of mass destruction (including, without limitation, nuclear weapons, chemical weapons, or biological weapons); (ii) the production or sale of weapons, firearms, munitions or armaments (other than the production or sale of computer technology, communications equipment, software, medical supplies, vaccines or similar items); (iii) the burning of thermal coal to general electricity ("thermal coal" shall mean, as used herein, coal used to generate electricity, such as that which is burned to create steam to run turbines, but shall not include any transitioning technologies that relate to coal); (iv) the production or sale of drugs that is illegal in the jurisdiction in which such drugs are manufactured or sold; (v) the production, distribution or sale of pork products; (vi) the production, distribution or sale of pornography; (vii) the production, distribution or sale of alcoholic beverages; (viii) the production, distribution or sale of tobacco; or (ix) the operation of gambling establishments or the production, distribution or sale of gambling machines; |
| Apollo Investment Fund X, L.P. - Side Letter - Fondo de Fondos Global Investments, LLC (2023-06-30) | Fondo de Fondos Global Investments, LLC | Fund X | a.       the production or sale of alcoholic beverages or tobacco products; |
| AOP X - Side Letter (AFP Modelo S.A. Fondo de Pensiones Tipo B) (2023-02-07) | BBH &amp; CO AS CUSTODIAN FOR AFP MODELO S.A. FONDO DE PENSIONES TIPO B 5200365 | Fund X | (E) producing or selling alcoholic beverages; or |
| 88 - Apollo Investment Fund X, L.P. - Side Letter - Fondo de Fondos Global Investments, LLC (2023-06-30) | Fondo de Fondos Global Investments, LLC | Fund X | a. the production or sale of alcoholic beverages or tobacco products; |
| AOP X - Side Letter (AFP Modelo S.A. Fondo de Pensiones Tipo C) (2023-02-07) | BBH &amp; Co as custodian for AFP Modelo S.A. Fondo de Pensiones Tipo C 5200373 | Fund X | (E) producing or selling alcoholic beverages; or |
| AOP DE X - Side Letter - ASP 2022 Aspire II LP (AlpInvest) (2022-07-21) | ASP 2022 Aspire II LP | Fund X | 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 (excluding, for the avoidance of doubt, retailers, restaurants, and persons involved in the supply chain related to the production, trade or distribution of non-tobacco components of tobacco products or non-alcohol components of alcoholic beverages, including packaging). |
| AOP X - Side Letter - Magellan 2122 Limited (2022-11-01 | Magellan 2122 Limited | Fund X | Investment Policy
The LP is prohibited from participating in any Portfolio Investment in a Portfolio Company that, at the time of the Partnership's initial investment therein:
(a) is primarily engaged in:
(i) gambling;
(ii) the production or sale of alcoholic beverages;
(iii)the production or sale of tobacco products;
(iv) the production or sale of pork products;
(v) pornography; or
(vi) the manufacture or sale of weapons, armaments, artillery or ammunition; or
(b) generates a majority of its revenues from business operations in the following countries: Algeria, Bahrain, Egypt, Iran, Iraq, Israel, Jordan, Kuwait, Lebanon, Libya, Morocco, Oman, Qatar, Saudi Arabia, Syria, Tunisia, United Arab Emirates and Yemen. |
| Apollo Overseas Partners (Delaware 892) IX, L.P.  - Side Letter - Kuwait Investment Authority (2017-06-01) | Kuwait Investment Authority acting for and on behalf of the Government of the St | Fund IX | Exhibit A
Investment Policy
The LP is prohibited from participating in any Portfolio Investment in a Portfolio Company that, at the time of the Partnership's initial investment in such Portfolio Company, such Portfolio Company derives a majority of its revenues from (a) gambling activities or (b) the production, distribution, or sale of pork products or alcoholic beverages. |
| 190 - Apollo Investment Fund X, L.P. - Robert Wood Johnson Foundation Side Letter | The Robert Wood Johnson Foundation | Fund X | As used herein, the term "FACT Company" means a company that, to the actual knowledge of the General Partner, generated more than 25 percent of its annual gross revenues in its most recently completed fiscal year from its growth, manufacture, production, retail sale or wholesale distribution of:
(a) alcoholic beverages; |
| AOP X - Side Letter (AFP Modelo S.A. Fondo de Pensiones Tipo D) (2023-02-07) | BBH &amp; CO AS CUSTODIAN FOR AFP MODELO S.A. FONDO DE PENSIONES TIPO D 5200381 | Fund X | (E) producing or selling alcoholic beverages; or |</w:t>
      </w:r>
    </w:p>
    <w:p>
      <w:pPr>
        <w:spacing w:before="100" w:after="100"/>
      </w:pPr>
      <w:r>
        <w:rPr>
          <w:b/>
          <w:bCs/>
        </w:rPr>
        <w:t xml:space="preserve">Total: 11 provisions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2026-01-19T13:28:32.929Z</dcterms:created>
  <dcterms:modified xsi:type="dcterms:W3CDTF">2026-01-19T13:28:32.929Z</dcterms:modified>
</cp:coreProperties>
</file>

<file path=docProps/custom.xml><?xml version="1.0" encoding="utf-8"?>
<Properties xmlns="http://schemas.openxmlformats.org/officeDocument/2006/custom-properties" xmlns:vt="http://schemas.openxmlformats.org/officeDocument/2006/docPropsVTypes"/>
</file>