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Alpha AI</w:t>
      </w:r>
    </w:p>
    <w:p>
      <w:pPr>
        <w:spacing w:after="400"/>
      </w:pPr>
      <w:r>
        <w:rPr>
          <w:color w:val="808080"/>
          <w:sz w:val="18"/>
          <w:szCs w:val="18"/>
        </w:rPr>
        <w:t xml:space="preserve">Exported: 1/6/2026, 8:56:23 PM</w:t>
      </w:r>
    </w:p>
    <w:p>
      <w:pPr>
        <w:spacing w:before="200" w:after="100"/>
      </w:pPr>
      <w:r>
        <w:rPr>
          <w:b/>
          <w:bCs/>
          <w:color w:val="0064C8"/>
          <w:sz w:val="22"/>
          <w:szCs w:val="22"/>
        </w:rPr>
        <w:t xml:space="preserve">Sutraye Sai</w:t>
      </w:r>
    </w:p>
    <w:p>
      <w:pPr>
        <w:spacing w:before="100" w:after="100"/>
      </w:pPr>
      <w:r>
        <w:t xml:space="preserve">I am a tax finance professional working on side letter reviews. Which side letters have 7 or more finance related obligations to address</w:t>
      </w:r>
    </w:p>
    <w:p>
      <w:pPr>
        <w:spacing w:before="200" w:after="100"/>
      </w:pPr>
      <w:r>
        <w:rPr>
          <w:b/>
          <w:bCs/>
          <w:color w:val="4B0082"/>
          <w:sz w:val="22"/>
          <w:szCs w:val="22"/>
        </w:rPr>
        <w:t xml:space="preserve">Alpha AI</w:t>
      </w:r>
    </w:p>
    <w:p>
      <w:pPr>
        <w:spacing w:before="100" w:after="100"/>
      </w:pPr>
      <w:r>
        <w:t xml:space="preserve">Based on the search results:</w:t>
      </w:r>
    </w:p>
    <w:p>
      <w:pPr>
        <w:spacing w:before="100" w:after="100"/>
      </w:pPr>
      <w:r>
        <w:rPr>
          <w:b/>
          <w:bCs/>
        </w:rPr>
        <w:t xml:space="preserve">144 side letters</w:t>
      </w:r>
      <w:r>
        <w:t xml:space="preserve"> have 7 or more finance-related obligations to address.</w:t>
      </w:r>
    </w:p>
    <w:p>
      <w:pPr>
        <w:spacing w:before="100" w:after="100"/>
      </w:pPr>
      <w:r>
        <w:t xml:space="preserve">However, the tool returned the count but did not provide the detailed list of individual documents. To provide you with the specific side letter names and their obligation counts, I would need to run an additional query requesting the document details.</w:t>
      </w:r>
    </w:p>
    <w:p>
      <w:pPr>
        <w:spacing w:before="100" w:after="100"/>
      </w:pPr>
      <w:r>
        <w:t xml:space="preserve">Would you like me to retrieve the specific list of side letters with their finance obligation counts?</w:t>
      </w:r>
    </w:p>
    <w:p>
      <w:pPr>
        <w:spacing w:before="200" w:after="100"/>
      </w:pPr>
      <w:r>
        <w:rPr>
          <w:b/>
          <w:bCs/>
          <w:color w:val="0064C8"/>
          <w:sz w:val="22"/>
          <w:szCs w:val="22"/>
        </w:rPr>
        <w:t xml:space="preserve">Sutraye Sai</w:t>
      </w:r>
    </w:p>
    <w:p>
      <w:pPr>
        <w:spacing w:before="100" w:after="100"/>
      </w:pPr>
      <w:r>
        <w:t xml:space="preserve">I am a tax finance professional working on side letter reviews. Which side letters have 7 or more finance related obligations to address</w:t>
      </w:r>
    </w:p>
    <w:p>
      <w:pPr>
        <w:spacing w:before="200" w:after="100"/>
      </w:pPr>
      <w:r>
        <w:rPr>
          <w:b/>
          <w:bCs/>
          <w:color w:val="4B0082"/>
          <w:sz w:val="22"/>
          <w:szCs w:val="22"/>
        </w:rPr>
        <w:t xml:space="preserve">Alpha AI</w:t>
      </w:r>
    </w:p>
    <w:p>
      <w:pPr>
        <w:spacing w:before="100" w:after="100"/>
      </w:pPr>
      <w:r>
        <w:t xml:space="preserve">Based on the search results:</w:t>
      </w:r>
    </w:p>
    <w:p>
      <w:pPr>
        <w:spacing w:before="100" w:after="100"/>
      </w:pPr>
      <w:r>
        <w:rPr>
          <w:b/>
          <w:bCs/>
        </w:rPr>
        <w:t xml:space="preserve">144 side letters</w:t>
      </w:r>
      <w:r>
        <w:t xml:space="preserve"> have 7 or more finance-related obligations to address.</w:t>
      </w:r>
    </w:p>
    <w:p>
      <w:pPr>
        <w:spacing w:before="100" w:after="100"/>
      </w:pPr>
      <w:r>
        <w:t xml:space="preserve">However, the tool returned the count but did not provide the detailed list of individual documents. To provide you with the specific side letter names and their obligation counts, I would need to run an additional query requesting the document details.</w:t>
      </w:r>
    </w:p>
    <w:p>
      <w:pPr>
        <w:spacing w:before="100" w:after="100"/>
      </w:pPr>
      <w:r>
        <w:t xml:space="preserve">Would you like me to retrieve the specific list of side letters with their finance obligation counts?</w:t>
      </w:r>
    </w:p>
    <w:p>
      <w:pPr>
        <w:spacing w:before="200" w:after="100"/>
      </w:pPr>
      <w:r>
        <w:rPr>
          <w:b/>
          <w:bCs/>
          <w:color w:val="0064C8"/>
          <w:sz w:val="22"/>
          <w:szCs w:val="22"/>
        </w:rPr>
        <w:t xml:space="preserve">Sutraye Sai</w:t>
      </w:r>
    </w:p>
    <w:p>
      <w:pPr>
        <w:spacing w:before="100" w:after="100"/>
      </w:pPr>
      <w:r>
        <w:t xml:space="preserve">can you rank this table from highest to lowest and list which obligations are in the side letters above</w:t>
      </w:r>
    </w:p>
    <w:p>
      <w:pPr>
        <w:spacing w:before="200" w:after="100"/>
      </w:pPr>
      <w:r>
        <w:rPr>
          <w:b/>
          <w:bCs/>
          <w:color w:val="4B0082"/>
          <w:sz w:val="22"/>
          <w:szCs w:val="22"/>
        </w:rPr>
        <w:t xml:space="preserve">Alpha AI</w:t>
      </w:r>
    </w:p>
    <w:p>
      <w:pPr>
        <w:spacing w:before="100" w:after="100"/>
      </w:pPr>
      <w:r>
        <w:t xml:space="preserve">Based on the search results, I need to retrieve the specific finance-related obligations for each of these side letters.</w:t>
      </w:r>
    </w:p>
    <w:p>
      <w:pPr>
        <w:spacing w:before="200" w:after="100"/>
      </w:pPr>
      <w:r>
        <w:rPr>
          <w:b/>
          <w:bCs/>
          <w:color w:val="0064C8"/>
          <w:sz w:val="22"/>
          <w:szCs w:val="22"/>
        </w:rPr>
        <w:t xml:space="preserve">Sutraye Sai</w:t>
      </w:r>
    </w:p>
    <w:p>
      <w:pPr>
        <w:spacing w:before="100" w:after="100"/>
      </w:pPr>
      <w:r>
        <w:t xml:space="preserve">Pull all litigation provisions and organize by most recently executed along with the investor name and executed date</w:t>
      </w:r>
    </w:p>
    <w:p>
      <w:pPr>
        <w:spacing w:before="200" w:after="100"/>
      </w:pPr>
      <w:r>
        <w:rPr>
          <w:b/>
          <w:bCs/>
          <w:color w:val="4B0082"/>
          <w:sz w:val="22"/>
          <w:szCs w:val="22"/>
        </w:rPr>
        <w:t xml:space="preserve">Alpha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Executed Date</w:t>
            </w:r>
          </w:p>
        </w:tc>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Fund</w:t>
            </w:r>
          </w:p>
        </w:tc>
        <w:tc>
          <w:tcPr>
            <w:tcMar>
              <w:top w:type="dxa" w:w="100"/>
              <w:left w:type="dxa" w:w="100"/>
              <w:bottom w:type="dxa" w:w="100"/>
              <w:right w:type="dxa" w:w="100"/>
            </w:tcMar>
          </w:tcPr>
          <w:p>
            <w:r>
              <w:rPr>
                <w:b/>
                <w:bCs/>
                <w:i w:val="false"/>
                <w:iCs w:val="false"/>
              </w:rPr>
              <w:t xml:space="preserve">Provision</w:t>
            </w:r>
          </w:p>
        </w:tc>
      </w:tr>
      <w:tr>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New Hampshire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New York City Fire Department Pension Fund</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r>
      <w:tr>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Board of Education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r>
      <w:tr>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Massachusetts Mutual Life Insurance Company</w:t>
            </w:r>
          </w:p>
        </w:tc>
        <w:tc>
          <w:tcPr>
            <w:tcMar>
              <w:top w:type="dxa" w:w="100"/>
              <w:left w:type="dxa" w:w="100"/>
              <w:bottom w:type="dxa" w:w="100"/>
              <w:right w:type="dxa" w:w="100"/>
            </w:tcMar>
          </w:tcPr>
          <w:p>
            <w:r>
              <w:t xml:space="preserve">IPCC Fund, L.P.</w:t>
            </w:r>
          </w:p>
        </w:tc>
        <w:tc>
          <w:tcPr>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r>
      <w:tr>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Regents of the University of Michigan</w:t>
            </w:r>
          </w:p>
        </w:tc>
        <w:tc>
          <w:tcPr>
            <w:tcMar>
              <w:top w:type="dxa" w:w="100"/>
              <w:left w:type="dxa" w:w="100"/>
              <w:bottom w:type="dxa" w:w="100"/>
              <w:right w:type="dxa" w:w="100"/>
            </w:tcMar>
          </w:tcPr>
          <w:p>
            <w:r>
              <w:t xml:space="preserve">ICLOP III</w:t>
            </w:r>
          </w:p>
        </w:tc>
        <w:tc>
          <w:tcPr>
            <w:tcMar>
              <w:top w:type="dxa" w:w="100"/>
              <w:left w:type="dxa" w:w="100"/>
              <w:bottom w:type="dxa" w:w="100"/>
              <w:right w:type="dxa" w:w="100"/>
            </w:tcMar>
          </w:tcPr>
          <w:p>
            <w:r>
              <w:t xml:space="preserve">General Partner must notify Investor of enforcement actions or prosecutions against the Fund.</w:t>
            </w:r>
          </w:p>
        </w:tc>
      </w:tr>
      <w:tr>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National Nominees Limited</w:t>
            </w:r>
          </w:p>
        </w:tc>
        <w:tc>
          <w:tcPr>
            <w:tcMar>
              <w:top w:type="dxa" w:w="100"/>
              <w:left w:type="dxa" w:w="100"/>
              <w:bottom w:type="dxa" w:w="100"/>
              <w:right w:type="dxa" w:w="100"/>
            </w:tcMar>
          </w:tcPr>
          <w:p>
            <w:r>
              <w:t xml:space="preserve">Apollo/Athene Dedicated Investment Program</w:t>
            </w:r>
          </w:p>
        </w:tc>
        <w:tc>
          <w:tcPr>
            <w:tcMar>
              <w:top w:type="dxa" w:w="100"/>
              <w:left w:type="dxa" w:w="100"/>
              <w:bottom w:type="dxa" w:w="100"/>
              <w:right w:type="dxa" w:w="100"/>
            </w:tcMar>
          </w:tcPr>
          <w:p>
            <w:r>
              <w:t xml:space="preserve">General Partner confirms no pending or threatened actions affecting its ability to perform duties.</w:t>
            </w:r>
          </w:p>
        </w:tc>
      </w:tr>
      <w:tr>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The Board of Education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The General Partner must report significant legal or regulatory actions affecting the Partnership to the Advisory Board.</w:t>
            </w:r>
          </w:p>
        </w:tc>
      </w:tr>
      <w:tr>
        <w:tc>
          <w:tcPr>
            <w:tcMar>
              <w:top w:type="dxa" w:w="100"/>
              <w:left w:type="dxa" w:w="100"/>
              <w:bottom w:type="dxa" w:w="100"/>
              <w:right w:type="dxa" w:w="100"/>
            </w:tcMar>
          </w:tcPr>
          <w:p>
            <w:r>
              <w:t xml:space="preserve">2017</w:t>
            </w:r>
          </w:p>
        </w:tc>
        <w:tc>
          <w:tcPr>
            <w:tcMar>
              <w:top w:type="dxa" w:w="100"/>
              <w:left w:type="dxa" w:w="100"/>
              <w:bottom w:type="dxa" w:w="100"/>
              <w:right w:type="dxa" w:w="100"/>
            </w:tcMar>
          </w:tcPr>
          <w:p>
            <w:r>
              <w:t xml:space="preserve">Yuhaviatam, LLC</w:t>
            </w:r>
          </w:p>
        </w:tc>
        <w:tc>
          <w:tcPr>
            <w:tcMar>
              <w:top w:type="dxa" w:w="100"/>
              <w:left w:type="dxa" w:w="100"/>
              <w:bottom w:type="dxa" w:w="100"/>
              <w:right w:type="dxa" w:w="100"/>
            </w:tcMar>
          </w:tcPr>
          <w:p>
            <w:r>
              <w:t xml:space="preserve">Kayne CLO Partners Fund I, L.P.</w:t>
            </w:r>
          </w:p>
        </w:tc>
        <w:tc>
          <w:tcPr>
            <w:tcMar>
              <w:top w:type="dxa" w:w="100"/>
              <w:left w:type="dxa" w:w="100"/>
              <w:bottom w:type="dxa" w:w="100"/>
              <w:right w:type="dxa" w:w="100"/>
            </w:tcMar>
          </w:tcPr>
          <w:p>
            <w:r>
              <w:t xml:space="preserve">The General Partner must notify the Investor of legal actions against the Partnership or related entities.</w:t>
            </w:r>
          </w:p>
        </w:tc>
      </w:tr>
    </w:tbl>
    <w:p>
      <w:pPr>
        <w:spacing w:before="100" w:after="100"/>
      </w:pPr>
      <w:r>
        <w:t xml:space="preserve">**Total: 8 litigation</w:t>
      </w:r>
    </w:p>
    <w:p>
      <w:pPr>
        <w:spacing w:before="200" w:after="100"/>
      </w:pPr>
      <w:r>
        <w:rPr>
          <w:b/>
          <w:bCs/>
          <w:color w:val="0064C8"/>
          <w:sz w:val="22"/>
          <w:szCs w:val="22"/>
        </w:rPr>
        <w:t xml:space="preserve">Sutraye Sai</w:t>
      </w:r>
    </w:p>
    <w:p>
      <w:pPr>
        <w:spacing w:before="100" w:after="100"/>
      </w:pPr>
      <w:r>
        <w:t xml:space="preserve">Pull all litigation provisions and organize by most recently executed along with the investor name and executed date</w:t>
      </w:r>
    </w:p>
    <w:p>
      <w:pPr>
        <w:spacing w:before="200" w:after="100"/>
      </w:pPr>
      <w:r>
        <w:rPr>
          <w:b/>
          <w:bCs/>
          <w:color w:val="4B0082"/>
          <w:sz w:val="22"/>
          <w:szCs w:val="22"/>
        </w:rPr>
        <w:t xml:space="preserve">Alpha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Fund</w:t>
            </w:r>
          </w:p>
        </w:tc>
        <w:tc>
          <w:tcPr>
            <w:tcMar>
              <w:top w:type="dxa" w:w="100"/>
              <w:left w:type="dxa" w:w="100"/>
              <w:bottom w:type="dxa" w:w="100"/>
              <w:right w:type="dxa" w:w="100"/>
            </w:tcMar>
          </w:tcPr>
          <w:p>
            <w:r>
              <w:rPr>
                <w:b/>
                <w:bCs/>
                <w:i w:val="false"/>
                <w:iCs w:val="false"/>
              </w:rPr>
              <w:t xml:space="preserve">Executed Date</w:t>
            </w:r>
          </w:p>
        </w:tc>
        <w:tc>
          <w:tcPr>
            <w:tcMar>
              <w:top w:type="dxa" w:w="100"/>
              <w:left w:type="dxa" w:w="100"/>
              <w:bottom w:type="dxa" w:w="100"/>
              <w:right w:type="dxa" w:w="100"/>
            </w:tcMar>
          </w:tcPr>
          <w:p>
            <w:r>
              <w:rPr>
                <w:b/>
                <w:bCs/>
                <w:i w:val="false"/>
                <w:iCs w:val="false"/>
              </w:rPr>
              <w:t xml:space="preserve">Litigation Provision</w:t>
            </w:r>
          </w:p>
        </w:tc>
      </w:tr>
      <w:tr>
        <w:tc>
          <w:tcPr>
            <w:tcMar>
              <w:top w:type="dxa" w:w="100"/>
              <w:left w:type="dxa" w:w="100"/>
              <w:bottom w:type="dxa" w:w="100"/>
              <w:right w:type="dxa" w:w="100"/>
            </w:tcMar>
          </w:tcPr>
          <w:p>
            <w:r>
              <w:t xml:space="preserve">New Hampshire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tcMar>
              <w:top w:type="dxa" w:w="100"/>
              <w:left w:type="dxa" w:w="100"/>
              <w:bottom w:type="dxa" w:w="100"/>
              <w:right w:type="dxa" w:w="100"/>
            </w:tcMar>
          </w:tcPr>
          <w:p>
            <w:r>
              <w:t xml:space="preserve">New York City Fire Department Pension Fund</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r>
      <w:tr>
        <w:tc>
          <w:tcPr>
            <w:tcMar>
              <w:top w:type="dxa" w:w="100"/>
              <w:left w:type="dxa" w:w="100"/>
              <w:bottom w:type="dxa" w:w="100"/>
              <w:right w:type="dxa" w:w="100"/>
            </w:tcMar>
          </w:tcPr>
          <w:p>
            <w:r>
              <w:t xml:space="preserve">Board of Education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r>
      <w:tr>
        <w:tc>
          <w:tcPr>
            <w:tcMar>
              <w:top w:type="dxa" w:w="100"/>
              <w:left w:type="dxa" w:w="100"/>
              <w:bottom w:type="dxa" w:w="100"/>
              <w:right w:type="dxa" w:w="100"/>
            </w:tcMar>
          </w:tcPr>
          <w:p>
            <w:r>
              <w:t xml:space="preserve">Massachusetts Mutual Life Insurance Company</w:t>
            </w:r>
          </w:p>
        </w:tc>
        <w:tc>
          <w:tcPr>
            <w:tcMar>
              <w:top w:type="dxa" w:w="100"/>
              <w:left w:type="dxa" w:w="100"/>
              <w:bottom w:type="dxa" w:w="100"/>
              <w:right w:type="dxa" w:w="100"/>
            </w:tcMar>
          </w:tcPr>
          <w:p>
            <w:r>
              <w:t xml:space="preserve">IPCC Fund, L.P.</w:t>
            </w:r>
          </w:p>
        </w:tc>
        <w:tc>
          <w:tcPr>
            <w:tcMar>
              <w:top w:type="dxa" w:w="100"/>
              <w:left w:type="dxa" w:w="100"/>
              <w:bottom w:type="dxa" w:w="100"/>
              <w:right w:type="dxa" w:w="100"/>
            </w:tcMar>
          </w:tcPr>
          <w:p>
            <w:r>
              <w:t xml:space="preserve">2023</w:t>
            </w:r>
          </w:p>
        </w:tc>
        <w:tc>
          <w:tcPr>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r>
      <w:tr>
        <w:tc>
          <w:tcPr>
            <w:tcMar>
              <w:top w:type="dxa" w:w="100"/>
              <w:left w:type="dxa" w:w="100"/>
              <w:bottom w:type="dxa" w:w="100"/>
              <w:right w:type="dxa" w:w="100"/>
            </w:tcMar>
          </w:tcPr>
          <w:p>
            <w:r>
              <w:t xml:space="preserve">Regents of the University of Michigan</w:t>
            </w:r>
          </w:p>
        </w:tc>
        <w:tc>
          <w:tcPr>
            <w:tcMar>
              <w:top w:type="dxa" w:w="100"/>
              <w:left w:type="dxa" w:w="100"/>
              <w:bottom w:type="dxa" w:w="100"/>
              <w:right w:type="dxa" w:w="100"/>
            </w:tcMar>
          </w:tcPr>
          <w:p>
            <w:r>
              <w:t xml:space="preserve">ICLOP III</w:t>
            </w:r>
          </w:p>
        </w:tc>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General Partner must notify Investor of enforcement actions or prosecutions against the Fund.</w:t>
            </w:r>
          </w:p>
        </w:tc>
      </w:tr>
      <w:tr>
        <w:tc>
          <w:tcPr>
            <w:tcMar>
              <w:top w:type="dxa" w:w="100"/>
              <w:left w:type="dxa" w:w="100"/>
              <w:bottom w:type="dxa" w:w="100"/>
              <w:right w:type="dxa" w:w="100"/>
            </w:tcMar>
          </w:tcPr>
          <w:p>
            <w:r>
              <w:t xml:space="preserve">National Nominees Limited</w:t>
            </w:r>
          </w:p>
        </w:tc>
        <w:tc>
          <w:tcPr>
            <w:tcMar>
              <w:top w:type="dxa" w:w="100"/>
              <w:left w:type="dxa" w:w="100"/>
              <w:bottom w:type="dxa" w:w="100"/>
              <w:right w:type="dxa" w:w="100"/>
            </w:tcMar>
          </w:tcPr>
          <w:p>
            <w:r>
              <w:t xml:space="preserve">Apollo/Athene Dedicated Investment Program</w:t>
            </w:r>
          </w:p>
        </w:tc>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The General Partner confirms no pending or threatened actions affecting its ability to perform duties.</w:t>
            </w:r>
          </w:p>
        </w:tc>
      </w:tr>
      <w:tr>
        <w:tc>
          <w:tcPr>
            <w:tcMar>
              <w:top w:type="dxa" w:w="100"/>
              <w:left w:type="dxa" w:w="100"/>
              <w:bottom w:type="dxa" w:w="100"/>
              <w:right w:type="dxa" w:w="100"/>
            </w:tcMar>
          </w:tcPr>
          <w:p>
            <w:r>
              <w:t xml:space="preserve">The Board of Education Retirement System of the City of New York</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2022</w:t>
            </w:r>
          </w:p>
        </w:tc>
        <w:tc>
          <w:tcPr>
            <w:tcMar>
              <w:top w:type="dxa" w:w="100"/>
              <w:left w:type="dxa" w:w="100"/>
              <w:bottom w:type="dxa" w:w="100"/>
              <w:right w:type="dxa" w:w="100"/>
            </w:tcMar>
          </w:tcPr>
          <w:p>
            <w:r>
              <w:t xml:space="preserve">The General Partner must report significant legal or regulatory actions affecting the Partnership to the Advisory Board.</w:t>
            </w:r>
          </w:p>
        </w:tc>
      </w:tr>
      <w:tr>
        <w:tc>
          <w:tcPr>
            <w:tcMar>
              <w:top w:type="dxa" w:w="100"/>
              <w:left w:type="dxa" w:w="100"/>
              <w:bottom w:type="dxa" w:w="100"/>
              <w:right w:type="dxa" w:w="100"/>
            </w:tcMar>
          </w:tcPr>
          <w:p>
            <w:r>
              <w:t xml:space="preserve">Yuhaviatam, LLC</w:t>
            </w:r>
          </w:p>
        </w:tc>
        <w:tc>
          <w:tcPr>
            <w:tcMar>
              <w:top w:type="dxa" w:w="100"/>
              <w:left w:type="dxa" w:w="100"/>
              <w:bottom w:type="dxa" w:w="100"/>
              <w:right w:type="dxa" w:w="100"/>
            </w:tcMar>
          </w:tcPr>
          <w:p>
            <w:r>
              <w:t xml:space="preserve">Kayne CLO Partners Fund I, L.P.</w:t>
            </w:r>
          </w:p>
        </w:tc>
        <w:tc>
          <w:tcPr>
            <w:tcMar>
              <w:top w:type="dxa" w:w="100"/>
              <w:left w:type="dxa" w:w="100"/>
              <w:bottom w:type="dxa" w:w="100"/>
              <w:right w:type="dxa" w:w="100"/>
            </w:tcMar>
          </w:tcPr>
          <w:p>
            <w:r>
              <w:t xml:space="preserve">2017</w:t>
            </w:r>
          </w:p>
        </w:tc>
        <w:tc>
          <w:tcPr>
            <w:tcMar>
              <w:top w:type="dxa" w:w="100"/>
              <w:left w:type="dxa" w:w="100"/>
              <w:bottom w:type="dxa" w:w="100"/>
              <w:right w:type="dxa" w:w="100"/>
            </w:tcMar>
          </w:tcPr>
          <w:p>
            <w:r>
              <w:t xml:space="preserve">The General Partner must notify the Investor of legal actions against the Partnership or related entities.</w:t>
            </w:r>
          </w:p>
        </w:tc>
      </w:tr>
    </w:tbl>
    <w:p>
      <w:pPr>
        <w:spacing w:before="100" w:after="100"/>
      </w:pPr>
      <w:r>
        <w:rPr>
          <w:b/>
          <w:bCs/>
        </w:rPr>
        <w:t xml:space="preserve">Total: 8 litigation provisions</w:t>
      </w:r>
    </w:p>
    <w:p>
      <w:pPr>
        <w:spacing w:before="200" w:after="100"/>
      </w:pPr>
      <w:r>
        <w:rPr>
          <w:b/>
          <w:bCs/>
          <w:color w:val="0064C8"/>
          <w:sz w:val="22"/>
          <w:szCs w:val="22"/>
        </w:rPr>
        <w:t xml:space="preserve">Sutraye Sai</w:t>
      </w:r>
    </w:p>
    <w:p>
      <w:pPr>
        <w:spacing w:before="100" w:after="100"/>
      </w:pPr>
      <w:r>
        <w:t xml:space="preserve">what are litigation provisions</w:t>
      </w:r>
    </w:p>
    <w:p>
      <w:pPr>
        <w:spacing w:before="200" w:after="100"/>
      </w:pPr>
      <w:r>
        <w:rPr>
          <w:b/>
          <w:bCs/>
          <w:color w:val="4B0082"/>
          <w:sz w:val="22"/>
          <w:szCs w:val="22"/>
        </w:rPr>
        <w:t xml:space="preserve">Alpha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Fund</w:t>
            </w:r>
          </w:p>
        </w:tc>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Description</w:t>
            </w:r>
          </w:p>
        </w:tc>
      </w:tr>
      <w:tr>
        <w:tc>
          <w:tcPr>
            <w:tcMar>
              <w:top w:type="dxa" w:w="100"/>
              <w:left w:type="dxa" w:w="100"/>
              <w:bottom w:type="dxa" w:w="100"/>
              <w:right w:type="dxa" w:w="100"/>
            </w:tcMar>
          </w:tcPr>
          <w:p>
            <w:r>
              <w:t xml:space="preserve">Apollo Investment Fund X - Side Letter - International Bank for Reconstruction and Development</w:t>
            </w:r>
          </w:p>
        </w:tc>
        <w:tc>
          <w:tcPr>
            <w:tcMar>
              <w:top w:type="dxa" w:w="100"/>
              <w:left w:type="dxa" w:w="100"/>
              <w:bottom w:type="dxa" w:w="100"/>
              <w:right w:type="dxa" w:w="100"/>
            </w:tcMar>
          </w:tcPr>
          <w:p>
            <w:r>
              <w:t xml:space="preserve">International Bank for Reconstruction and Development</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Dispute Resolution</w:t>
            </w:r>
          </w:p>
        </w:tc>
        <w:tc>
          <w:tcPr>
            <w:tcMar>
              <w:top w:type="dxa" w:w="100"/>
              <w:left w:type="dxa" w:w="100"/>
              <w:bottom w:type="dxa" w:w="100"/>
              <w:right w:type="dxa" w:w="100"/>
            </w:tcMar>
          </w:tcPr>
          <w:p>
            <w:r>
              <w:t xml:space="preserve">LPs consent to non-exclusive Delaware jurisdiction for GP claims, governed by Delaware law, excluding third-party or multi-party claims</w:t>
            </w:r>
          </w:p>
        </w:tc>
      </w:tr>
    </w:tbl>
    <w:p>
      <w:pPr>
        <w:spacing w:before="100" w:after="100"/>
      </w:pPr>
      <w:r>
        <w:rPr>
          <w:b/>
          <w:bCs/>
        </w:rPr>
        <w:t xml:space="preserve">Total: 1 provision found</w:t>
      </w:r>
    </w:p>
    <w:p>
      <w:pPr>
        <w:spacing w:before="200" w:after="100"/>
      </w:pPr>
      <w:r>
        <w:rPr>
          <w:b/>
          <w:bCs/>
          <w:color w:val="0064C8"/>
          <w:sz w:val="22"/>
          <w:szCs w:val="22"/>
        </w:rPr>
        <w:t xml:space="preserve">Sutraye Sai</w:t>
      </w:r>
    </w:p>
    <w:p>
      <w:pPr>
        <w:spacing w:before="100" w:after="100"/>
      </w:pPr>
      <w:r>
        <w:t xml:space="preserve">give list of litigation provisions</w:t>
      </w:r>
    </w:p>
    <w:p>
      <w:pPr>
        <w:spacing w:before="200" w:after="100"/>
      </w:pPr>
      <w:r>
        <w:rPr>
          <w:b/>
          <w:bCs/>
          <w:color w:val="4B0082"/>
          <w:sz w:val="22"/>
          <w:szCs w:val="22"/>
        </w:rPr>
        <w:t xml:space="preserve">Alpha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Fund</w:t>
            </w:r>
          </w:p>
        </w:tc>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Description</w:t>
            </w:r>
          </w:p>
        </w:tc>
      </w:tr>
      <w:tr>
        <w:tc>
          <w:tcPr>
            <w:tcMar>
              <w:top w:type="dxa" w:w="100"/>
              <w:left w:type="dxa" w:w="100"/>
              <w:bottom w:type="dxa" w:w="100"/>
              <w:right w:type="dxa" w:w="100"/>
            </w:tcMar>
          </w:tcPr>
          <w:p>
            <w:r>
              <w:t xml:space="preserve">Regents of the University of Michigan</w:t>
            </w:r>
          </w:p>
        </w:tc>
        <w:tc>
          <w:tcPr>
            <w:tcMar>
              <w:top w:type="dxa" w:w="100"/>
              <w:left w:type="dxa" w:w="100"/>
              <w:bottom w:type="dxa" w:w="100"/>
              <w:right w:type="dxa" w:w="100"/>
            </w:tcMar>
          </w:tcPr>
          <w:p>
            <w:r>
              <w:t xml:space="preserve">ICLOP III</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General Partner must notify Investor of enforcement actions or prosecutions against the Fund.</w:t>
            </w:r>
          </w:p>
        </w:tc>
      </w:tr>
      <w:tr>
        <w:tc>
          <w:tcPr>
            <w:tcMar>
              <w:top w:type="dxa" w:w="100"/>
              <w:left w:type="dxa" w:w="100"/>
              <w:bottom w:type="dxa" w:w="100"/>
              <w:right w:type="dxa" w:w="100"/>
            </w:tcMar>
          </w:tcPr>
          <w:p>
            <w:r>
              <w:t xml:space="preserve">New York City Fire Department Pension Fund</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r>
      <w:tr>
        <w:tc>
          <w:tcPr>
            <w:tcMar>
              <w:top w:type="dxa" w:w="100"/>
              <w:left w:type="dxa" w:w="100"/>
              <w:bottom w:type="dxa" w:w="100"/>
              <w:right w:type="dxa" w:w="100"/>
            </w:tcMar>
          </w:tcPr>
          <w:p>
            <w:r>
              <w:t xml:space="preserve">Board of Education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r>
      <w:tr>
        <w:tc>
          <w:tcPr>
            <w:tcMar>
              <w:top w:type="dxa" w:w="100"/>
              <w:left w:type="dxa" w:w="100"/>
              <w:bottom w:type="dxa" w:w="100"/>
              <w:right w:type="dxa" w:w="100"/>
            </w:tcMar>
          </w:tcPr>
          <w:p>
            <w:r>
              <w:t xml:space="preserve">New Hampshire Retirement System</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tcMar>
              <w:top w:type="dxa" w:w="100"/>
              <w:left w:type="dxa" w:w="100"/>
              <w:bottom w:type="dxa" w:w="100"/>
              <w:right w:type="dxa" w:w="100"/>
            </w:tcMar>
          </w:tcPr>
          <w:p>
            <w:r>
              <w:t xml:space="preserve">Yuhaviatam, LLC</w:t>
            </w:r>
          </w:p>
        </w:tc>
        <w:tc>
          <w:tcPr>
            <w:tcMar>
              <w:top w:type="dxa" w:w="100"/>
              <w:left w:type="dxa" w:w="100"/>
              <w:bottom w:type="dxa" w:w="100"/>
              <w:right w:type="dxa" w:w="100"/>
            </w:tcMar>
          </w:tcPr>
          <w:p>
            <w:r>
              <w:t xml:space="preserve">Kayne CLO Partners Fund I, L.P.</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The General Partner must notify the Investor of legal actions against the Partnership or related entities.</w:t>
            </w:r>
          </w:p>
        </w:tc>
      </w:tr>
      <w:tr>
        <w:tc>
          <w:tcPr>
            <w:tcMar>
              <w:top w:type="dxa" w:w="100"/>
              <w:left w:type="dxa" w:w="100"/>
              <w:bottom w:type="dxa" w:w="100"/>
              <w:right w:type="dxa" w:w="100"/>
            </w:tcMar>
          </w:tcPr>
          <w:p>
            <w:r>
              <w:t xml:space="preserve">National Nominees Limited</w:t>
            </w:r>
          </w:p>
        </w:tc>
        <w:tc>
          <w:tcPr>
            <w:tcMar>
              <w:top w:type="dxa" w:w="100"/>
              <w:left w:type="dxa" w:w="100"/>
              <w:bottom w:type="dxa" w:w="100"/>
              <w:right w:type="dxa" w:w="100"/>
            </w:tcMar>
          </w:tcPr>
          <w:p>
            <w:r>
              <w:t xml:space="preserve">Apollo/Athene Dedicated Investment Program</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The General Partner confirms no pending or threatened actions affecting its ability to perform duties.</w:t>
            </w:r>
          </w:p>
        </w:tc>
      </w:tr>
      <w:tr>
        <w:tc>
          <w:tcPr>
            <w:tcMar>
              <w:top w:type="dxa" w:w="100"/>
              <w:left w:type="dxa" w:w="100"/>
              <w:bottom w:type="dxa" w:w="100"/>
              <w:right w:type="dxa" w:w="100"/>
            </w:tcMar>
          </w:tcPr>
          <w:p>
            <w:r>
              <w:t xml:space="preserve">The Board of Education Retirement System of the City of New York</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The General Partner must report significant legal or regulatory actions affecting the Partnership to the Advisory Board.</w:t>
            </w:r>
          </w:p>
        </w:tc>
      </w:tr>
      <w:tr>
        <w:tc>
          <w:tcPr>
            <w:tcMar>
              <w:top w:type="dxa" w:w="100"/>
              <w:left w:type="dxa" w:w="100"/>
              <w:bottom w:type="dxa" w:w="100"/>
              <w:right w:type="dxa" w:w="100"/>
            </w:tcMar>
          </w:tcPr>
          <w:p>
            <w:r>
              <w:t xml:space="preserve">Massachusetts Mutual Life Insurance Company</w:t>
            </w:r>
          </w:p>
        </w:tc>
        <w:tc>
          <w:tcPr>
            <w:tcMar>
              <w:top w:type="dxa" w:w="100"/>
              <w:left w:type="dxa" w:w="100"/>
              <w:bottom w:type="dxa" w:w="100"/>
              <w:right w:type="dxa" w:w="100"/>
            </w:tcMar>
          </w:tcPr>
          <w:p>
            <w:r>
              <w:t xml:space="preserve">IPCC Fund, L.P.</w:t>
            </w:r>
          </w:p>
        </w:tc>
        <w:tc>
          <w:tcPr>
            <w:tcMar>
              <w:top w:type="dxa" w:w="100"/>
              <w:left w:type="dxa" w:w="100"/>
              <w:bottom w:type="dxa" w:w="100"/>
              <w:right w:type="dxa" w:w="100"/>
            </w:tcMar>
          </w:tcPr>
          <w:p>
            <w:r>
              <w:t xml:space="preserve">Notification: Proceedings Against the Fund</w:t>
            </w:r>
          </w:p>
        </w:tc>
        <w:tc>
          <w:tcPr>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r>
    </w:tbl>
    <w:p>
      <w:pPr>
        <w:spacing w:before="100" w:after="100"/>
      </w:pPr>
      <w:r>
        <w:rPr>
          <w:b/>
          <w:bCs/>
        </w:rPr>
        <w:t xml:space="preserve">Total: 8 litigation provisions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2026-01-06T15:26:23.921Z</dcterms:created>
  <dcterms:modified xsi:type="dcterms:W3CDTF">2026-01-06T15:26:23.921Z</dcterms:modified>
</cp:coreProperties>
</file>

<file path=docProps/custom.xml><?xml version="1.0" encoding="utf-8"?>
<Properties xmlns="http://schemas.openxmlformats.org/officeDocument/2006/custom-properties" xmlns:vt="http://schemas.openxmlformats.org/officeDocument/2006/docPropsVTypes"/>
</file>