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Alpha AI</w:t>
      </w:r>
    </w:p>
    <w:p>
      <w:pPr>
        <w:spacing w:after="400"/>
      </w:pPr>
      <w:r>
        <w:rPr>
          <w:color w:val="808080"/>
          <w:sz w:val="18"/>
          <w:szCs w:val="18"/>
        </w:rPr>
        <w:t xml:space="preserve">Exported: 1/11/2026, 2:45:38 PM</w:t>
      </w:r>
    </w:p>
    <w:p>
      <w:pPr>
        <w:spacing w:before="200" w:after="100"/>
      </w:pPr>
      <w:r>
        <w:rPr>
          <w:b/>
          <w:bCs/>
          <w:color w:val="0064C8"/>
          <w:sz w:val="22"/>
          <w:szCs w:val="22"/>
        </w:rPr>
        <w:t xml:space="preserve">Sutraye Sai</w:t>
      </w:r>
    </w:p>
    <w:p>
      <w:pPr>
        <w:spacing w:before="100" w:after="100"/>
      </w:pPr>
      <w:r>
        <w:t xml:space="preserve">What is the investor’s investment restriction related to alcohol?</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Alcohol Investment Restrictions: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Restriction Type</w:t>
            </w:r>
          </w:p>
        </w:tc>
        <w:tc>
          <w:tcPr>
            <w:tcMar>
              <w:top w:type="dxa" w:w="100"/>
              <w:left w:type="dxa" w:w="100"/>
              <w:bottom w:type="dxa" w:w="100"/>
              <w:right w:type="dxa" w:w="100"/>
            </w:tcMar>
          </w:tcPr>
          <w:p>
            <w:r>
              <w:rPr>
                <w:b/>
                <w:bCs/>
                <w:i w:val="false"/>
                <w:iCs w:val="false"/>
              </w:rPr>
              <w:t xml:space="preserve">Threshold</w:t>
            </w:r>
          </w:p>
        </w:tc>
        <w:tc>
          <w:tcPr>
            <w:tcMar>
              <w:top w:type="dxa" w:w="100"/>
              <w:left w:type="dxa" w:w="100"/>
              <w:bottom w:type="dxa" w:w="100"/>
              <w:right w:type="dxa" w:w="100"/>
            </w:tcMar>
          </w:tcPr>
          <w:p>
            <w:r>
              <w:rPr>
                <w:b/>
                <w:bCs/>
                <w:i w:val="false"/>
                <w:iCs w:val="false"/>
              </w:rPr>
              <w:t xml:space="preserve">Scope</w:t>
            </w:r>
          </w:p>
        </w:tc>
        <w:tc>
          <w:tcPr>
            <w:tcMar>
              <w:top w:type="dxa" w:w="100"/>
              <w:left w:type="dxa" w:w="100"/>
              <w:bottom w:type="dxa" w:w="100"/>
              <w:right w:type="dxa" w:w="100"/>
            </w:tcMar>
          </w:tcPr>
          <w:p>
            <w:r>
              <w:rPr>
                <w:b/>
                <w:bCs/>
                <w:i w:val="false"/>
                <w:iCs w:val="false"/>
              </w:rPr>
              <w:t xml:space="preserve">Exclusions</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Prohibition</w:t>
            </w:r>
          </w:p>
        </w:tc>
        <w:tc>
          <w:tcPr>
            <w:tcMar>
              <w:top w:type="dxa" w:w="100"/>
              <w:left w:type="dxa" w:w="100"/>
              <w:bottom w:type="dxa" w:w="100"/>
              <w:right w:type="dxa" w:w="100"/>
            </w:tcMar>
          </w:tcPr>
          <w:p>
            <w:r>
              <w:t xml:space="preserve">more than 10% of its revenues</w:t>
            </w:r>
          </w:p>
        </w:tc>
        <w:tc>
          <w:tcPr>
            <w:tcMar>
              <w:top w:type="dxa" w:w="100"/>
              <w:left w:type="dxa" w:w="100"/>
              <w:bottom w:type="dxa" w:w="100"/>
              <w:right w:type="dxa" w:w="100"/>
            </w:tcMar>
          </w:tcPr>
          <w:p>
            <w:r>
              <w:t xml:space="preserve">production, trade and/or distribution of alcoholic beverages</w:t>
            </w:r>
          </w:p>
        </w:tc>
        <w:tc>
          <w:tcPr>
            <w:tcMar>
              <w:top w:type="dxa" w:w="100"/>
              <w:left w:type="dxa" w:w="100"/>
              <w:bottom w:type="dxa" w:w="100"/>
              <w:right w:type="dxa" w:w="100"/>
            </w:tcMar>
          </w:tcPr>
          <w:p>
            <w:r>
              <w:t xml:space="preserve">retailers, restaurants, and persons involved in the supply chain related to the production, trade or distribution of non-alcohol components of alcoholic beverages, including packaging</w:t>
            </w:r>
          </w:p>
        </w:tc>
      </w:tr>
    </w:tbl>
    <w:p>
      <w:pPr>
        <w:spacing w:before="100" w:after="100"/>
      </w:pPr>
      <w:r>
        <w:rPr>
          <w:b/>
          <w:bCs/>
        </w:rPr>
        <w:t xml:space="preserve">Key Terms from Document:</w:t>
      </w:r>
    </w:p>
    <w:p>
      <w:pPr>
        <w:spacing w:before="100" w:after="100"/>
      </w:pPr>
      <w:r>
        <w:t xml:space="preserve">The LP is prohibited from participating in a Portfolio Investment in a Portfolio Company that, at the time of the Partnership's initial investment: "is principally engaged in or derives more than 10% of its revenues from its production, trade and/or distribution of tobacco or alcoholic beverages (excluding, for the avoidance of doubt, retailers, restaurants, and persons involved in the supply chain related to the production, trade or distribution of non-tobacco components of tobacco products or non-alcohol components of alcoholic beverages, including packaging)"</w:t>
      </w:r>
    </w:p>
    <w:p>
      <w:pPr>
        <w:spacing w:before="200" w:after="100"/>
      </w:pPr>
      <w:r>
        <w:rPr>
          <w:b/>
          <w:bCs/>
          <w:color w:val="0064C8"/>
          <w:sz w:val="22"/>
          <w:szCs w:val="22"/>
        </w:rPr>
        <w:t xml:space="preserve">Sutraye Sai</w:t>
      </w:r>
    </w:p>
    <w:p>
      <w:pPr>
        <w:spacing w:before="100" w:after="100"/>
      </w:pPr>
      <w:r>
        <w:t xml:space="preserve">Does this investor have an opt-out right for investments in companies that sell beer and, if so, what is it?</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Opt-Out Rights for Alcohol-Related Investments: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Provision</w:t>
            </w:r>
          </w:p>
        </w:tc>
        <w:tc>
          <w:tcPr>
            <w:tcMar>
              <w:top w:type="dxa" w:w="100"/>
              <w:left w:type="dxa" w:w="100"/>
              <w:bottom w:type="dxa" w:w="100"/>
              <w:right w:type="dxa" w:w="100"/>
            </w:tcMar>
          </w:tcPr>
          <w:p>
            <w:r>
              <w:rPr>
                <w:b/>
                <w:bCs/>
                <w:i w:val="false"/>
                <w:iCs w:val="false"/>
              </w:rPr>
              <w:t xml:space="preserve">Threshold</w:t>
            </w:r>
          </w:p>
        </w:tc>
        <w:tc>
          <w:tcPr>
            <w:tcMar>
              <w:top w:type="dxa" w:w="100"/>
              <w:left w:type="dxa" w:w="100"/>
              <w:bottom w:type="dxa" w:w="100"/>
              <w:right w:type="dxa" w:w="100"/>
            </w:tcMar>
          </w:tcPr>
          <w:p>
            <w:r>
              <w:rPr>
                <w:b/>
                <w:bCs/>
                <w:i w:val="false"/>
                <w:iCs w:val="false"/>
              </w:rPr>
              <w:t xml:space="preserve">Scope</w:t>
            </w:r>
          </w:p>
        </w:tc>
        <w:tc>
          <w:tcPr>
            <w:tcMar>
              <w:top w:type="dxa" w:w="100"/>
              <w:left w:type="dxa" w:w="100"/>
              <w:bottom w:type="dxa" w:w="100"/>
              <w:right w:type="dxa" w:w="100"/>
            </w:tcMar>
          </w:tcPr>
          <w:p>
            <w:r>
              <w:rPr>
                <w:b/>
                <w:bCs/>
                <w:i w:val="false"/>
                <w:iCs w:val="false"/>
              </w:rPr>
              <w:t xml:space="preserve">Exclusions</w:t>
            </w:r>
          </w:p>
        </w:tc>
        <w:tc>
          <w:tcPr>
            <w:tcMar>
              <w:top w:type="dxa" w:w="100"/>
              <w:left w:type="dxa" w:w="100"/>
              <w:bottom w:type="dxa" w:w="100"/>
              <w:right w:type="dxa" w:w="100"/>
            </w:tcMar>
          </w:tcPr>
          <w:p>
            <w:r>
              <w:rPr>
                <w:b/>
                <w:bCs/>
                <w:i w:val="false"/>
                <w:iCs w:val="false"/>
              </w:rPr>
              <w:t xml:space="preserve">Exercise Mechanism</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LP is prohibited from participating in a Portfolio Investment in a Portfolio Company that, at the time of the Partnership's initial investment in such Portfolio Company is principally engaged in or derives more than 10% of its revenues from its production, trade and/or distribution of tobacco or alcoholic beverages</w:t>
            </w:r>
          </w:p>
        </w:tc>
        <w:tc>
          <w:tcPr>
            <w:tcMar>
              <w:top w:type="dxa" w:w="100"/>
              <w:left w:type="dxa" w:w="100"/>
              <w:bottom w:type="dxa" w:w="100"/>
              <w:right w:type="dxa" w:w="100"/>
            </w:tcMar>
          </w:tcPr>
          <w:p>
            <w:r>
              <w:t xml:space="preserve">more than 10% of its revenues</w:t>
            </w:r>
          </w:p>
        </w:tc>
        <w:tc>
          <w:tcPr>
            <w:tcMar>
              <w:top w:type="dxa" w:w="100"/>
              <w:left w:type="dxa" w:w="100"/>
              <w:bottom w:type="dxa" w:w="100"/>
              <w:right w:type="dxa" w:w="100"/>
            </w:tcMar>
          </w:tcPr>
          <w:p>
            <w:r>
              <w:t xml:space="preserve">production, trade and/or distribution of alcoholic beverages</w:t>
            </w:r>
          </w:p>
        </w:tc>
        <w:tc>
          <w:tcPr>
            <w:tcMar>
              <w:top w:type="dxa" w:w="100"/>
              <w:left w:type="dxa" w:w="100"/>
              <w:bottom w:type="dxa" w:w="100"/>
              <w:right w:type="dxa" w:w="100"/>
            </w:tcMar>
          </w:tcPr>
          <w:p>
            <w:r>
              <w:t xml:space="preserve">retailers, restaurants, and persons involved in the supply chain related to the production, trade or distribution of non-alcohol components of alcoholic beverages, including packaging</w:t>
            </w:r>
          </w:p>
        </w:tc>
        <w:tc>
          <w:tcPr>
            <w:tcMar>
              <w:top w:type="dxa" w:w="100"/>
              <w:left w:type="dxa" w:w="100"/>
              <w:bottom w:type="dxa" w:w="100"/>
              <w:right w:type="dxa" w:w="100"/>
            </w:tcMar>
          </w:tcPr>
          <w:p>
            <w:r>
              <w:t xml:space="preserve">Pursuant to Section 3.1(f)(i) of the Partnership Agreement, the General Partner acknowledges that the LP hereby notifies the General Partner of the LP's written investment policy attached hereto as Exhibit A</w:t>
            </w:r>
          </w:p>
        </w:tc>
      </w:tr>
    </w:tbl>
    <w:p>
      <w:pPr>
        <w:spacing w:before="100" w:after="100"/>
      </w:pPr>
      <w:r>
        <w:rPr>
          <w:b/>
          <w:bCs/>
        </w:rPr>
        <w:t xml:space="preserve">Key Opt-Out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Condition Element</w:t>
            </w:r>
          </w:p>
        </w:tc>
        <w:tc>
          <w:tcPr>
            <w:tcMar>
              <w:top w:type="dxa" w:w="100"/>
              <w:left w:type="dxa" w:w="100"/>
              <w:bottom w:type="dxa" w:w="100"/>
              <w:right w:type="dxa" w:w="100"/>
            </w:tcMar>
          </w:tcPr>
          <w:p>
            <w:r>
              <w:rPr>
                <w:b/>
                <w:bCs/>
                <w:i w:val="false"/>
                <w:iCs w:val="false"/>
              </w:rPr>
              <w:t xml:space="preserve">Requirement</w:t>
            </w:r>
          </w:p>
        </w:tc>
      </w:tr>
      <w:tr>
        <w:tc>
          <w:tcPr>
            <w:tcMar>
              <w:top w:type="dxa" w:w="100"/>
              <w:left w:type="dxa" w:w="100"/>
              <w:bottom w:type="dxa" w:w="100"/>
              <w:right w:type="dxa" w:w="100"/>
            </w:tcMar>
          </w:tcPr>
          <w:p>
            <w:r>
              <w:rPr>
                <w:b/>
                <w:bCs/>
              </w:rPr>
              <w:t xml:space="preserve">Timing</w:t>
            </w:r>
          </w:p>
        </w:tc>
        <w:tc>
          <w:tcPr>
            <w:tcMar>
              <w:top w:type="dxa" w:w="100"/>
              <w:left w:type="dxa" w:w="100"/>
              <w:bottom w:type="dxa" w:w="100"/>
              <w:right w:type="dxa" w:w="100"/>
            </w:tcMar>
          </w:tcPr>
          <w:p>
            <w:r>
              <w:t xml:space="preserve">at the time of the Partnership's initial investment</w:t>
            </w:r>
          </w:p>
        </w:tc>
      </w:tr>
      <w:tr>
        <w:tc>
          <w:tcPr>
            <w:tcMar>
              <w:top w:type="dxa" w:w="100"/>
              <w:left w:type="dxa" w:w="100"/>
              <w:bottom w:type="dxa" w:w="100"/>
              <w:right w:type="dxa" w:w="100"/>
            </w:tcMar>
          </w:tcPr>
          <w:p>
            <w:r>
              <w:rPr>
                <w:b/>
                <w:bCs/>
              </w:rPr>
              <w:t xml:space="preserve">Revenue Threshold</w:t>
            </w:r>
          </w:p>
        </w:tc>
        <w:tc>
          <w:tcPr>
            <w:tcMar>
              <w:top w:type="dxa" w:w="100"/>
              <w:left w:type="dxa" w:w="100"/>
              <w:bottom w:type="dxa" w:w="100"/>
              <w:right w:type="dxa" w:w="100"/>
            </w:tcMar>
          </w:tcPr>
          <w:p>
            <w:r>
              <w:t xml:space="preserve">more than 10% of revenues</w:t>
            </w:r>
          </w:p>
        </w:tc>
      </w:tr>
      <w:tr>
        <w:tc>
          <w:tcPr>
            <w:tcMar>
              <w:top w:type="dxa" w:w="100"/>
              <w:left w:type="dxa" w:w="100"/>
              <w:bottom w:type="dxa" w:w="100"/>
              <w:right w:type="dxa" w:w="100"/>
            </w:tcMar>
          </w:tcPr>
          <w:p>
            <w:r>
              <w:rPr>
                <w:b/>
                <w:bCs/>
              </w:rPr>
              <w:t xml:space="preserve">Covered Activities</w:t>
            </w:r>
          </w:p>
        </w:tc>
        <w:tc>
          <w:tcPr>
            <w:tcMar>
              <w:top w:type="dxa" w:w="100"/>
              <w:left w:type="dxa" w:w="100"/>
              <w:bottom w:type="dxa" w:w="100"/>
              <w:right w:type="dxa" w:w="100"/>
            </w:tcMar>
          </w:tcPr>
          <w:p>
            <w:r>
              <w:t xml:space="preserve">production, trade and/or distribution of alcoholic beverages</w:t>
            </w:r>
          </w:p>
        </w:tc>
      </w:tr>
      <w:tr>
        <w:tc>
          <w:tcPr>
            <w:tcMar>
              <w:top w:type="dxa" w:w="100"/>
              <w:left w:type="dxa" w:w="100"/>
              <w:bottom w:type="dxa" w:w="100"/>
              <w:right w:type="dxa" w:w="100"/>
            </w:tcMar>
          </w:tcPr>
          <w:p>
            <w:r>
              <w:rPr>
                <w:b/>
                <w:bCs/>
              </w:rPr>
              <w:t xml:space="preserve">Notification Mechanism</w:t>
            </w:r>
          </w:p>
        </w:tc>
        <w:tc>
          <w:tcPr>
            <w:tcMar>
              <w:top w:type="dxa" w:w="100"/>
              <w:left w:type="dxa" w:w="100"/>
              <w:bottom w:type="dxa" w:w="100"/>
              <w:right w:type="dxa" w:w="100"/>
            </w:tcMar>
          </w:tcPr>
          <w:p>
            <w:r>
              <w:t xml:space="preserve">LP's written investment policy attached as Exhibit A</w:t>
            </w:r>
          </w:p>
        </w:tc>
      </w:tr>
      <w:tr>
        <w:tc>
          <w:tcPr>
            <w:tcMar>
              <w:top w:type="dxa" w:w="100"/>
              <w:left w:type="dxa" w:w="100"/>
              <w:bottom w:type="dxa" w:w="100"/>
              <w:right w:type="dxa" w:w="100"/>
            </w:tcMar>
          </w:tcPr>
          <w:p>
            <w:r>
              <w:rPr>
                <w:b/>
                <w:bCs/>
              </w:rPr>
              <w:t xml:space="preserve">AIV Application</w:t>
            </w:r>
          </w:p>
        </w:tc>
        <w:tc>
          <w:tcPr>
            <w:tcMar>
              <w:top w:type="dxa" w:w="100"/>
              <w:left w:type="dxa" w:w="100"/>
              <w:bottom w:type="dxa" w:w="100"/>
              <w:right w:type="dxa" w:w="100"/>
            </w:tcMar>
          </w:tcPr>
          <w:p>
            <w:r>
              <w:t xml:space="preserve">provisions apply mutatis mutandis to any Alternative Investment Vehicle in which the LP participates</w:t>
            </w:r>
          </w:p>
        </w:tc>
      </w:tr>
    </w:tbl>
    <w:p>
      <w:pPr>
        <w:spacing w:before="100" w:after="100"/>
      </w:pPr>
      <w:r>
        <w:t xml:space="preserve">The opt-out is automatic based on the LP's pre-notified investment policy—no active election required per investment.</w:t>
      </w:r>
    </w:p>
    <w:p>
      <w:pPr>
        <w:spacing w:before="200" w:after="100"/>
      </w:pPr>
      <w:r>
        <w:rPr>
          <w:b/>
          <w:bCs/>
          <w:color w:val="0064C8"/>
          <w:sz w:val="22"/>
          <w:szCs w:val="22"/>
        </w:rPr>
        <w:t xml:space="preserve">Sutraye Sai</w:t>
      </w:r>
    </w:p>
    <w:p>
      <w:pPr>
        <w:spacing w:before="100" w:after="100"/>
      </w:pPr>
      <w:r>
        <w:t xml:space="preserve">Does this side letter include any MFN (Most Favored Nation) rights?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MFN Rights Provisions Extracted: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MFN Provision</w:t>
            </w:r>
          </w:p>
        </w:tc>
        <w:tc>
          <w:tcPr>
            <w:tcMar>
              <w:top w:type="dxa" w:w="100"/>
              <w:left w:type="dxa" w:w="100"/>
              <w:bottom w:type="dxa" w:w="100"/>
              <w:right w:type="dxa" w:w="100"/>
            </w:tcMar>
          </w:tcPr>
          <w:p>
            <w:r>
              <w:rPr>
                <w:b/>
                <w:bCs/>
                <w:i w:val="false"/>
                <w:iCs w:val="false"/>
              </w:rPr>
              <w:t xml:space="preserve">Key Terms</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The General Partner must disclose Other Agreements' terms to the LP per Section 11.4(d) MFN policy.</w:t>
            </w:r>
          </w:p>
        </w:tc>
        <w:tc>
          <w:tcPr>
            <w:tcMar>
              <w:top w:type="dxa" w:w="100"/>
              <w:left w:type="dxa" w:w="100"/>
              <w:bottom w:type="dxa" w:w="100"/>
              <w:right w:type="dxa" w:w="100"/>
            </w:tcMar>
          </w:tcPr>
          <w:p>
            <w:r>
              <w:t xml:space="preserve">Disclosure of terms granted to other investors</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The General Partner agrees to aggregate the LP's Capital Commitment with other AlpInvest Investors for MFN purposes.</w:t>
            </w:r>
          </w:p>
        </w:tc>
        <w:tc>
          <w:tcPr>
            <w:tcMar>
              <w:top w:type="dxa" w:w="100"/>
              <w:left w:type="dxa" w:w="100"/>
              <w:bottom w:type="dxa" w:w="100"/>
              <w:right w:type="dxa" w:w="100"/>
            </w:tcMar>
          </w:tcPr>
          <w:p>
            <w:r>
              <w:t xml:space="preserve">Capital commitment aggregation for MFN threshold</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The General Partner must notify the LP of terms given to comparable investors after Fund X closes.</w:t>
            </w:r>
          </w:p>
        </w:tc>
        <w:tc>
          <w:tcPr>
            <w:tcMar>
              <w:top w:type="dxa" w:w="100"/>
              <w:left w:type="dxa" w:w="100"/>
              <w:bottom w:type="dxa" w:w="100"/>
              <w:right w:type="dxa" w:w="100"/>
            </w:tcMar>
          </w:tcPr>
          <w:p>
            <w:r>
              <w:t xml:space="preserve">Post-closing notification of comparable investor terms</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The General Partner hereby acknowledges the LP's request pursuant to Section 11.4(d) of the Partnership Agreement that the General Partner make available to the LP, as soon as reasonably practicable following the Final Fund X Closing Date, the terms of Other Agreements in accordance with the provisions of Section 11.4(d) of the Partnership Agreement.</w:t>
            </w:r>
          </w:p>
        </w:tc>
        <w:tc>
          <w:tcPr>
            <w:tcMar>
              <w:top w:type="dxa" w:w="100"/>
              <w:left w:type="dxa" w:w="100"/>
              <w:bottom w:type="dxa" w:w="100"/>
              <w:right w:type="dxa" w:w="100"/>
            </w:tcMar>
          </w:tcPr>
          <w:p>
            <w:r>
              <w:t xml:space="preserve">Request for Other Agreements disclosure post-Final Closing</w:t>
            </w:r>
          </w:p>
        </w:tc>
      </w:tr>
    </w:tbl>
    <w:p>
      <w:pPr>
        <w:spacing w:before="100" w:after="100"/>
      </w:pPr>
      <w:r>
        <w:rPr>
          <w:b/>
          <w:bCs/>
        </w:rPr>
        <w:t xml:space="preserve">MFN Aggregation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Provision Type</w:t>
            </w:r>
          </w:p>
        </w:tc>
        <w:tc>
          <w:tcPr>
            <w:tcMar>
              <w:top w:type="dxa" w:w="100"/>
              <w:left w:type="dxa" w:w="100"/>
              <w:bottom w:type="dxa" w:w="100"/>
              <w:right w:type="dxa" w:w="100"/>
            </w:tcMar>
          </w:tcPr>
          <w:p>
            <w:r>
              <w:rPr>
                <w:b/>
                <w:bCs/>
                <w:i w:val="false"/>
                <w:iCs w:val="false"/>
              </w:rPr>
              <w:t xml:space="preserve">Details</w:t>
            </w:r>
          </w:p>
        </w:tc>
      </w:tr>
      <w:tr>
        <w:tc>
          <w:tcPr>
            <w:tcMar>
              <w:top w:type="dxa" w:w="100"/>
              <w:left w:type="dxa" w:w="100"/>
              <w:bottom w:type="dxa" w:w="100"/>
              <w:right w:type="dxa" w:w="100"/>
            </w:tcMar>
          </w:tcPr>
          <w:p>
            <w:r>
              <w:t xml:space="preserve">Aggregation Basis</w:t>
            </w:r>
          </w:p>
        </w:tc>
        <w:tc>
          <w:tcPr>
            <w:tcMar>
              <w:top w:type="dxa" w:w="100"/>
              <w:left w:type="dxa" w:w="100"/>
              <w:bottom w:type="dxa" w:w="100"/>
              <w:right w:type="dxa" w:w="100"/>
            </w:tcMar>
          </w:tcPr>
          <w:p>
            <w:r>
              <w:t xml:space="preserve">The General Partner agrees that the LP's Capital Commitment shall be aggregated with the Capital Commitments of any other AlpInvest Investors for purposes of Section 7.4(a) and Section 11.4(d) of the Partnership Agreement and the definition of "Designated Fund Investor" set forth in the Partnership Agreement.</w:t>
            </w:r>
          </w:p>
        </w:tc>
      </w:tr>
      <w:tr>
        <w:tc>
          <w:tcPr>
            <w:tcMar>
              <w:top w:type="dxa" w:w="100"/>
              <w:left w:type="dxa" w:w="100"/>
              <w:bottom w:type="dxa" w:w="100"/>
              <w:right w:type="dxa" w:w="100"/>
            </w:tcMar>
          </w:tcPr>
          <w:p>
            <w:r>
              <w:t xml:space="preserve">Equitable Adjustments</w:t>
            </w:r>
          </w:p>
        </w:tc>
        <w:tc>
          <w:tcPr>
            <w:tcMar>
              <w:top w:type="dxa" w:w="100"/>
              <w:left w:type="dxa" w:w="100"/>
              <w:bottom w:type="dxa" w:w="100"/>
              <w:right w:type="dxa" w:w="100"/>
            </w:tcMar>
          </w:tcPr>
          <w:p>
            <w:r>
              <w:t xml:space="preserve">The General Partner shall be authorized to make any equitable adjustments it deems to be necessary or advisable to give effect to this Paragraph 18.</w:t>
            </w:r>
          </w:p>
        </w:tc>
      </w:tr>
    </w:tbl>
    <w:p>
      <w:pPr>
        <w:spacing w:before="200" w:after="100"/>
      </w:pPr>
      <w:r>
        <w:rPr>
          <w:b/>
          <w:bCs/>
          <w:color w:val="0064C8"/>
          <w:sz w:val="22"/>
          <w:szCs w:val="22"/>
        </w:rPr>
        <w:t xml:space="preserve">Sutraye Sai</w:t>
      </w:r>
    </w:p>
    <w:p>
      <w:pPr>
        <w:spacing w:before="100" w:after="100"/>
      </w:pPr>
      <w:r>
        <w:t xml:space="preserve">Which fund does this side letter relate to?</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Fund Name:</w:t>
      </w:r>
      <w:r>
        <w:t xml:space="preserve"> Fund X</w:t>
      </w:r>
    </w:p>
    <w:p>
      <w:pPr>
        <w:spacing w:before="100" w:after="100"/>
      </w:pPr>
      <w:r>
        <w:t xml:space="preserve">The Side Letter document for ASP 2022 Aspire II LP (AlpInvest) containing MFN rights provisions has the Fund Name metadata value of </w:t>
      </w:r>
      <w:r>
        <w:rPr>
          <w:b/>
          <w:bCs/>
        </w:rPr>
        <w:t xml:space="preserve">Fund X</w:t>
      </w:r>
      <w:r>
        <w:t xml:space="preserve">.</w:t>
      </w:r>
    </w:p>
    <w:p>
      <w:pPr>
        <w:spacing w:before="200" w:after="100"/>
      </w:pPr>
      <w:r>
        <w:rPr>
          <w:b/>
          <w:bCs/>
          <w:color w:val="0064C8"/>
          <w:sz w:val="22"/>
          <w:szCs w:val="22"/>
        </w:rPr>
        <w:t xml:space="preserve">Sutraye Sai</w:t>
      </w:r>
    </w:p>
    <w:p>
      <w:pPr>
        <w:spacing w:before="100" w:after="100"/>
      </w:pPr>
      <w:r>
        <w:t xml:space="preserve">Does the side letter mention governing law?</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Governing Law Provisions in Side Letter with MFN Rights: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MFN Rights Present</w:t>
            </w:r>
          </w:p>
        </w:tc>
        <w:tc>
          <w:tcPr>
            <w:tcMar>
              <w:top w:type="dxa" w:w="100"/>
              <w:left w:type="dxa" w:w="100"/>
              <w:bottom w:type="dxa" w:w="100"/>
              <w:right w:type="dxa" w:w="100"/>
            </w:tcMar>
          </w:tcPr>
          <w:p>
            <w:r>
              <w:rPr>
                <w:b/>
                <w:bCs/>
                <w:i w:val="false"/>
                <w:iCs w:val="false"/>
              </w:rPr>
              <w:t xml:space="preserve">Governing Law Provision</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Yes - The General Partner must disclose Other Agreements' terms to the LP per Section 11.4(d) MFN policy.</w:t>
            </w:r>
          </w:p>
        </w:tc>
        <w:tc>
          <w:tcPr>
            <w:tcMar>
              <w:top w:type="dxa" w:w="100"/>
              <w:left w:type="dxa" w:w="100"/>
              <w:bottom w:type="dxa" w:w="100"/>
              <w:right w:type="dxa" w:w="100"/>
            </w:tcMar>
          </w:tcPr>
          <w:p>
            <w:r>
              <w:t xml:space="preserve">This letter agreement shall be governed by and construed in accordance with the laws of the State of Delaware without regard to the principles of conflicts of laws that would cause the laws of another jurisdiction to apply.</w:t>
            </w:r>
          </w:p>
        </w:tc>
      </w:tr>
    </w:tbl>
    <w:p>
      <w:pPr>
        <w:spacing w:before="100" w:after="100"/>
      </w:pPr>
      <w:r>
        <w:rPr>
          <w:b/>
          <w:bCs/>
        </w:rPr>
        <w:t xml:space="preserve">Governing Law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Element</w:t>
            </w:r>
          </w:p>
        </w:tc>
        <w:tc>
          <w:tcPr>
            <w:tcMar>
              <w:top w:type="dxa" w:w="100"/>
              <w:left w:type="dxa" w:w="100"/>
              <w:bottom w:type="dxa" w:w="100"/>
              <w:right w:type="dxa" w:w="100"/>
            </w:tcMar>
          </w:tcPr>
          <w:p>
            <w:r>
              <w:rPr>
                <w:b/>
                <w:bCs/>
                <w:i w:val="false"/>
                <w:iCs w:val="false"/>
              </w:rPr>
              <w:t xml:space="preserve">Provision</w:t>
            </w:r>
          </w:p>
        </w:tc>
      </w:tr>
      <w:tr>
        <w:tc>
          <w:tcPr>
            <w:tcMar>
              <w:top w:type="dxa" w:w="100"/>
              <w:left w:type="dxa" w:w="100"/>
              <w:bottom w:type="dxa" w:w="100"/>
              <w:right w:type="dxa" w:w="100"/>
            </w:tcMar>
          </w:tcPr>
          <w:p>
            <w:r>
              <w:t xml:space="preserve">Governing Jurisdiction</w:t>
            </w:r>
          </w:p>
        </w:tc>
        <w:tc>
          <w:tcPr>
            <w:tcMar>
              <w:top w:type="dxa" w:w="100"/>
              <w:left w:type="dxa" w:w="100"/>
              <w:bottom w:type="dxa" w:w="100"/>
              <w:right w:type="dxa" w:w="100"/>
            </w:tcMar>
          </w:tcPr>
          <w:p>
            <w:r>
              <w:t xml:space="preserve">State of Delaware</w:t>
            </w:r>
          </w:p>
        </w:tc>
      </w:tr>
      <w:tr>
        <w:tc>
          <w:tcPr>
            <w:tcMar>
              <w:top w:type="dxa" w:w="100"/>
              <w:left w:type="dxa" w:w="100"/>
              <w:bottom w:type="dxa" w:w="100"/>
              <w:right w:type="dxa" w:w="100"/>
            </w:tcMar>
          </w:tcPr>
          <w:p>
            <w:r>
              <w:t xml:space="preserve">Conflicts of Law</w:t>
            </w:r>
          </w:p>
        </w:tc>
        <w:tc>
          <w:tcPr>
            <w:tcMar>
              <w:top w:type="dxa" w:w="100"/>
              <w:left w:type="dxa" w:w="100"/>
              <w:bottom w:type="dxa" w:w="100"/>
              <w:right w:type="dxa" w:w="100"/>
            </w:tcMar>
          </w:tcPr>
          <w:p>
            <w:r>
              <w:t xml:space="preserve">Without regard to the principles of conflicts of laws that would cause the laws of another jurisdiction to apply</w:t>
            </w:r>
          </w:p>
        </w:tc>
      </w:tr>
    </w:tbl>
    <w:p>
      <w:pPr>
        <w:spacing w:before="100" w:after="100"/>
      </w:pPr>
      <w:r>
        <w:rPr>
          <w:b/>
          <w:bCs/>
        </w:rPr>
        <w:t xml:space="preserve">Yes</w:t>
      </w:r>
      <w:r>
        <w:t xml:space="preserve"> - The Side Letter for ASP 2022 Aspire II LP with Fund Name </w:t>
      </w:r>
      <w:r>
        <w:rPr>
          <w:b/>
          <w:bCs/>
        </w:rPr>
        <w:t xml:space="preserve">Fund X</w:t>
      </w:r>
      <w:r>
        <w:t xml:space="preserve"> containing MFN rights provisions explicitly includes governing law provisions specifying State of Delaware law applies.</w:t>
      </w:r>
    </w:p>
    <w:p>
      <w:pPr>
        <w:spacing w:before="200" w:after="100"/>
      </w:pPr>
      <w:r>
        <w:rPr>
          <w:b/>
          <w:bCs/>
          <w:color w:val="0064C8"/>
          <w:sz w:val="22"/>
          <w:szCs w:val="22"/>
        </w:rPr>
        <w:t xml:space="preserve">Sutraye Sai</w:t>
      </w:r>
    </w:p>
    <w:p>
      <w:pPr>
        <w:spacing w:before="100" w:after="100"/>
      </w:pPr>
      <w:r>
        <w:t xml:space="preserve">When does the GP need to notify the LP?</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Notification Timing Requirements for ASP 2022 Aspire II LP (AlpInvest) - Fund 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Notification Type</w:t>
            </w:r>
          </w:p>
        </w:tc>
        <w:tc>
          <w:tcPr>
            <w:tcMar>
              <w:top w:type="dxa" w:w="100"/>
              <w:left w:type="dxa" w:w="100"/>
              <w:bottom w:type="dxa" w:w="100"/>
              <w:right w:type="dxa" w:w="100"/>
            </w:tcMar>
          </w:tcPr>
          <w:p>
            <w:r>
              <w:rPr>
                <w:b/>
                <w:bCs/>
                <w:i w:val="false"/>
                <w:iCs w:val="false"/>
              </w:rPr>
              <w:t xml:space="preserve">Timing Requirement</w:t>
            </w:r>
          </w:p>
        </w:tc>
        <w:tc>
          <w:tcPr>
            <w:tcMar>
              <w:top w:type="dxa" w:w="100"/>
              <w:left w:type="dxa" w:w="100"/>
              <w:bottom w:type="dxa" w:w="100"/>
              <w:right w:type="dxa" w:w="100"/>
            </w:tcMar>
          </w:tcPr>
          <w:p>
            <w:r>
              <w:rPr>
                <w:b/>
                <w:bCs/>
                <w:i w:val="false"/>
                <w:iCs w:val="false"/>
              </w:rPr>
              <w:t xml:space="preserve">Document Reference</w:t>
            </w:r>
          </w:p>
        </w:tc>
      </w:tr>
      <w:tr>
        <w:tc>
          <w:tcPr>
            <w:tcMar>
              <w:top w:type="dxa" w:w="100"/>
              <w:left w:type="dxa" w:w="100"/>
              <w:bottom w:type="dxa" w:w="100"/>
              <w:right w:type="dxa" w:w="100"/>
            </w:tcMar>
          </w:tcPr>
          <w:p>
            <w:r>
              <w:rPr>
                <w:b/>
                <w:bCs/>
              </w:rPr>
              <w:t xml:space="preserve">MFN Rights - Other Agreements Disclosure</w:t>
            </w:r>
          </w:p>
        </w:tc>
        <w:tc>
          <w:tcPr>
            <w:tcMar>
              <w:top w:type="dxa" w:w="100"/>
              <w:left w:type="dxa" w:w="100"/>
              <w:bottom w:type="dxa" w:w="100"/>
              <w:right w:type="dxa" w:w="100"/>
            </w:tcMar>
          </w:tcPr>
          <w:p>
            <w:r>
              <w:t xml:space="preserve">As soon as reasonably practicable following the Final Fund X Closing Date</w:t>
            </w:r>
          </w:p>
        </w:tc>
        <w:tc>
          <w:tcPr>
            <w:tcMar>
              <w:top w:type="dxa" w:w="100"/>
              <w:left w:type="dxa" w:w="100"/>
              <w:bottom w:type="dxa" w:w="100"/>
              <w:right w:type="dxa" w:w="100"/>
            </w:tcMar>
          </w:tcPr>
          <w:p>
            <w:r>
              <w:t xml:space="preserve">Section 11.4(d) of Partnership Agreement</w:t>
            </w:r>
          </w:p>
        </w:tc>
      </w:tr>
      <w:tr>
        <w:tc>
          <w:tcPr>
            <w:tcMar>
              <w:top w:type="dxa" w:w="100"/>
              <w:left w:type="dxa" w:w="100"/>
              <w:bottom w:type="dxa" w:w="100"/>
              <w:right w:type="dxa" w:w="100"/>
            </w:tcMar>
          </w:tcPr>
          <w:p>
            <w:r>
              <w:rPr>
                <w:b/>
                <w:bCs/>
              </w:rPr>
              <w:t xml:space="preserve">MFN Rights - Comparable Investor Terms</w:t>
            </w:r>
          </w:p>
        </w:tc>
        <w:tc>
          <w:tcPr>
            <w:tcMar>
              <w:top w:type="dxa" w:w="100"/>
              <w:left w:type="dxa" w:w="100"/>
              <w:bottom w:type="dxa" w:w="100"/>
              <w:right w:type="dxa" w:w="100"/>
            </w:tcMar>
          </w:tcPr>
          <w:p>
            <w:r>
              <w:t xml:space="preserve">After Fund X closes</w:t>
            </w:r>
          </w:p>
        </w:tc>
        <w:tc>
          <w:tcPr>
            <w:tcMar>
              <w:top w:type="dxa" w:w="100"/>
              <w:left w:type="dxa" w:w="100"/>
              <w:bottom w:type="dxa" w:w="100"/>
              <w:right w:type="dxa" w:w="100"/>
            </w:tcMar>
          </w:tcPr>
          <w:p>
            <w:r>
              <w:t xml:space="preserve">Post-closing notification requirement</w:t>
            </w:r>
          </w:p>
        </w:tc>
      </w:tr>
      <w:tr>
        <w:tc>
          <w:tcPr>
            <w:tcMar>
              <w:top w:type="dxa" w:w="100"/>
              <w:left w:type="dxa" w:w="100"/>
              <w:bottom w:type="dxa" w:w="100"/>
              <w:right w:type="dxa" w:w="100"/>
            </w:tcMar>
          </w:tcPr>
          <w:p>
            <w:r>
              <w:rPr>
                <w:b/>
                <w:bCs/>
              </w:rPr>
              <w:t xml:space="preserve">Capital Demand Notices</w:t>
            </w:r>
          </w:p>
        </w:tc>
        <w:tc>
          <w:tcPr>
            <w:tcMar>
              <w:top w:type="dxa" w:w="100"/>
              <w:left w:type="dxa" w:w="100"/>
              <w:bottom w:type="dxa" w:w="100"/>
              <w:right w:type="dxa" w:w="100"/>
            </w:tcMar>
          </w:tcPr>
          <w:p>
            <w:r>
              <w:t xml:space="preserve">No less than ten Business Days' notice</w:t>
            </w:r>
          </w:p>
        </w:tc>
        <w:tc>
          <w:tcPr>
            <w:tcMar>
              <w:top w:type="dxa" w:w="100"/>
              <w:left w:type="dxa" w:w="100"/>
              <w:bottom w:type="dxa" w:w="100"/>
              <w:right w:type="dxa" w:w="100"/>
            </w:tcMar>
          </w:tcPr>
          <w:p>
            <w:r>
              <w:t xml:space="preserve">Capital call timing requirement</w:t>
            </w:r>
          </w:p>
        </w:tc>
      </w:tr>
      <w:tr>
        <w:tc>
          <w:tcPr>
            <w:tcMar>
              <w:top w:type="dxa" w:w="100"/>
              <w:left w:type="dxa" w:w="100"/>
              <w:bottom w:type="dxa" w:w="100"/>
              <w:right w:type="dxa" w:w="100"/>
            </w:tcMar>
          </w:tcPr>
          <w:p>
            <w:r>
              <w:rPr>
                <w:b/>
                <w:bCs/>
              </w:rPr>
              <w:t xml:space="preserve">Subscription Agreement Notification</w:t>
            </w:r>
          </w:p>
        </w:tc>
        <w:tc>
          <w:tcPr>
            <w:tcMar>
              <w:top w:type="dxa" w:w="100"/>
              <w:left w:type="dxa" w:w="100"/>
              <w:bottom w:type="dxa" w:w="100"/>
              <w:right w:type="dxa" w:w="100"/>
            </w:tcMar>
          </w:tcPr>
          <w:p>
            <w:r>
              <w:t xml:space="preserve">"Reasonably promptly" (replaces "Within ten days")</w:t>
            </w:r>
          </w:p>
        </w:tc>
        <w:tc>
          <w:tcPr>
            <w:tcMar>
              <w:top w:type="dxa" w:w="100"/>
              <w:left w:type="dxa" w:w="100"/>
              <w:bottom w:type="dxa" w:w="100"/>
              <w:right w:type="dxa" w:w="100"/>
            </w:tcMar>
          </w:tcPr>
          <w:p>
            <w:r>
              <w:t xml:space="preserve">Modified Part VI provision</w:t>
            </w:r>
          </w:p>
        </w:tc>
      </w:tr>
      <w:tr>
        <w:tc>
          <w:tcPr>
            <w:tcMar>
              <w:top w:type="dxa" w:w="100"/>
              <w:left w:type="dxa" w:w="100"/>
              <w:bottom w:type="dxa" w:w="100"/>
              <w:right w:type="dxa" w:w="100"/>
            </w:tcMar>
          </w:tcPr>
          <w:p>
            <w:r>
              <w:rPr>
                <w:b/>
                <w:bCs/>
              </w:rPr>
              <w:t xml:space="preserve">Distributions In-Kind Request</w:t>
            </w:r>
          </w:p>
        </w:tc>
        <w:tc>
          <w:tcPr>
            <w:tcMar>
              <w:top w:type="dxa" w:w="100"/>
              <w:left w:type="dxa" w:w="100"/>
              <w:bottom w:type="dxa" w:w="100"/>
              <w:right w:type="dxa" w:w="100"/>
            </w:tcMar>
          </w:tcPr>
          <w:p>
            <w:r>
              <w:t xml:space="preserve">Within a reasonable time of notice of such distribution</w:t>
            </w:r>
          </w:p>
        </w:tc>
        <w:tc>
          <w:tcPr>
            <w:tcMar>
              <w:top w:type="dxa" w:w="100"/>
              <w:left w:type="dxa" w:w="100"/>
              <w:bottom w:type="dxa" w:w="100"/>
              <w:right w:type="dxa" w:w="100"/>
            </w:tcMar>
          </w:tcPr>
          <w:p>
            <w:r>
              <w:t xml:space="preserve">LP must request assistance for non-cash asset disposal</w:t>
            </w:r>
          </w:p>
        </w:tc>
      </w:tr>
    </w:tbl>
    <w:p>
      <w:pPr>
        <w:spacing w:before="100" w:after="100"/>
      </w:pPr>
      <w:r>
        <w:rPr>
          <w:b/>
          <w:bCs/>
        </w:rPr>
        <w:t xml:space="preserve">Key MFN Notification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Provision</w:t>
            </w:r>
          </w:p>
        </w:tc>
        <w:tc>
          <w:tcPr>
            <w:tcMar>
              <w:top w:type="dxa" w:w="100"/>
              <w:left w:type="dxa" w:w="100"/>
              <w:bottom w:type="dxa" w:w="100"/>
              <w:right w:type="dxa" w:w="100"/>
            </w:tcMar>
          </w:tcPr>
          <w:p>
            <w:r>
              <w:rPr>
                <w:b/>
                <w:bCs/>
                <w:i w:val="false"/>
                <w:iCs w:val="false"/>
              </w:rPr>
              <w:t xml:space="preserve">Specific Language</w:t>
            </w:r>
          </w:p>
        </w:tc>
      </w:tr>
      <w:tr>
        <w:tc>
          <w:tcPr>
            <w:tcMar>
              <w:top w:type="dxa" w:w="100"/>
              <w:left w:type="dxa" w:w="100"/>
              <w:bottom w:type="dxa" w:w="100"/>
              <w:right w:type="dxa" w:w="100"/>
            </w:tcMar>
          </w:tcPr>
          <w:p>
            <w:r>
              <w:t xml:space="preserve">Other Agreements Request</w:t>
            </w:r>
          </w:p>
        </w:tc>
        <w:tc>
          <w:tcPr>
            <w:tcMar>
              <w:top w:type="dxa" w:w="100"/>
              <w:left w:type="dxa" w:w="100"/>
              <w:bottom w:type="dxa" w:w="100"/>
              <w:right w:type="dxa" w:w="100"/>
            </w:tcMar>
          </w:tcPr>
          <w:p>
            <w:r>
              <w:t xml:space="preserve">The General Partner hereby acknowledges the LP's request pursuant to Section 11.4(d) of the Partnership Agreement that the General Partner make available to the LP, as soon as reasonably practicable following the Final Fund X Closing Date, the terms of Other Agreements in accordance with the provisions of Section 11.4(d) of the Partnership Agreement.</w:t>
            </w:r>
          </w:p>
        </w:tc>
      </w:tr>
      <w:tr>
        <w:tc>
          <w:tcPr>
            <w:tcMar>
              <w:top w:type="dxa" w:w="100"/>
              <w:left w:type="dxa" w:w="100"/>
              <w:bottom w:type="dxa" w:w="100"/>
              <w:right w:type="dxa" w:w="100"/>
            </w:tcMar>
          </w:tcPr>
          <w:p>
            <w:r>
              <w:t xml:space="preserve">Capital Commitment Aggregation for MFN</w:t>
            </w:r>
          </w:p>
        </w:tc>
        <w:tc>
          <w:tcPr>
            <w:tcMar>
              <w:top w:type="dxa" w:w="100"/>
              <w:left w:type="dxa" w:w="100"/>
              <w:bottom w:type="dxa" w:w="100"/>
              <w:right w:type="dxa" w:w="100"/>
            </w:tcMar>
          </w:tcPr>
          <w:p>
            <w:r>
              <w:t xml:space="preserve">The LP's Capital Commitment shall be aggregated with the Capital Commitments of any other AlpInvest Investors for purposes of Section 7.4(a) and Section 11.4(d) of the Partnership Agreement</w:t>
            </w:r>
          </w:p>
        </w:tc>
      </w:tr>
    </w:tbl>
    <w:p>
      <w:pPr>
        <w:spacing w:before="200" w:after="100"/>
      </w:pPr>
      <w:r>
        <w:rPr>
          <w:b/>
          <w:bCs/>
          <w:color w:val="0064C8"/>
          <w:sz w:val="22"/>
          <w:szCs w:val="22"/>
        </w:rPr>
        <w:t xml:space="preserve">Sutraye Sai</w:t>
      </w:r>
    </w:p>
    <w:p>
      <w:pPr>
        <w:spacing w:before="100" w:after="100"/>
      </w:pPr>
      <w:r>
        <w:t xml:space="preserve">Which of these notification obligations are explicitly stated in the side letter?</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Notification Obligations Analysis for ASP 2022 Aspire II LP (AlpInvest) - Fund 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Notification Obligation</w:t>
            </w:r>
          </w:p>
        </w:tc>
        <w:tc>
          <w:tcPr>
            <w:tcMar>
              <w:top w:type="dxa" w:w="100"/>
              <w:left w:type="dxa" w:w="100"/>
              <w:bottom w:type="dxa" w:w="100"/>
              <w:right w:type="dxa" w:w="100"/>
            </w:tcMar>
          </w:tcPr>
          <w:p>
            <w:r>
              <w:rPr>
                <w:b/>
                <w:bCs/>
                <w:i w:val="false"/>
                <w:iCs w:val="false"/>
              </w:rPr>
              <w:t xml:space="preserve">Explicitly Stated in Side Letter?</w:t>
            </w:r>
          </w:p>
        </w:tc>
        <w:tc>
          <w:tcPr>
            <w:tcMar>
              <w:top w:type="dxa" w:w="100"/>
              <w:left w:type="dxa" w:w="100"/>
              <w:bottom w:type="dxa" w:w="100"/>
              <w:right w:type="dxa" w:w="100"/>
            </w:tcMar>
          </w:tcPr>
          <w:p>
            <w:r>
              <w:rPr>
                <w:b/>
                <w:bCs/>
                <w:i w:val="false"/>
                <w:iCs w:val="false"/>
              </w:rPr>
              <w:t xml:space="preserve">Origin</w:t>
            </w:r>
          </w:p>
        </w:tc>
        <w:tc>
          <w:tcPr>
            <w:tcMar>
              <w:top w:type="dxa" w:w="100"/>
              <w:left w:type="dxa" w:w="100"/>
              <w:bottom w:type="dxa" w:w="100"/>
              <w:right w:type="dxa" w:w="100"/>
            </w:tcMar>
          </w:tcPr>
          <w:p>
            <w:r>
              <w:rPr>
                <w:b/>
                <w:bCs/>
                <w:i w:val="false"/>
                <w:iCs w:val="false"/>
              </w:rPr>
              <w:t xml:space="preserve">Side Letter Language</w:t>
            </w:r>
          </w:p>
        </w:tc>
      </w:tr>
      <w:tr>
        <w:tc>
          <w:tcPr>
            <w:tcMar>
              <w:top w:type="dxa" w:w="100"/>
              <w:left w:type="dxa" w:w="100"/>
              <w:bottom w:type="dxa" w:w="100"/>
              <w:right w:type="dxa" w:w="100"/>
            </w:tcMar>
          </w:tcPr>
          <w:p>
            <w:r>
              <w:rPr>
                <w:b/>
                <w:bCs/>
              </w:rPr>
              <w:t xml:space="preserve">MFN Rights - Other Agreements Disclosure</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Referenced from Partnership Agreement (Section 11.4(d))</w:t>
            </w:r>
          </w:p>
        </w:tc>
        <w:tc>
          <w:tcPr>
            <w:tcMar>
              <w:top w:type="dxa" w:w="100"/>
              <w:left w:type="dxa" w:w="100"/>
              <w:bottom w:type="dxa" w:w="100"/>
              <w:right w:type="dxa" w:w="100"/>
            </w:tcMar>
          </w:tcPr>
          <w:p>
            <w:r>
              <w:t xml:space="preserve">"The General Partner hereby acknowledges the LP's request pursuant to Section 11.4(d) of the Partnership Agreement that the General Partner make available to the LP, as soon as reasonably practicable following the Final Fund X Closing Date, the terms of Other Agreements in accordance with the provisions of Section 11.4(d) of the Partnership Agreement."</w:t>
            </w:r>
          </w:p>
        </w:tc>
      </w:tr>
      <w:tr>
        <w:tc>
          <w:tcPr>
            <w:tcMar>
              <w:top w:type="dxa" w:w="100"/>
              <w:left w:type="dxa" w:w="100"/>
              <w:bottom w:type="dxa" w:w="100"/>
              <w:right w:type="dxa" w:w="100"/>
            </w:tcMar>
          </w:tcPr>
          <w:p>
            <w:r>
              <w:rPr>
                <w:b/>
                <w:bCs/>
              </w:rPr>
              <w:t xml:space="preserve">MFN Rights - Comparable Investor Terms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Side Letter Provision</w:t>
            </w:r>
          </w:p>
        </w:tc>
        <w:tc>
          <w:tcPr>
            <w:tcMar>
              <w:top w:type="dxa" w:w="100"/>
              <w:left w:type="dxa" w:w="100"/>
              <w:bottom w:type="dxa" w:w="100"/>
              <w:right w:type="dxa" w:w="100"/>
            </w:tcMar>
          </w:tcPr>
          <w:p>
            <w:r>
              <w:t xml:space="preserve">"The General Partner must notify the LP of terms given to comparable investors after Fund X closes."</w:t>
            </w:r>
          </w:p>
        </w:tc>
      </w:tr>
      <w:tr>
        <w:tc>
          <w:tcPr>
            <w:tcMar>
              <w:top w:type="dxa" w:w="100"/>
              <w:left w:type="dxa" w:w="100"/>
              <w:bottom w:type="dxa" w:w="100"/>
              <w:right w:type="dxa" w:w="100"/>
            </w:tcMar>
          </w:tcPr>
          <w:p>
            <w:r>
              <w:rPr>
                <w:b/>
                <w:bCs/>
              </w:rPr>
              <w:t xml:space="preserve">Capital Demand Notices</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Side Letter Provision (modifies Partnership Agreement)</w:t>
            </w:r>
          </w:p>
        </w:tc>
        <w:tc>
          <w:tcPr>
            <w:tcMar>
              <w:top w:type="dxa" w:w="100"/>
              <w:left w:type="dxa" w:w="100"/>
              <w:bottom w:type="dxa" w:w="100"/>
              <w:right w:type="dxa" w:w="100"/>
            </w:tcMar>
          </w:tcPr>
          <w:p>
            <w:r>
              <w:t xml:space="preserve">"no Capital Demand Notice shall be given to the LP on less than ten Business Days' notice"</w:t>
            </w:r>
          </w:p>
        </w:tc>
      </w:tr>
      <w:tr>
        <w:tc>
          <w:tcPr>
            <w:tcMar>
              <w:top w:type="dxa" w:w="100"/>
              <w:left w:type="dxa" w:w="100"/>
              <w:bottom w:type="dxa" w:w="100"/>
              <w:right w:type="dxa" w:w="100"/>
            </w:tcMar>
          </w:tcPr>
          <w:p>
            <w:r>
              <w:rPr>
                <w:b/>
                <w:bCs/>
              </w:rPr>
              <w:t xml:space="preserve">Subscription Agreement Notification</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Side Letter Provision (modifies Subscription Agreement)</w:t>
            </w:r>
          </w:p>
        </w:tc>
        <w:tc>
          <w:tcPr>
            <w:tcMar>
              <w:top w:type="dxa" w:w="100"/>
              <w:left w:type="dxa" w:w="100"/>
              <w:bottom w:type="dxa" w:w="100"/>
              <w:right w:type="dxa" w:w="100"/>
            </w:tcMar>
          </w:tcPr>
          <w:p>
            <w:r>
              <w:t xml:space="preserve">"The reference to 'Within ten days' in the third paragraph of the lead in provisions shall be replaced with 'Reasonably promptly.'"</w:t>
            </w:r>
          </w:p>
        </w:tc>
      </w:tr>
      <w:tr>
        <w:tc>
          <w:tcPr>
            <w:tcMar>
              <w:top w:type="dxa" w:w="100"/>
              <w:left w:type="dxa" w:w="100"/>
              <w:bottom w:type="dxa" w:w="100"/>
              <w:right w:type="dxa" w:w="100"/>
            </w:tcMar>
          </w:tcPr>
          <w:p>
            <w:r>
              <w:rPr>
                <w:b/>
                <w:bCs/>
              </w:rPr>
              <w:t xml:space="preserve">Distributions In-Kind Request</w:t>
            </w:r>
          </w:p>
        </w:tc>
        <w:tc>
          <w:tcPr>
            <w:tcMar>
              <w:top w:type="dxa" w:w="100"/>
              <w:left w:type="dxa" w:w="100"/>
              <w:bottom w:type="dxa" w:w="100"/>
              <w:right w:type="dxa" w:w="100"/>
            </w:tcMar>
          </w:tcPr>
          <w:p>
            <w:r>
              <w:t xml:space="preserve">Yes</w:t>
            </w:r>
          </w:p>
        </w:tc>
        <w:tc>
          <w:tcPr>
            <w:tcMar>
              <w:top w:type="dxa" w:w="100"/>
              <w:left w:type="dxa" w:w="100"/>
              <w:bottom w:type="dxa" w:w="100"/>
              <w:right w:type="dxa" w:w="100"/>
            </w:tcMar>
          </w:tcPr>
          <w:p>
            <w:r>
              <w:t xml:space="preserve">Side Letter Provision</w:t>
            </w:r>
          </w:p>
        </w:tc>
        <w:tc>
          <w:tcPr>
            <w:tcMar>
              <w:top w:type="dxa" w:w="100"/>
              <w:left w:type="dxa" w:w="100"/>
              <w:bottom w:type="dxa" w:w="100"/>
              <w:right w:type="dxa" w:w="100"/>
            </w:tcMar>
          </w:tcPr>
          <w:p>
            <w:r>
              <w:t xml:space="preserve">"in connection with the distribution to the LP of non-cash assets of the Partnership in kind...upon the written request of the LP given within a reasonable time of notice of such distribution...use commercially reasonable efforts to assist the LP in disposing of such assets."</w:t>
            </w:r>
          </w:p>
        </w:tc>
      </w:tr>
    </w:tbl>
    <w:p>
      <w:pPr>
        <w:spacing w:before="100" w:after="100"/>
      </w:pPr>
      <w:r>
        <w:rPr>
          <w:b/>
          <w:bCs/>
        </w:rPr>
        <w:t xml:space="preserve">Summary by Origin: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Origin Type</w:t>
            </w:r>
          </w:p>
        </w:tc>
        <w:tc>
          <w:tcPr>
            <w:tcMar>
              <w:top w:type="dxa" w:w="100"/>
              <w:left w:type="dxa" w:w="100"/>
              <w:bottom w:type="dxa" w:w="100"/>
              <w:right w:type="dxa" w:w="100"/>
            </w:tcMar>
          </w:tcPr>
          <w:p>
            <w:r>
              <w:rPr>
                <w:b/>
                <w:bCs/>
                <w:i w:val="false"/>
                <w:iCs w:val="false"/>
              </w:rPr>
              <w:t xml:space="preserve">Obligations</w:t>
            </w:r>
          </w:p>
        </w:tc>
      </w:tr>
      <w:tr>
        <w:tc>
          <w:tcPr>
            <w:tcMar>
              <w:top w:type="dxa" w:w="100"/>
              <w:left w:type="dxa" w:w="100"/>
              <w:bottom w:type="dxa" w:w="100"/>
              <w:right w:type="dxa" w:w="100"/>
            </w:tcMar>
          </w:tcPr>
          <w:p>
            <w:r>
              <w:rPr>
                <w:b/>
                <w:bCs/>
              </w:rPr>
              <w:t xml:space="preserve">Side Letter Provisions</w:t>
            </w:r>
            <w:r>
              <w:t xml:space="preserve"> (direct obligations)</w:t>
            </w:r>
          </w:p>
        </w:tc>
        <w:tc>
          <w:tcPr>
            <w:tcMar>
              <w:top w:type="dxa" w:w="100"/>
              <w:left w:type="dxa" w:w="100"/>
              <w:bottom w:type="dxa" w:w="100"/>
              <w:right w:type="dxa" w:w="100"/>
            </w:tcMar>
          </w:tcPr>
          <w:p>
            <w:r>
              <w:t xml:space="preserve">MFN Rights - Comparable Investor Terms, Capital Demand Notices, Subscription Agreement Notification, Distributions In-Kind Request</w:t>
            </w:r>
          </w:p>
        </w:tc>
      </w:tr>
      <w:tr>
        <w:tc>
          <w:tcPr>
            <w:tcMar>
              <w:top w:type="dxa" w:w="100"/>
              <w:left w:type="dxa" w:w="100"/>
              <w:bottom w:type="dxa" w:w="100"/>
              <w:right w:type="dxa" w:w="100"/>
            </w:tcMar>
          </w:tcPr>
          <w:p>
            <w:r>
              <w:rPr>
                <w:b/>
                <w:bCs/>
              </w:rPr>
              <w:t xml:space="preserve">Partnership Agreement References</w:t>
            </w:r>
            <w:r>
              <w:t xml:space="preserve"> (incorporated by reference)</w:t>
            </w:r>
          </w:p>
        </w:tc>
        <w:tc>
          <w:tcPr>
            <w:tcMar>
              <w:top w:type="dxa" w:w="100"/>
              <w:left w:type="dxa" w:w="100"/>
              <w:bottom w:type="dxa" w:w="100"/>
              <w:right w:type="dxa" w:w="100"/>
            </w:tcMar>
          </w:tcPr>
          <w:p>
            <w:r>
              <w:t xml:space="preserve">MFN Rights - Other Agreements Disclosure (Section 11.4(d))</w:t>
            </w:r>
          </w:p>
        </w:tc>
      </w:tr>
    </w:tbl>
    <w:p>
      <w:pPr>
        <w:spacing w:before="100" w:after="100"/>
      </w:pPr>
      <w:r>
        <w:t xml:space="preserve">All 5 notification obligations are explicitly stated in the Side Letter, with 4 originating directly from the Side Letter and 1 referencing the Partnership Agreement.</w:t>
      </w:r>
    </w:p>
    <w:p>
      <w:pPr>
        <w:spacing w:before="200" w:after="100"/>
      </w:pPr>
      <w:r>
        <w:rPr>
          <w:b/>
          <w:bCs/>
          <w:color w:val="0064C8"/>
          <w:sz w:val="22"/>
          <w:szCs w:val="22"/>
        </w:rPr>
        <w:t xml:space="preserve">Sutraye Sai</w:t>
      </w:r>
    </w:p>
    <w:p>
      <w:pPr>
        <w:spacing w:before="100" w:after="100"/>
      </w:pPr>
      <w:r>
        <w:t xml:space="preserve">Are Business Days defined in the Partnership Agreement?</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Business Days Definition Check - ASP 2022 Aspire II LP (AlpInvest) Side Letter for Fund 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Business Days Defined in Side Letter?</w:t>
            </w:r>
          </w:p>
        </w:tc>
        <w:tc>
          <w:tcPr>
            <w:tcMar>
              <w:top w:type="dxa" w:w="100"/>
              <w:left w:type="dxa" w:w="100"/>
              <w:bottom w:type="dxa" w:w="100"/>
              <w:right w:type="dxa" w:w="100"/>
            </w:tcMar>
          </w:tcPr>
          <w:p>
            <w:r>
              <w:rPr>
                <w:b/>
                <w:bCs/>
                <w:i w:val="false"/>
                <w:iCs w:val="false"/>
              </w:rPr>
              <w:t xml:space="preserve">Reference to Partnership Agreement</w:t>
            </w:r>
          </w:p>
        </w:tc>
        <w:tc>
          <w:tcPr>
            <w:tcMar>
              <w:top w:type="dxa" w:w="100"/>
              <w:left w:type="dxa" w:w="100"/>
              <w:bottom w:type="dxa" w:w="100"/>
              <w:right w:type="dxa" w:w="100"/>
            </w:tcMar>
          </w:tcPr>
          <w:p>
            <w:r>
              <w:rPr>
                <w:b/>
                <w:bCs/>
                <w:i w:val="false"/>
                <w:iCs w:val="false"/>
              </w:rPr>
              <w:t xml:space="preserve">Details</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No - Not defined in Side Letter</w:t>
            </w:r>
          </w:p>
        </w:tc>
        <w:tc>
          <w:tcPr>
            <w:tcMar>
              <w:top w:type="dxa" w:w="100"/>
              <w:left w:type="dxa" w:w="100"/>
              <w:bottom w:type="dxa" w:w="100"/>
              <w:right w:type="dxa" w:w="100"/>
            </w:tcMar>
          </w:tcPr>
          <w:p>
            <w:r>
              <w:t xml:space="preserve">Yes - Term referenced from Partnership Agreement</w:t>
            </w:r>
          </w:p>
        </w:tc>
        <w:tc>
          <w:tcPr>
            <w:tcMar>
              <w:top w:type="dxa" w:w="100"/>
              <w:left w:type="dxa" w:w="100"/>
              <w:bottom w:type="dxa" w:w="100"/>
              <w:right w:type="dxa" w:w="100"/>
            </w:tcMar>
          </w:tcPr>
          <w:p>
            <w:r>
              <w:t xml:space="preserve">The Side Letter states: "no Capital Demand Notice shall be given to the LP on less than ten Business Days' notice"</w:t>
            </w:r>
          </w:p>
        </w:tc>
      </w:tr>
    </w:tbl>
    <w:p>
      <w:pPr>
        <w:spacing w:before="100" w:after="100"/>
      </w:pPr>
      <w:r>
        <w:rPr>
          <w:b/>
          <w:bCs/>
        </w:rPr>
        <w:t xml:space="preserve">Key Finding: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Element</w:t>
            </w:r>
          </w:p>
        </w:tc>
        <w:tc>
          <w:tcPr>
            <w:tcMar>
              <w:top w:type="dxa" w:w="100"/>
              <w:left w:type="dxa" w:w="100"/>
              <w:bottom w:type="dxa" w:w="100"/>
              <w:right w:type="dxa" w:w="100"/>
            </w:tcMar>
          </w:tcPr>
          <w:p>
            <w:r>
              <w:rPr>
                <w:b/>
                <w:bCs/>
                <w:i w:val="false"/>
                <w:iCs w:val="false"/>
              </w:rPr>
              <w:t xml:space="preserve">Status</w:t>
            </w:r>
          </w:p>
        </w:tc>
      </w:tr>
      <w:tr>
        <w:tc>
          <w:tcPr>
            <w:tcMar>
              <w:top w:type="dxa" w:w="100"/>
              <w:left w:type="dxa" w:w="100"/>
              <w:bottom w:type="dxa" w:w="100"/>
              <w:right w:type="dxa" w:w="100"/>
            </w:tcMar>
          </w:tcPr>
          <w:p>
            <w:r>
              <w:t xml:space="preserve">"Business Days" defined in Side Letter</w:t>
            </w:r>
          </w:p>
        </w:tc>
        <w:tc>
          <w:tcPr>
            <w:tcMar>
              <w:top w:type="dxa" w:w="100"/>
              <w:left w:type="dxa" w:w="100"/>
              <w:bottom w:type="dxa" w:w="100"/>
              <w:right w:type="dxa" w:w="100"/>
            </w:tcMar>
          </w:tcPr>
          <w:p>
            <w:r>
              <w:t xml:space="preserve">No</w:t>
            </w:r>
          </w:p>
        </w:tc>
      </w:tr>
      <w:tr>
        <w:tc>
          <w:tcPr>
            <w:tcMar>
              <w:top w:type="dxa" w:w="100"/>
              <w:left w:type="dxa" w:w="100"/>
              <w:bottom w:type="dxa" w:w="100"/>
              <w:right w:type="dxa" w:w="100"/>
            </w:tcMar>
          </w:tcPr>
          <w:p>
            <w:r>
              <w:t xml:space="preserve">"Business Days" used in Side Letter</w:t>
            </w:r>
          </w:p>
        </w:tc>
        <w:tc>
          <w:tcPr>
            <w:tcMar>
              <w:top w:type="dxa" w:w="100"/>
              <w:left w:type="dxa" w:w="100"/>
              <w:bottom w:type="dxa" w:w="100"/>
              <w:right w:type="dxa" w:w="100"/>
            </w:tcMar>
          </w:tcPr>
          <w:p>
            <w:r>
              <w:t xml:space="preserve">Yes - "at least ten Business Days' notice"</w:t>
            </w:r>
          </w:p>
        </w:tc>
      </w:tr>
      <w:tr>
        <w:tc>
          <w:tcPr>
            <w:tcMar>
              <w:top w:type="dxa" w:w="100"/>
              <w:left w:type="dxa" w:w="100"/>
              <w:bottom w:type="dxa" w:w="100"/>
              <w:right w:type="dxa" w:w="100"/>
            </w:tcMar>
          </w:tcPr>
          <w:p>
            <w:r>
              <w:t xml:space="preserve">Definition Location</w:t>
            </w:r>
          </w:p>
        </w:tc>
        <w:tc>
          <w:tcPr>
            <w:tcMar>
              <w:top w:type="dxa" w:w="100"/>
              <w:left w:type="dxa" w:w="100"/>
              <w:bottom w:type="dxa" w:w="100"/>
              <w:right w:type="dxa" w:w="100"/>
            </w:tcMar>
          </w:tcPr>
          <w:p>
            <w:r>
              <w:t xml:space="preserve">Partnership Agreement - The Side Letter states capitalized terms not defined herein have meanings from the Partnership Agreement</w:t>
            </w:r>
          </w:p>
        </w:tc>
      </w:tr>
    </w:tbl>
    <w:p>
      <w:pPr>
        <w:spacing w:before="100" w:after="100"/>
      </w:pPr>
      <w:r>
        <w:t xml:space="preserve">The Side Letter references "Business Days" but does not define it. Per the Side Letter: "Each capitalized term used and not otherwise defined herein shall have the meaning given to such term in the Partnership Agreement."</w:t>
      </w:r>
    </w:p>
    <w:p>
      <w:pPr>
        <w:spacing w:before="100" w:after="100"/>
      </w:pPr>
      <w:r>
        <w:rPr>
          <w:b/>
          <w:bCs/>
        </w:rPr>
        <w:t xml:space="preserve">Conclusion:</w:t>
      </w:r>
      <w:r>
        <w:t xml:space="preserve"> "Business Days" is </w:t>
      </w:r>
      <w:r>
        <w:rPr>
          <w:b/>
          <w:bCs/>
        </w:rPr>
        <w:t xml:space="preserve">not defined in the Side Letter itself</w:t>
      </w:r>
      <w:r>
        <w:t xml:space="preserve"> - the definition would be contained in the Partnership Agreement referenced by the Side Letter.</w:t>
      </w:r>
    </w:p>
    <w:p>
      <w:pPr>
        <w:spacing w:before="200" w:after="100"/>
      </w:pPr>
      <w:r>
        <w:rPr>
          <w:b/>
          <w:bCs/>
          <w:color w:val="0064C8"/>
          <w:sz w:val="22"/>
          <w:szCs w:val="22"/>
        </w:rPr>
        <w:t xml:space="preserve">Sutraye Sai</w:t>
      </w:r>
    </w:p>
    <w:p>
      <w:pPr>
        <w:spacing w:before="100" w:after="100"/>
      </w:pPr>
      <w:r>
        <w:t xml:space="preserve">Are there any notification obligations that apply only to AlpInvest?</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AlpInvest-specific notification obligations from the Side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Obligation Description</w:t>
            </w:r>
          </w:p>
        </w:tc>
        <w:tc>
          <w:tcPr>
            <w:tcMar>
              <w:top w:type="dxa" w:w="100"/>
              <w:left w:type="dxa" w:w="100"/>
              <w:bottom w:type="dxa" w:w="100"/>
              <w:right w:type="dxa" w:w="100"/>
            </w:tcMar>
          </w:tcPr>
          <w:p>
            <w:r>
              <w:rPr>
                <w:b/>
                <w:bCs/>
                <w:i w:val="false"/>
                <w:iCs w:val="false"/>
              </w:rPr>
              <w:t xml:space="preserve">Applicable Conditions</w:t>
            </w:r>
          </w:p>
        </w:tc>
      </w:tr>
      <w:tr>
        <w:tc>
          <w:tcPr>
            <w:tcMar>
              <w:top w:type="dxa" w:w="100"/>
              <w:left w:type="dxa" w:w="100"/>
              <w:bottom w:type="dxa" w:w="100"/>
              <w:right w:type="dxa" w:w="100"/>
            </w:tcMar>
          </w:tcPr>
          <w:p>
            <w:r>
              <w:t xml:space="preserve">ASP 2022 Aspire II LP - Apollo Overseas Partners (Delaware) X, L.P.</w:t>
            </w:r>
          </w:p>
        </w:tc>
        <w:tc>
          <w:tcPr>
            <w:tcMar>
              <w:top w:type="dxa" w:w="100"/>
              <w:left w:type="dxa" w:w="100"/>
              <w:bottom w:type="dxa" w:w="100"/>
              <w:right w:type="dxa" w:w="100"/>
            </w:tcMar>
          </w:tcPr>
          <w:p>
            <w:r>
              <w:t xml:space="preserve">LP must receive at least ten Business Days' notice before capital call deadline or alternative arrangements made.</w:t>
            </w:r>
          </w:p>
        </w:tc>
        <w:tc>
          <w:tcPr>
            <w:tcMar>
              <w:top w:type="dxa" w:w="100"/>
              <w:left w:type="dxa" w:w="100"/>
              <w:bottom w:type="dxa" w:w="100"/>
              <w:right w:type="dxa" w:w="100"/>
            </w:tcMar>
          </w:tcPr>
          <w:p>
            <w:r>
              <w:t xml:space="preserve">Due to the operational requirements of its internal procedures relating to releasing funds, the LP may be unable to fund capital calls on less than ten Business Days' notice.</w:t>
            </w:r>
          </w:p>
        </w:tc>
      </w:tr>
      <w:tr>
        <w:tc>
          <w:tcPr>
            <w:tcMar>
              <w:top w:type="dxa" w:w="100"/>
              <w:left w:type="dxa" w:w="100"/>
              <w:bottom w:type="dxa" w:w="100"/>
              <w:right w:type="dxa" w:w="100"/>
            </w:tcMar>
          </w:tcPr>
          <w:p>
            <w:r>
              <w:t xml:space="preserve">ASP 2022 Aspire II LP - Apollo Overseas Partners (Delaware) X, L.P.</w:t>
            </w:r>
          </w:p>
        </w:tc>
        <w:tc>
          <w:tcPr>
            <w:tcMar>
              <w:top w:type="dxa" w:w="100"/>
              <w:left w:type="dxa" w:w="100"/>
              <w:bottom w:type="dxa" w:w="100"/>
              <w:right w:type="dxa" w:w="100"/>
            </w:tcMar>
          </w:tcPr>
          <w:p>
            <w:r>
              <w:t xml:space="preserve">The General Partner must disclose Other Agreements' terms to the LP per Section 11.4(d) MFN policy.</w:t>
            </w:r>
          </w:p>
        </w:tc>
        <w:tc>
          <w:tcPr>
            <w:tcMar>
              <w:top w:type="dxa" w:w="100"/>
              <w:left w:type="dxa" w:w="100"/>
              <w:bottom w:type="dxa" w:w="100"/>
              <w:right w:type="dxa" w:w="100"/>
            </w:tcMar>
          </w:tcPr>
          <w:p>
            <w:r>
              <w:t xml:space="preserve">LP's request pursuant to Section 11.4(d) of the Partnership Agreement</w:t>
            </w:r>
          </w:p>
        </w:tc>
      </w:tr>
      <w:tr>
        <w:tc>
          <w:tcPr>
            <w:tcMar>
              <w:top w:type="dxa" w:w="100"/>
              <w:left w:type="dxa" w:w="100"/>
              <w:bottom w:type="dxa" w:w="100"/>
              <w:right w:type="dxa" w:w="100"/>
            </w:tcMar>
          </w:tcPr>
          <w:p>
            <w:r>
              <w:t xml:space="preserve">ASP 2022 Aspire II LP - Apollo Overseas Partners (Delaware) X, L.P.</w:t>
            </w:r>
          </w:p>
        </w:tc>
        <w:tc>
          <w:tcPr>
            <w:tcMar>
              <w:top w:type="dxa" w:w="100"/>
              <w:left w:type="dxa" w:w="100"/>
              <w:bottom w:type="dxa" w:w="100"/>
              <w:right w:type="dxa" w:w="100"/>
            </w:tcMar>
          </w:tcPr>
          <w:p>
            <w:r>
              <w:t xml:space="preserve">GP acknowledges LP's standing request for copies of organizational documents of Alternative Investment Vehicles in which LP participates.</w:t>
            </w:r>
          </w:p>
        </w:tc>
        <w:tc>
          <w:tcPr>
            <w:tcMar>
              <w:top w:type="dxa" w:w="100"/>
              <w:left w:type="dxa" w:w="100"/>
              <w:bottom w:type="dxa" w:w="100"/>
              <w:right w:type="dxa" w:w="100"/>
            </w:tcMar>
          </w:tcPr>
          <w:p>
            <w:r>
              <w:t xml:space="preserve">Pursuant to Section 5.3 of the Partnership Agreement</w:t>
            </w:r>
          </w:p>
        </w:tc>
      </w:tr>
      <w:tr>
        <w:tc>
          <w:tcPr>
            <w:tcMar>
              <w:top w:type="dxa" w:w="100"/>
              <w:left w:type="dxa" w:w="100"/>
              <w:bottom w:type="dxa" w:w="100"/>
              <w:right w:type="dxa" w:w="100"/>
            </w:tcMar>
          </w:tcPr>
          <w:p>
            <w:r>
              <w:t xml:space="preserve">ASP 2022 Aspire II LP - Apollo Overseas Partners (Delaware) X, L.P.</w:t>
            </w:r>
          </w:p>
        </w:tc>
        <w:tc>
          <w:tcPr>
            <w:tcMar>
              <w:top w:type="dxa" w:w="100"/>
              <w:left w:type="dxa" w:w="100"/>
              <w:bottom w:type="dxa" w:w="100"/>
              <w:right w:type="dxa" w:w="100"/>
            </w:tcMar>
          </w:tcPr>
          <w:p>
            <w:r>
              <w:t xml:space="preserve">The General Partner will provide ILPA fee reporting information quarterly upon the investor's request.</w:t>
            </w:r>
          </w:p>
        </w:tc>
        <w:tc>
          <w:tcPr>
            <w:tcMar>
              <w:top w:type="dxa" w:w="100"/>
              <w:left w:type="dxa" w:w="100"/>
              <w:bottom w:type="dxa" w:w="100"/>
              <w:right w:type="dxa" w:w="100"/>
            </w:tcMar>
          </w:tcPr>
          <w:p>
            <w:r>
              <w:t xml:space="preserve">LP's internal policy requires quarterly ILPA fee reporting template information from General Partner for private fund investments.</w:t>
            </w:r>
          </w:p>
        </w:tc>
      </w:tr>
      <w:tr>
        <w:tc>
          <w:tcPr>
            <w:tcMar>
              <w:top w:type="dxa" w:w="100"/>
              <w:left w:type="dxa" w:w="100"/>
              <w:bottom w:type="dxa" w:w="100"/>
              <w:right w:type="dxa" w:w="100"/>
            </w:tcMar>
          </w:tcPr>
          <w:p>
            <w:r>
              <w:t xml:space="preserve">ASP 2022 Aspire II LP - Apollo Overseas Partners (Delaware) X, L.P.</w:t>
            </w:r>
          </w:p>
        </w:tc>
        <w:tc>
          <w:tcPr>
            <w:tcMar>
              <w:top w:type="dxa" w:w="100"/>
              <w:left w:type="dxa" w:w="100"/>
              <w:bottom w:type="dxa" w:w="100"/>
              <w:right w:type="dxa" w:w="100"/>
            </w:tcMar>
          </w:tcPr>
          <w:p>
            <w:r>
              <w:t xml:space="preserve">The LP can disclose fund-level information to investors, ensuring confidentiality similar to Partnership Agreement terms.</w:t>
            </w:r>
          </w:p>
        </w:tc>
        <w:tc>
          <w:tcPr>
            <w:tcMar>
              <w:top w:type="dxa" w:w="100"/>
              <w:left w:type="dxa" w:w="100"/>
              <w:bottom w:type="dxa" w:w="100"/>
              <w:right w:type="dxa" w:w="100"/>
            </w:tcMar>
          </w:tcPr>
          <w:p>
            <w:r>
              <w:t xml:space="preserve">The LP is a privately-held investment vehicle that has certain reporting obligations to its own third-party investors and their respective investment advisers (the "Underlying Investors").</w:t>
            </w:r>
          </w:p>
        </w:tc>
      </w:tr>
      <w:tr>
        <w:tc>
          <w:tcPr>
            <w:tcMar>
              <w:top w:type="dxa" w:w="100"/>
              <w:left w:type="dxa" w:w="100"/>
              <w:bottom w:type="dxa" w:w="100"/>
              <w:right w:type="dxa" w:w="100"/>
            </w:tcMar>
          </w:tcPr>
          <w:p>
            <w:r>
              <w:t xml:space="preserve">ASP 2022 Aspire II LP - Apollo Overseas Partners (Delaware) X, L.P.</w:t>
            </w:r>
          </w:p>
        </w:tc>
        <w:tc>
          <w:tcPr>
            <w:tcMar>
              <w:top w:type="dxa" w:w="100"/>
              <w:left w:type="dxa" w:w="100"/>
              <w:bottom w:type="dxa" w:w="100"/>
              <w:right w:type="dxa" w:w="100"/>
            </w:tcMar>
          </w:tcPr>
          <w:p>
            <w:r>
              <w:t xml:space="preserve">The General Partner agrees to aggregate the LP's Capital Commitment with other AlpInvest Investors for MFN purposes.</w:t>
            </w:r>
          </w:p>
        </w:tc>
        <w:tc>
          <w:tcPr>
            <w:tcMar>
              <w:top w:type="dxa" w:w="100"/>
              <w:left w:type="dxa" w:w="100"/>
              <w:bottom w:type="dxa" w:w="100"/>
              <w:right w:type="dxa" w:w="100"/>
            </w:tcMar>
          </w:tcPr>
          <w:p>
            <w:r>
              <w:t xml:space="preserve">LP is managed or advised by AlpInvest Partners B.V or AlpInvest US Holdings, LLC</w:t>
            </w:r>
          </w:p>
        </w:tc>
      </w:tr>
      <w:tr>
        <w:tc>
          <w:tcPr>
            <w:tcMar>
              <w:top w:type="dxa" w:w="100"/>
              <w:left w:type="dxa" w:w="100"/>
              <w:bottom w:type="dxa" w:w="100"/>
              <w:right w:type="dxa" w:w="100"/>
            </w:tcMar>
          </w:tcPr>
          <w:p>
            <w:r>
              <w:t xml:space="preserve">ASP 2022 Aspire II LP - Apollo Overseas Partners (Delaware) X, L.P.</w:t>
            </w:r>
          </w:p>
        </w:tc>
        <w:tc>
          <w:tcPr>
            <w:tcMar>
              <w:top w:type="dxa" w:w="100"/>
              <w:left w:type="dxa" w:w="100"/>
              <w:bottom w:type="dxa" w:w="100"/>
              <w:right w:type="dxa" w:w="100"/>
            </w:tcMar>
          </w:tcPr>
          <w:p>
            <w:r>
              <w:t xml:space="preserve">LP not obligated to provide documents to lenders except confirmation of Capital Commitment and Unpaid Capital Obligation amounts.</w:t>
            </w:r>
          </w:p>
        </w:tc>
        <w:tc>
          <w:tcPr>
            <w:tcMar>
              <w:top w:type="dxa" w:w="100"/>
              <w:left w:type="dxa" w:w="100"/>
              <w:bottom w:type="dxa" w:w="100"/>
              <w:right w:type="dxa" w:w="100"/>
            </w:tcMar>
          </w:tcPr>
          <w:p>
            <w:r>
              <w:t xml:space="preserve">LP's internal policy limits documents provided to lenders to only capital commitment and unpaid obligation confirmations.</w:t>
            </w:r>
          </w:p>
        </w:tc>
      </w:tr>
    </w:tbl>
    <w:p>
      <w:pPr>
        <w:spacing w:before="200" w:after="100"/>
      </w:pPr>
      <w:r>
        <w:rPr>
          <w:b/>
          <w:bCs/>
          <w:color w:val="0064C8"/>
          <w:sz w:val="22"/>
          <w:szCs w:val="22"/>
        </w:rPr>
        <w:t xml:space="preserve">Sutraye Sai</w:t>
      </w:r>
    </w:p>
    <w:p>
      <w:pPr>
        <w:spacing w:before="100" w:after="100"/>
      </w:pPr>
      <w:r>
        <w:t xml:space="preserve">Does the GP need to notify the LP if more favorable terms are granted to another investor?</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MFN Notification Requirements for AlpInvest (ASP 2022 Aspire II LP) - Fund 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Requirement</w:t>
            </w:r>
          </w:p>
        </w:tc>
        <w:tc>
          <w:tcPr>
            <w:tcMar>
              <w:top w:type="dxa" w:w="100"/>
              <w:left w:type="dxa" w:w="100"/>
              <w:bottom w:type="dxa" w:w="100"/>
              <w:right w:type="dxa" w:w="100"/>
            </w:tcMar>
          </w:tcPr>
          <w:p>
            <w:r>
              <w:rPr>
                <w:b/>
                <w:bCs/>
                <w:i w:val="false"/>
                <w:iCs w:val="false"/>
              </w:rPr>
              <w:t xml:space="preserve">Details</w:t>
            </w:r>
          </w:p>
        </w:tc>
        <w:tc>
          <w:tcPr>
            <w:tcMar>
              <w:top w:type="dxa" w:w="100"/>
              <w:left w:type="dxa" w:w="100"/>
              <w:bottom w:type="dxa" w:w="100"/>
              <w:right w:type="dxa" w:w="100"/>
            </w:tcMar>
          </w:tcPr>
          <w:p>
            <w:r>
              <w:rPr>
                <w:b/>
                <w:bCs/>
                <w:i w:val="false"/>
                <w:iCs w:val="false"/>
              </w:rPr>
              <w:t xml:space="preserve">Side Letter Language</w:t>
            </w:r>
          </w:p>
        </w:tc>
      </w:tr>
      <w:tr>
        <w:tc>
          <w:tcPr>
            <w:tcMar>
              <w:top w:type="dxa" w:w="100"/>
              <w:left w:type="dxa" w:w="100"/>
              <w:bottom w:type="dxa" w:w="100"/>
              <w:right w:type="dxa" w:w="100"/>
            </w:tcMar>
          </w:tcPr>
          <w:p>
            <w:r>
              <w:rPr>
                <w:b/>
                <w:bCs/>
              </w:rPr>
              <w:t xml:space="preserve">GP Notification Obligation</w:t>
            </w:r>
          </w:p>
        </w:tc>
        <w:tc>
          <w:tcPr>
            <w:tcMar>
              <w:top w:type="dxa" w:w="100"/>
              <w:left w:type="dxa" w:w="100"/>
              <w:bottom w:type="dxa" w:w="100"/>
              <w:right w:type="dxa" w:w="100"/>
            </w:tcMar>
          </w:tcPr>
          <w:p>
            <w:r>
              <w:t xml:space="preserve">Yes - GP must disclose Other Agreements' terms</w:t>
            </w:r>
          </w:p>
        </w:tc>
        <w:tc>
          <w:tcPr>
            <w:tcMar>
              <w:top w:type="dxa" w:w="100"/>
              <w:left w:type="dxa" w:w="100"/>
              <w:bottom w:type="dxa" w:w="100"/>
              <w:right w:type="dxa" w:w="100"/>
            </w:tcMar>
          </w:tcPr>
          <w:p>
            <w:r>
              <w:t xml:space="preserve">"The General Partner hereby acknowledges the LP's request pursuant to Section 11.4(d) of the Partnership Agreement that the General Partner make available to the LP, as soon as reasonably practicable following the Final Fund X Closing Date, the terms of Other Agreements in accordance with the provisions of Section 11.4(d) of the Partnership Agreement."</w:t>
            </w:r>
          </w:p>
        </w:tc>
      </w:tr>
      <w:tr>
        <w:tc>
          <w:tcPr>
            <w:tcMar>
              <w:top w:type="dxa" w:w="100"/>
              <w:left w:type="dxa" w:w="100"/>
              <w:bottom w:type="dxa" w:w="100"/>
              <w:right w:type="dxa" w:w="100"/>
            </w:tcMar>
          </w:tcPr>
          <w:p>
            <w:r>
              <w:rPr>
                <w:b/>
                <w:bCs/>
              </w:rPr>
              <w:t xml:space="preserve">Timing</w:t>
            </w:r>
          </w:p>
        </w:tc>
        <w:tc>
          <w:tcPr>
            <w:tcMar>
              <w:top w:type="dxa" w:w="100"/>
              <w:left w:type="dxa" w:w="100"/>
              <w:bottom w:type="dxa" w:w="100"/>
              <w:right w:type="dxa" w:w="100"/>
            </w:tcMar>
          </w:tcPr>
          <w:p>
            <w:r>
              <w:t xml:space="preserve">As soon as reasonably practicable following Final Fund X Closing Date</w:t>
            </w:r>
          </w:p>
        </w:tc>
        <w:tc>
          <w:tcPr>
            <w:tcMar>
              <w:top w:type="dxa" w:w="100"/>
              <w:left w:type="dxa" w:w="100"/>
              <w:bottom w:type="dxa" w:w="100"/>
              <w:right w:type="dxa" w:w="100"/>
            </w:tcMar>
          </w:tcPr>
          <w:p>
            <w:r>
              <w:t xml:space="preserve">"as soon as reasonably practicable following the Final Fund X Closing Date"</w:t>
            </w:r>
          </w:p>
        </w:tc>
      </w:tr>
      <w:tr>
        <w:tc>
          <w:tcPr>
            <w:tcMar>
              <w:top w:type="dxa" w:w="100"/>
              <w:left w:type="dxa" w:w="100"/>
              <w:bottom w:type="dxa" w:w="100"/>
              <w:right w:type="dxa" w:w="100"/>
            </w:tcMar>
          </w:tcPr>
          <w:p>
            <w:r>
              <w:rPr>
                <w:b/>
                <w:bCs/>
              </w:rPr>
              <w:t xml:space="preserve">Governing Provision</w:t>
            </w:r>
          </w:p>
        </w:tc>
        <w:tc>
          <w:tcPr>
            <w:tcMar>
              <w:top w:type="dxa" w:w="100"/>
              <w:left w:type="dxa" w:w="100"/>
              <w:bottom w:type="dxa" w:w="100"/>
              <w:right w:type="dxa" w:w="100"/>
            </w:tcMar>
          </w:tcPr>
          <w:p>
            <w:r>
              <w:t xml:space="preserve">Section 11.4(d) of Partnership Agreement</w:t>
            </w:r>
          </w:p>
        </w:tc>
        <w:tc>
          <w:tcPr>
            <w:tcMar>
              <w:top w:type="dxa" w:w="100"/>
              <w:left w:type="dxa" w:w="100"/>
              <w:bottom w:type="dxa" w:w="100"/>
              <w:right w:type="dxa" w:w="100"/>
            </w:tcMar>
          </w:tcPr>
          <w:p>
            <w:r>
              <w:t xml:space="preserve">"pursuant to Section 11.4(d) of the Partnership Agreement"</w:t>
            </w:r>
          </w:p>
        </w:tc>
      </w:tr>
      <w:tr>
        <w:tc>
          <w:tcPr>
            <w:tcMar>
              <w:top w:type="dxa" w:w="100"/>
              <w:left w:type="dxa" w:w="100"/>
              <w:bottom w:type="dxa" w:w="100"/>
              <w:right w:type="dxa" w:w="100"/>
            </w:tcMar>
          </w:tcPr>
          <w:p>
            <w:r>
              <w:rPr>
                <w:b/>
                <w:bCs/>
              </w:rPr>
              <w:t xml:space="preserve">Comparable Investor Terms</w:t>
            </w:r>
          </w:p>
        </w:tc>
        <w:tc>
          <w:tcPr>
            <w:tcMar>
              <w:top w:type="dxa" w:w="100"/>
              <w:left w:type="dxa" w:w="100"/>
              <w:bottom w:type="dxa" w:w="100"/>
              <w:right w:type="dxa" w:w="100"/>
            </w:tcMar>
          </w:tcPr>
          <w:p>
            <w:r>
              <w:t xml:space="preserve">GP must notify LP of terms given to comparable investors</w:t>
            </w:r>
          </w:p>
        </w:tc>
        <w:tc>
          <w:tcPr>
            <w:tcMar>
              <w:top w:type="dxa" w:w="100"/>
              <w:left w:type="dxa" w:w="100"/>
              <w:bottom w:type="dxa" w:w="100"/>
              <w:right w:type="dxa" w:w="100"/>
            </w:tcMar>
          </w:tcPr>
          <w:p>
            <w:r>
              <w:t xml:space="preserve">"The General Partner must notify the LP of terms given to comparable investors after Fund X closes."</w:t>
            </w:r>
          </w:p>
        </w:tc>
      </w:tr>
      <w:tr>
        <w:tc>
          <w:tcPr>
            <w:tcMar>
              <w:top w:type="dxa" w:w="100"/>
              <w:left w:type="dxa" w:w="100"/>
              <w:bottom w:type="dxa" w:w="100"/>
              <w:right w:type="dxa" w:w="100"/>
            </w:tcMar>
          </w:tcPr>
          <w:p>
            <w:r>
              <w:rPr>
                <w:b/>
                <w:bCs/>
              </w:rPr>
              <w:t xml:space="preserve">Commitment Aggregation for MFN</w:t>
            </w:r>
          </w:p>
        </w:tc>
        <w:tc>
          <w:tcPr>
            <w:tcMar>
              <w:top w:type="dxa" w:w="100"/>
              <w:left w:type="dxa" w:w="100"/>
              <w:bottom w:type="dxa" w:w="100"/>
              <w:right w:type="dxa" w:w="100"/>
            </w:tcMar>
          </w:tcPr>
          <w:p>
            <w:r>
              <w:t xml:space="preserve">LP's Capital Commitment aggregated with other AlpInvest Investors</w:t>
            </w:r>
          </w:p>
        </w:tc>
        <w:tc>
          <w:tcPr>
            <w:tcMar>
              <w:top w:type="dxa" w:w="100"/>
              <w:left w:type="dxa" w:w="100"/>
              <w:bottom w:type="dxa" w:w="100"/>
              <w:right w:type="dxa" w:w="100"/>
            </w:tcMar>
          </w:tcPr>
          <w:p>
            <w:r>
              <w:t xml:space="preserve">"the General Partner agrees that the LP's Capital Commitment shall be aggregated with the Capital Commitments of any other AlpInvest Investors for purposes of Section 7.4(a) and Section 11.4(d) of the Partnership Agreement"</w:t>
            </w:r>
          </w:p>
        </w:tc>
      </w:tr>
      <w:tr>
        <w:tc>
          <w:tcPr>
            <w:tcMar>
              <w:top w:type="dxa" w:w="100"/>
              <w:left w:type="dxa" w:w="100"/>
              <w:bottom w:type="dxa" w:w="100"/>
              <w:right w:type="dxa" w:w="100"/>
            </w:tcMar>
          </w:tcPr>
          <w:p>
            <w:r>
              <w:rPr>
                <w:b/>
                <w:bCs/>
              </w:rPr>
              <w:t xml:space="preserve">Aggregation Condition</w:t>
            </w:r>
          </w:p>
        </w:tc>
        <w:tc>
          <w:tcPr>
            <w:tcMar>
              <w:top w:type="dxa" w:w="100"/>
              <w:left w:type="dxa" w:w="100"/>
              <w:bottom w:type="dxa" w:w="100"/>
              <w:right w:type="dxa" w:w="100"/>
            </w:tcMar>
          </w:tcPr>
          <w:p>
            <w:r>
              <w:t xml:space="preserve">LP must be managed/advised by AlpInvest Partners B.V or AlpInvest US Holdings, LLC</w:t>
            </w:r>
          </w:p>
        </w:tc>
        <w:tc>
          <w:tcPr>
            <w:tcMar>
              <w:top w:type="dxa" w:w="100"/>
              <w:left w:type="dxa" w:w="100"/>
              <w:bottom w:type="dxa" w:w="100"/>
              <w:right w:type="dxa" w:w="100"/>
            </w:tcMar>
          </w:tcPr>
          <w:p>
            <w:r>
              <w:t xml:space="preserve">"The LP represents and warrants to the General Partner that the LP is managed or advised by AlpInvest Partners B.V or AlpInvest US Holdings, LLC"</w:t>
            </w:r>
          </w:p>
        </w:tc>
      </w:tr>
    </w:tbl>
    <w:p>
      <w:pPr>
        <w:spacing w:before="100" w:after="100"/>
      </w:pPr>
      <w:r>
        <w:rPr>
          <w:b/>
          <w:bCs/>
        </w:rPr>
        <w:t xml:space="preserve">Key Finding:</w:t>
      </w:r>
      <w:r>
        <w:t xml:space="preserve"> Yes, the GP must notify AlpInvest when more favorable terms are granted. The disclosure occurs "as soon as reasonably practicable following the Final Fund X Closing Date" per Section 11.4(d) of the Partnership Agreement.</w:t>
      </w:r>
    </w:p>
    <w:p>
      <w:pPr>
        <w:spacing w:before="200" w:after="100"/>
      </w:pPr>
      <w:r>
        <w:rPr>
          <w:b/>
          <w:bCs/>
          <w:color w:val="0064C8"/>
          <w:sz w:val="22"/>
          <w:szCs w:val="22"/>
        </w:rPr>
        <w:t xml:space="preserve">Sutraye Sai</w:t>
      </w:r>
    </w:p>
    <w:p>
      <w:pPr>
        <w:spacing w:before="100" w:after="100"/>
      </w:pPr>
      <w:r>
        <w:t xml:space="preserve">Does the side letter introduce any new notification obligations not present in the LPA?</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Notification obligations introduced in the AlpInvest Side Letter for Fund X that are </w:t>
      </w:r>
      <w:r>
        <w:rPr>
          <w:b/>
          <w:bCs/>
        </w:rPr>
        <w:t xml:space="preserve">not present in the underlying LPA</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Notification Obligation</w:t>
            </w:r>
          </w:p>
        </w:tc>
        <w:tc>
          <w:tcPr>
            <w:tcMar>
              <w:top w:type="dxa" w:w="100"/>
              <w:left w:type="dxa" w:w="100"/>
              <w:bottom w:type="dxa" w:w="100"/>
              <w:right w:type="dxa" w:w="100"/>
            </w:tcMar>
          </w:tcPr>
          <w:p>
            <w:r>
              <w:rPr>
                <w:b/>
                <w:bCs/>
                <w:i w:val="false"/>
                <w:iCs w:val="false"/>
              </w:rPr>
              <w:t xml:space="preserve">Side Letter Provision</w:t>
            </w:r>
          </w:p>
        </w:tc>
        <w:tc>
          <w:tcPr>
            <w:tcMar>
              <w:top w:type="dxa" w:w="100"/>
              <w:left w:type="dxa" w:w="100"/>
              <w:bottom w:type="dxa" w:w="100"/>
              <w:right w:type="dxa" w:w="100"/>
            </w:tcMar>
          </w:tcPr>
          <w:p>
            <w:r>
              <w:rPr>
                <w:b/>
                <w:bCs/>
                <w:i w:val="false"/>
                <w:iCs w:val="false"/>
              </w:rPr>
              <w:t xml:space="preserve">LPA Baseline</w:t>
            </w:r>
          </w:p>
        </w:tc>
        <w:tc>
          <w:tcPr>
            <w:tcMar>
              <w:top w:type="dxa" w:w="100"/>
              <w:left w:type="dxa" w:w="100"/>
              <w:bottom w:type="dxa" w:w="100"/>
              <w:right w:type="dxa" w:w="100"/>
            </w:tcMar>
          </w:tcPr>
          <w:p>
            <w:r>
              <w:rPr>
                <w:b/>
                <w:bCs/>
                <w:i w:val="false"/>
                <w:iCs w:val="false"/>
              </w:rPr>
              <w:t xml:space="preserve">Side Letter Enhancement</w:t>
            </w:r>
          </w:p>
        </w:tc>
      </w:tr>
      <w:tr>
        <w:tc>
          <w:tcPr>
            <w:tcMar>
              <w:top w:type="dxa" w:w="100"/>
              <w:left w:type="dxa" w:w="100"/>
              <w:bottom w:type="dxa" w:w="100"/>
              <w:right w:type="dxa" w:w="100"/>
            </w:tcMar>
          </w:tcPr>
          <w:p>
            <w:r>
              <w:rPr>
                <w:b/>
                <w:bCs/>
              </w:rPr>
              <w:t xml:space="preserve">Capital Call Notice Period</w:t>
            </w:r>
          </w:p>
        </w:tc>
        <w:tc>
          <w:tcPr>
            <w:tcMar>
              <w:top w:type="dxa" w:w="100"/>
              <w:left w:type="dxa" w:w="100"/>
              <w:bottom w:type="dxa" w:w="100"/>
              <w:right w:type="dxa" w:w="100"/>
            </w:tcMar>
          </w:tcPr>
          <w:p>
            <w:r>
              <w:t xml:space="preserve">"no Capital Demand Notice shall be given to the LP on less than ten Business Days' notice"</w:t>
            </w:r>
          </w:p>
        </w:tc>
        <w:tc>
          <w:tcPr>
            <w:tcMar>
              <w:top w:type="dxa" w:w="100"/>
              <w:left w:type="dxa" w:w="100"/>
              <w:bottom w:type="dxa" w:w="100"/>
              <w:right w:type="dxa" w:w="100"/>
            </w:tcMar>
          </w:tcPr>
          <w:p>
            <w:r>
              <w:t xml:space="preserve">Standard LPA notice period (shorter)</w:t>
            </w:r>
          </w:p>
        </w:tc>
        <w:tc>
          <w:tcPr>
            <w:tcMar>
              <w:top w:type="dxa" w:w="100"/>
              <w:left w:type="dxa" w:w="100"/>
              <w:bottom w:type="dxa" w:w="100"/>
              <w:right w:type="dxa" w:w="100"/>
            </w:tcMar>
          </w:tcPr>
          <w:p>
            <w:r>
              <w:t xml:space="preserve">LP must receive at least ten Business Days' notice before capital call deadline or alternative arrangements made</w:t>
            </w:r>
          </w:p>
        </w:tc>
      </w:tr>
      <w:tr>
        <w:tc>
          <w:tcPr>
            <w:tcMar>
              <w:top w:type="dxa" w:w="100"/>
              <w:left w:type="dxa" w:w="100"/>
              <w:bottom w:type="dxa" w:w="100"/>
              <w:right w:type="dxa" w:w="100"/>
            </w:tcMar>
          </w:tcPr>
          <w:p>
            <w:r>
              <w:rPr>
                <w:b/>
                <w:bCs/>
              </w:rPr>
              <w:t xml:space="preserve">MFN Disclosure Timing</w:t>
            </w:r>
          </w:p>
        </w:tc>
        <w:tc>
          <w:tcPr>
            <w:tcMar>
              <w:top w:type="dxa" w:w="100"/>
              <w:left w:type="dxa" w:w="100"/>
              <w:bottom w:type="dxa" w:w="100"/>
              <w:right w:type="dxa" w:w="100"/>
            </w:tcMar>
          </w:tcPr>
          <w:p>
            <w:r>
              <w:t xml:space="preserve">"make available to the LP, as soon as reasonably practicable following the Final Fund X Closing Date, the terms of Other Agreements"</w:t>
            </w:r>
          </w:p>
        </w:tc>
        <w:tc>
          <w:tcPr>
            <w:tcMar>
              <w:top w:type="dxa" w:w="100"/>
              <w:left w:type="dxa" w:w="100"/>
              <w:bottom w:type="dxa" w:w="100"/>
              <w:right w:type="dxa" w:w="100"/>
            </w:tcMar>
          </w:tcPr>
          <w:p>
            <w:r>
              <w:t xml:space="preserve">Section 11.4(d) general MFN rights</w:t>
            </w:r>
          </w:p>
        </w:tc>
        <w:tc>
          <w:tcPr>
            <w:tcMar>
              <w:top w:type="dxa" w:w="100"/>
              <w:left w:type="dxa" w:w="100"/>
              <w:bottom w:type="dxa" w:w="100"/>
              <w:right w:type="dxa" w:w="100"/>
            </w:tcMar>
          </w:tcPr>
          <w:p>
            <w:r>
              <w:t xml:space="preserve">GP must proactively disclose Other Agreements' terms post-closing</w:t>
            </w:r>
          </w:p>
        </w:tc>
      </w:tr>
      <w:tr>
        <w:tc>
          <w:tcPr>
            <w:tcMar>
              <w:top w:type="dxa" w:w="100"/>
              <w:left w:type="dxa" w:w="100"/>
              <w:bottom w:type="dxa" w:w="100"/>
              <w:right w:type="dxa" w:w="100"/>
            </w:tcMar>
          </w:tcPr>
          <w:p>
            <w:r>
              <w:rPr>
                <w:b/>
                <w:bCs/>
              </w:rPr>
              <w:t xml:space="preserve">AIV Organizational Documents</w:t>
            </w:r>
          </w:p>
        </w:tc>
        <w:tc>
          <w:tcPr>
            <w:tcMar>
              <w:top w:type="dxa" w:w="100"/>
              <w:left w:type="dxa" w:w="100"/>
              <w:bottom w:type="dxa" w:w="100"/>
              <w:right w:type="dxa" w:w="100"/>
            </w:tcMar>
          </w:tcPr>
          <w:p>
            <w:r>
              <w:t xml:space="preserve">"standing request pursuant to Section 5.3 of the Partnership Agreement for copies of any organizational documents of any Alternative Investment Vehicles"</w:t>
            </w:r>
          </w:p>
        </w:tc>
        <w:tc>
          <w:tcPr>
            <w:tcMar>
              <w:top w:type="dxa" w:w="100"/>
              <w:left w:type="dxa" w:w="100"/>
              <w:bottom w:type="dxa" w:w="100"/>
              <w:right w:type="dxa" w:w="100"/>
            </w:tcMar>
          </w:tcPr>
          <w:p>
            <w:r>
              <w:t xml:space="preserve">Section 5.3 allows requests</w:t>
            </w:r>
          </w:p>
        </w:tc>
        <w:tc>
          <w:tcPr>
            <w:tcMar>
              <w:top w:type="dxa" w:w="100"/>
              <w:left w:type="dxa" w:w="100"/>
              <w:bottom w:type="dxa" w:w="100"/>
              <w:right w:type="dxa" w:w="100"/>
            </w:tcMar>
          </w:tcPr>
          <w:p>
            <w:r>
              <w:t xml:space="preserve">GP acknowledges LP's standing request - automatic ongoing obligation</w:t>
            </w:r>
          </w:p>
        </w:tc>
      </w:tr>
      <w:tr>
        <w:tc>
          <w:tcPr>
            <w:tcMar>
              <w:top w:type="dxa" w:w="100"/>
              <w:left w:type="dxa" w:w="100"/>
              <w:bottom w:type="dxa" w:w="100"/>
              <w:right w:type="dxa" w:w="100"/>
            </w:tcMar>
          </w:tcPr>
          <w:p>
            <w:r>
              <w:rPr>
                <w:b/>
                <w:bCs/>
              </w:rPr>
              <w:t xml:space="preserve">ILPA Fee Reporting</w:t>
            </w:r>
          </w:p>
        </w:tc>
        <w:tc>
          <w:tcPr>
            <w:tcMar>
              <w:top w:type="dxa" w:w="100"/>
              <w:left w:type="dxa" w:w="100"/>
              <w:bottom w:type="dxa" w:w="100"/>
              <w:right w:type="dxa" w:w="100"/>
            </w:tcMar>
          </w:tcPr>
          <w:p>
            <w:r>
              <w:t xml:space="preserve">"upon request by the LP, the General Partner shall use commercially reasonable efforts to provide to the LP on a quarterly basis information"</w:t>
            </w:r>
          </w:p>
        </w:tc>
        <w:tc>
          <w:tcPr>
            <w:tcMar>
              <w:top w:type="dxa" w:w="100"/>
              <w:left w:type="dxa" w:w="100"/>
              <w:bottom w:type="dxa" w:w="100"/>
              <w:right w:type="dxa" w:w="100"/>
            </w:tcMar>
          </w:tcPr>
          <w:p>
            <w:r>
              <w:t xml:space="preserve">Not in LPA</w:t>
            </w:r>
          </w:p>
        </w:tc>
        <w:tc>
          <w:tcPr>
            <w:tcMar>
              <w:top w:type="dxa" w:w="100"/>
              <w:left w:type="dxa" w:w="100"/>
              <w:bottom w:type="dxa" w:w="100"/>
              <w:right w:type="dxa" w:w="100"/>
            </w:tcMar>
          </w:tcPr>
          <w:p>
            <w:r>
              <w:t xml:space="preserve">Quarterly ILPA fee reporting template information upon request</w:t>
            </w:r>
          </w:p>
        </w:tc>
      </w:tr>
      <w:tr>
        <w:tc>
          <w:tcPr>
            <w:tcMar>
              <w:top w:type="dxa" w:w="100"/>
              <w:left w:type="dxa" w:w="100"/>
              <w:bottom w:type="dxa" w:w="100"/>
              <w:right w:type="dxa" w:w="100"/>
            </w:tcMar>
          </w:tcPr>
          <w:p>
            <w:r>
              <w:rPr>
                <w:b/>
                <w:bCs/>
              </w:rPr>
              <w:t xml:space="preserve">Subscription Agreement Notification Timing</w:t>
            </w:r>
          </w:p>
        </w:tc>
        <w:tc>
          <w:tcPr>
            <w:tcMar>
              <w:top w:type="dxa" w:w="100"/>
              <w:left w:type="dxa" w:w="100"/>
              <w:bottom w:type="dxa" w:w="100"/>
              <w:right w:type="dxa" w:w="100"/>
            </w:tcMar>
          </w:tcPr>
          <w:p>
            <w:r>
              <w:t xml:space="preserve">"The reference to 'Within ten days' in the third paragraph of the lead in provisions shall be replaced with 'Reasonably promptly'"</w:t>
            </w:r>
          </w:p>
        </w:tc>
        <w:tc>
          <w:tcPr>
            <w:tcMar>
              <w:top w:type="dxa" w:w="100"/>
              <w:left w:type="dxa" w:w="100"/>
              <w:bottom w:type="dxa" w:w="100"/>
              <w:right w:type="dxa" w:w="100"/>
            </w:tcMar>
          </w:tcPr>
          <w:p>
            <w:r>
              <w:t xml:space="preserve">Within ten days</w:t>
            </w:r>
          </w:p>
        </w:tc>
        <w:tc>
          <w:tcPr>
            <w:tcMar>
              <w:top w:type="dxa" w:w="100"/>
              <w:left w:type="dxa" w:w="100"/>
              <w:bottom w:type="dxa" w:w="100"/>
              <w:right w:type="dxa" w:w="100"/>
            </w:tcMar>
          </w:tcPr>
          <w:p>
            <w:r>
              <w:t xml:space="preserve">Extended to "Reasonably promptly"</w:t>
            </w:r>
          </w:p>
        </w:tc>
      </w:tr>
      <w:tr>
        <w:tc>
          <w:tcPr>
            <w:tcMar>
              <w:top w:type="dxa" w:w="100"/>
              <w:left w:type="dxa" w:w="100"/>
              <w:bottom w:type="dxa" w:w="100"/>
              <w:right w:type="dxa" w:w="100"/>
            </w:tcMar>
          </w:tcPr>
          <w:p>
            <w:r>
              <w:rPr>
                <w:b/>
                <w:bCs/>
              </w:rPr>
              <w:t xml:space="preserve">Investment Policy Updates</w:t>
            </w:r>
          </w:p>
        </w:tc>
        <w:tc>
          <w:tcPr>
            <w:tcMar>
              <w:top w:type="dxa" w:w="100"/>
              <w:left w:type="dxa" w:w="100"/>
              <w:bottom w:type="dxa" w:w="100"/>
              <w:right w:type="dxa" w:w="100"/>
            </w:tcMar>
          </w:tcPr>
          <w:p>
            <w:r>
              <w:t xml:space="preserve">"LP shall have the right, on a quarterly basis, to update the country list under Exhibit B by providing a written notice"</w:t>
            </w:r>
          </w:p>
        </w:tc>
        <w:tc>
          <w:tcPr>
            <w:tcMar>
              <w:top w:type="dxa" w:w="100"/>
              <w:left w:type="dxa" w:w="100"/>
              <w:bottom w:type="dxa" w:w="100"/>
              <w:right w:type="dxa" w:w="100"/>
            </w:tcMar>
          </w:tcPr>
          <w:p>
            <w:r>
              <w:t xml:space="preserve">Not in LPA</w:t>
            </w:r>
          </w:p>
        </w:tc>
        <w:tc>
          <w:tcPr>
            <w:tcMar>
              <w:top w:type="dxa" w:w="100"/>
              <w:left w:type="dxa" w:w="100"/>
              <w:bottom w:type="dxa" w:w="100"/>
              <w:right w:type="dxa" w:w="100"/>
            </w:tcMar>
          </w:tcPr>
          <w:p>
            <w:r>
              <w:t xml:space="preserve">Quarterly update right with telephone confirmation to Apollo's general counsel</w:t>
            </w:r>
          </w:p>
        </w:tc>
      </w:tr>
    </w:tbl>
    <w:p>
      <w:pPr>
        <w:spacing w:before="100" w:after="100"/>
      </w:pPr>
      <w:r>
        <w:rPr>
          <w:b/>
          <w:bCs/>
        </w:rPr>
        <w:t xml:space="preserve">Key Finding:</w:t>
      </w:r>
      <w:r>
        <w:t xml:space="preserve"> The Side Letter introduces 6 distinct notification enhancements beyond baseline LPA provisions, primarily extending notice periods and creating standing/automatic disclosure obligations.</w:t>
      </w:r>
    </w:p>
    <w:p>
      <w:pPr>
        <w:spacing w:before="200" w:after="100"/>
      </w:pPr>
      <w:r>
        <w:rPr>
          <w:b/>
          <w:bCs/>
          <w:color w:val="0064C8"/>
          <w:sz w:val="22"/>
          <w:szCs w:val="22"/>
        </w:rPr>
        <w:t xml:space="preserve">Sutraye Sai</w:t>
      </w:r>
    </w:p>
    <w:p>
      <w:pPr>
        <w:spacing w:before="100" w:after="100"/>
      </w:pPr>
      <w:r>
        <w:t xml:space="preserve">Is this side letter applicable to all investors or only a specific investor?</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The AlpInvest Side Letter for Fund X is </w:t>
      </w:r>
      <w:r>
        <w:rPr>
          <w:b/>
          <w:bCs/>
        </w:rPr>
        <w:t xml:space="preserve">specific only to AlpInvest (ASP 2022 Aspire II LP) as a single investor</w:t>
      </w:r>
      <w:r>
        <w:t xml:space="preserve">, not applicable to all fund investors.</w:t>
      </w:r>
    </w:p>
    <w:p>
      <w:pPr>
        <w:spacing w:before="100" w:after="100"/>
      </w:pPr>
      <w:r>
        <w:rPr>
          <w:b/>
          <w:bCs/>
        </w:rPr>
        <w:t xml:space="preserve">Key Scope &amp; Applicability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Provision</w:t>
            </w:r>
          </w:p>
        </w:tc>
        <w:tc>
          <w:tcPr>
            <w:tcMar>
              <w:top w:type="dxa" w:w="100"/>
              <w:left w:type="dxa" w:w="100"/>
              <w:bottom w:type="dxa" w:w="100"/>
              <w:right w:type="dxa" w:w="100"/>
            </w:tcMar>
          </w:tcPr>
          <w:p>
            <w:r>
              <w:rPr>
                <w:b/>
                <w:bCs/>
                <w:i w:val="false"/>
                <w:iCs w:val="false"/>
              </w:rPr>
              <w:t xml:space="preserve">Side Letter Language</w:t>
            </w:r>
          </w:p>
        </w:tc>
        <w:tc>
          <w:tcPr>
            <w:tcMar>
              <w:top w:type="dxa" w:w="100"/>
              <w:left w:type="dxa" w:w="100"/>
              <w:bottom w:type="dxa" w:w="100"/>
              <w:right w:type="dxa" w:w="100"/>
            </w:tcMar>
          </w:tcPr>
          <w:p>
            <w:r>
              <w:rPr>
                <w:b/>
                <w:bCs/>
                <w:i w:val="false"/>
                <w:iCs w:val="false"/>
              </w:rPr>
              <w:t xml:space="preserve">Applicability</w:t>
            </w:r>
          </w:p>
        </w:tc>
      </w:tr>
      <w:tr>
        <w:tc>
          <w:tcPr>
            <w:tcMar>
              <w:top w:type="dxa" w:w="100"/>
              <w:left w:type="dxa" w:w="100"/>
              <w:bottom w:type="dxa" w:w="100"/>
              <w:right w:type="dxa" w:w="100"/>
            </w:tcMar>
          </w:tcPr>
          <w:p>
            <w:r>
              <w:rPr>
                <w:b/>
                <w:bCs/>
              </w:rPr>
              <w:t xml:space="preserve">Parties</w:t>
            </w:r>
          </w:p>
        </w:tc>
        <w:tc>
          <w:tcPr>
            <w:tcMar>
              <w:top w:type="dxa" w:w="100"/>
              <w:left w:type="dxa" w:w="100"/>
              <w:bottom w:type="dxa" w:w="100"/>
              <w:right w:type="dxa" w:w="100"/>
            </w:tcMar>
          </w:tcPr>
          <w:p>
            <w:r>
              <w:t xml:space="preserve">"This letter agreement is being entered into in connection with the investment by ASP 2022 Aspire II LP (the "LP") in Apollo Overseas Partners (Delaware) X, L.P."</w:t>
            </w:r>
          </w:p>
        </w:tc>
        <w:tc>
          <w:tcPr>
            <w:tcMar>
              <w:top w:type="dxa" w:w="100"/>
              <w:left w:type="dxa" w:w="100"/>
              <w:bottom w:type="dxa" w:w="100"/>
              <w:right w:type="dxa" w:w="100"/>
            </w:tcMar>
          </w:tcPr>
          <w:p>
            <w:r>
              <w:t xml:space="preserve">Specific to AlpInvest LP only</w:t>
            </w:r>
          </w:p>
        </w:tc>
      </w:tr>
      <w:tr>
        <w:tc>
          <w:tcPr>
            <w:tcMar>
              <w:top w:type="dxa" w:w="100"/>
              <w:left w:type="dxa" w:w="100"/>
              <w:bottom w:type="dxa" w:w="100"/>
              <w:right w:type="dxa" w:w="100"/>
            </w:tcMar>
          </w:tcPr>
          <w:p>
            <w:r>
              <w:rPr>
                <w:b/>
                <w:bCs/>
              </w:rPr>
              <w:t xml:space="preserve">Binding Effect</w:t>
            </w:r>
          </w:p>
        </w:tc>
        <w:tc>
          <w:tcPr>
            <w:tcMar>
              <w:top w:type="dxa" w:w="100"/>
              <w:left w:type="dxa" w:w="100"/>
              <w:bottom w:type="dxa" w:w="100"/>
              <w:right w:type="dxa" w:w="100"/>
            </w:tcMar>
          </w:tcPr>
          <w:p>
            <w:r>
              <w:t xml:space="preserve">"This letter agreement is binding on and enforceable against the General Partner, the Partnership and the LP"</w:t>
            </w:r>
          </w:p>
        </w:tc>
        <w:tc>
          <w:tcPr>
            <w:tcMar>
              <w:top w:type="dxa" w:w="100"/>
              <w:left w:type="dxa" w:w="100"/>
              <w:bottom w:type="dxa" w:w="100"/>
              <w:right w:type="dxa" w:w="100"/>
            </w:tcMar>
          </w:tcPr>
          <w:p>
            <w:r>
              <w:t xml:space="preserve">Only binds the specific LP party</w:t>
            </w:r>
          </w:p>
        </w:tc>
      </w:tr>
      <w:tr>
        <w:tc>
          <w:tcPr>
            <w:tcMar>
              <w:top w:type="dxa" w:w="100"/>
              <w:left w:type="dxa" w:w="100"/>
              <w:bottom w:type="dxa" w:w="100"/>
              <w:right w:type="dxa" w:w="100"/>
            </w:tcMar>
          </w:tcPr>
          <w:p>
            <w:r>
              <w:rPr>
                <w:b/>
                <w:bCs/>
              </w:rPr>
              <w:t xml:space="preserve">Conflict Resolution</w:t>
            </w:r>
          </w:p>
        </w:tc>
        <w:tc>
          <w:tcPr>
            <w:tcMar>
              <w:top w:type="dxa" w:w="100"/>
              <w:left w:type="dxa" w:w="100"/>
              <w:bottom w:type="dxa" w:w="100"/>
              <w:right w:type="dxa" w:w="100"/>
            </w:tcMar>
          </w:tcPr>
          <w:p>
            <w:r>
              <w:t xml:space="preserve">"to the extent of any conflict between the provisions of this letter agreement and the Partnership Agreement or the LP's Subscription Agreement, the provisions of this letter agreement shall control with respect to the LP"</w:t>
            </w:r>
          </w:p>
        </w:tc>
        <w:tc>
          <w:tcPr>
            <w:tcMar>
              <w:top w:type="dxa" w:w="100"/>
              <w:left w:type="dxa" w:w="100"/>
              <w:bottom w:type="dxa" w:w="100"/>
              <w:right w:type="dxa" w:w="100"/>
            </w:tcMar>
          </w:tcPr>
          <w:p>
            <w:r>
              <w:t xml:space="preserve">Controls only "with respect to the LP"</w:t>
            </w:r>
          </w:p>
        </w:tc>
      </w:tr>
      <w:tr>
        <w:tc>
          <w:tcPr>
            <w:tcMar>
              <w:top w:type="dxa" w:w="100"/>
              <w:left w:type="dxa" w:w="100"/>
              <w:bottom w:type="dxa" w:w="100"/>
              <w:right w:type="dxa" w:w="100"/>
            </w:tcMar>
          </w:tcPr>
          <w:p>
            <w:r>
              <w:rPr>
                <w:b/>
                <w:bCs/>
              </w:rPr>
              <w:t xml:space="preserve">AIV Extension</w:t>
            </w:r>
          </w:p>
        </w:tc>
        <w:tc>
          <w:tcPr>
            <w:tcMar>
              <w:top w:type="dxa" w:w="100"/>
              <w:left w:type="dxa" w:w="100"/>
              <w:bottom w:type="dxa" w:w="100"/>
              <w:right w:type="dxa" w:w="100"/>
            </w:tcMar>
          </w:tcPr>
          <w:p>
            <w:r>
              <w:t xml:space="preserve">"The provisions of this letter agreement shall apply mutatis mutandis to any Alternative Investment Vehicle in which the LP participates"</w:t>
            </w:r>
          </w:p>
        </w:tc>
        <w:tc>
          <w:tcPr>
            <w:tcMar>
              <w:top w:type="dxa" w:w="100"/>
              <w:left w:type="dxa" w:w="100"/>
              <w:bottom w:type="dxa" w:w="100"/>
              <w:right w:type="dxa" w:w="100"/>
            </w:tcMar>
          </w:tcPr>
          <w:p>
            <w:r>
              <w:t xml:space="preserve">Extends only to AIVs where this specific LP participates</w:t>
            </w:r>
          </w:p>
        </w:tc>
      </w:tr>
      <w:tr>
        <w:tc>
          <w:tcPr>
            <w:tcMar>
              <w:top w:type="dxa" w:w="100"/>
              <w:left w:type="dxa" w:w="100"/>
              <w:bottom w:type="dxa" w:w="100"/>
              <w:right w:type="dxa" w:w="100"/>
            </w:tcMar>
          </w:tcPr>
          <w:p>
            <w:r>
              <w:rPr>
                <w:b/>
                <w:bCs/>
              </w:rPr>
              <w:t xml:space="preserve">AlpInvest-Specific Aggregation</w:t>
            </w:r>
          </w:p>
        </w:tc>
        <w:tc>
          <w:tcPr>
            <w:tcMar>
              <w:top w:type="dxa" w:w="100"/>
              <w:left w:type="dxa" w:w="100"/>
              <w:bottom w:type="dxa" w:w="100"/>
              <w:right w:type="dxa" w:w="100"/>
            </w:tcMar>
          </w:tcPr>
          <w:p>
            <w:r>
              <w:t xml:space="preserve">"the LP's Capital Commitment shall be aggregated with the Capital Commitments of any other AlpInvest Investors"</w:t>
            </w:r>
          </w:p>
        </w:tc>
        <w:tc>
          <w:tcPr>
            <w:tcMar>
              <w:top w:type="dxa" w:w="100"/>
              <w:left w:type="dxa" w:w="100"/>
              <w:bottom w:type="dxa" w:w="100"/>
              <w:right w:type="dxa" w:w="100"/>
            </w:tcMar>
          </w:tcPr>
          <w:p>
            <w:r>
              <w:t xml:space="preserve">Specific benefit for AlpInvest-managed entities only</w:t>
            </w:r>
          </w:p>
        </w:tc>
      </w:tr>
      <w:tr>
        <w:tc>
          <w:tcPr>
            <w:tcMar>
              <w:top w:type="dxa" w:w="100"/>
              <w:left w:type="dxa" w:w="100"/>
              <w:bottom w:type="dxa" w:w="100"/>
              <w:right w:type="dxa" w:w="100"/>
            </w:tcMar>
          </w:tcPr>
          <w:p>
            <w:r>
              <w:rPr>
                <w:b/>
                <w:bCs/>
              </w:rPr>
              <w:t xml:space="preserve">Internal Policy Basis</w:t>
            </w:r>
          </w:p>
        </w:tc>
        <w:tc>
          <w:tcPr>
            <w:tcMar>
              <w:top w:type="dxa" w:w="100"/>
              <w:left w:type="dxa" w:w="100"/>
              <w:bottom w:type="dxa" w:w="100"/>
              <w:right w:type="dxa" w:w="100"/>
            </w:tcMar>
          </w:tcPr>
          <w:p>
            <w:r>
              <w:t xml:space="preserve">Multiple provisions based on "LP has an internal policy" representations</w:t>
            </w:r>
          </w:p>
        </w:tc>
        <w:tc>
          <w:tcPr>
            <w:tcMar>
              <w:top w:type="dxa" w:w="100"/>
              <w:left w:type="dxa" w:w="100"/>
              <w:bottom w:type="dxa" w:w="100"/>
              <w:right w:type="dxa" w:w="100"/>
            </w:tcMar>
          </w:tcPr>
          <w:p>
            <w:r>
              <w:t xml:space="preserve">Tailored to AlpInvest's specific policies</w:t>
            </w:r>
          </w:p>
        </w:tc>
      </w:tr>
    </w:tbl>
    <w:p>
      <w:pPr>
        <w:spacing w:before="100" w:after="100"/>
      </w:pPr>
      <w:r>
        <w:rPr>
          <w:b/>
          <w:bCs/>
        </w:rPr>
        <w:t xml:space="preserve">Conclusion:</w:t>
      </w:r>
      <w:r>
        <w:t xml:space="preserve"> This Side Letter creates investor-specific rights and obligations exclusively for ASP 2022 Aspire II LP and does not extend to other Fund X investors.</w:t>
      </w:r>
    </w:p>
    <w:p>
      <w:pPr>
        <w:spacing w:before="200" w:after="100"/>
      </w:pPr>
      <w:r>
        <w:rPr>
          <w:b/>
          <w:bCs/>
          <w:color w:val="0064C8"/>
          <w:sz w:val="22"/>
          <w:szCs w:val="22"/>
        </w:rPr>
        <w:t xml:space="preserve">Sutraye Sai</w:t>
      </w:r>
    </w:p>
    <w:p>
      <w:pPr>
        <w:spacing w:before="100" w:after="100"/>
      </w:pPr>
      <w:r>
        <w:t xml:space="preserve">Are other AlpInvest-managed investors automatically covered by this side letter?</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Coverage Analysis: Are Other AlpInvest-Managed Investors Automatically Covered by This Side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Provision</w:t>
            </w:r>
          </w:p>
        </w:tc>
        <w:tc>
          <w:tcPr>
            <w:tcMar>
              <w:top w:type="dxa" w:w="100"/>
              <w:left w:type="dxa" w:w="100"/>
              <w:bottom w:type="dxa" w:w="100"/>
              <w:right w:type="dxa" w:w="100"/>
            </w:tcMar>
          </w:tcPr>
          <w:p>
            <w:r>
              <w:rPr>
                <w:b/>
                <w:bCs/>
                <w:i w:val="false"/>
                <w:iCs w:val="false"/>
              </w:rPr>
              <w:t xml:space="preserve">Side Letter Language</w:t>
            </w:r>
          </w:p>
        </w:tc>
        <w:tc>
          <w:tcPr>
            <w:tcMar>
              <w:top w:type="dxa" w:w="100"/>
              <w:left w:type="dxa" w:w="100"/>
              <w:bottom w:type="dxa" w:w="100"/>
              <w:right w:type="dxa" w:w="100"/>
            </w:tcMar>
          </w:tcPr>
          <w:p>
            <w:r>
              <w:rPr>
                <w:b/>
                <w:bCs/>
                <w:i w:val="false"/>
                <w:iCs w:val="false"/>
              </w:rPr>
              <w:t xml:space="preserve">Coverage Determination</w:t>
            </w:r>
          </w:p>
        </w:tc>
      </w:tr>
      <w:tr>
        <w:tc>
          <w:tcPr>
            <w:tcMar>
              <w:top w:type="dxa" w:w="100"/>
              <w:left w:type="dxa" w:w="100"/>
              <w:bottom w:type="dxa" w:w="100"/>
              <w:right w:type="dxa" w:w="100"/>
            </w:tcMar>
          </w:tcPr>
          <w:p>
            <w:r>
              <w:rPr>
                <w:b/>
                <w:bCs/>
              </w:rPr>
              <w:t xml:space="preserve">Parties to Agreement</w:t>
            </w:r>
          </w:p>
        </w:tc>
        <w:tc>
          <w:tcPr>
            <w:tcMar>
              <w:top w:type="dxa" w:w="100"/>
              <w:left w:type="dxa" w:w="100"/>
              <w:bottom w:type="dxa" w:w="100"/>
              <w:right w:type="dxa" w:w="100"/>
            </w:tcMar>
          </w:tcPr>
          <w:p>
            <w:r>
              <w:t xml:space="preserve">"This letter agreement is being entered into in connection with the investment by ASP 2022 Aspire II LP (the \"LP\") in Apollo Overseas Partners (Delaware) X, L.P."</w:t>
            </w:r>
          </w:p>
        </w:tc>
        <w:tc>
          <w:tcPr>
            <w:tcMar>
              <w:top w:type="dxa" w:w="100"/>
              <w:left w:type="dxa" w:w="100"/>
              <w:bottom w:type="dxa" w:w="100"/>
              <w:right w:type="dxa" w:w="100"/>
            </w:tcMar>
          </w:tcPr>
          <w:p>
            <w:r>
              <w:rPr>
                <w:b/>
                <w:bCs/>
              </w:rPr>
              <w:t xml:space="preserve">Only ASP 2022 Aspire II LP is a party</w:t>
            </w:r>
          </w:p>
        </w:tc>
      </w:tr>
      <w:tr>
        <w:tc>
          <w:tcPr>
            <w:tcMar>
              <w:top w:type="dxa" w:w="100"/>
              <w:left w:type="dxa" w:w="100"/>
              <w:bottom w:type="dxa" w:w="100"/>
              <w:right w:type="dxa" w:w="100"/>
            </w:tcMar>
          </w:tcPr>
          <w:p>
            <w:r>
              <w:rPr>
                <w:b/>
                <w:bCs/>
              </w:rPr>
              <w:t xml:space="preserve">Definition of "AlpInvest Investors"</w:t>
            </w:r>
          </w:p>
        </w:tc>
        <w:tc>
          <w:tcPr>
            <w:tcMar>
              <w:top w:type="dxa" w:w="100"/>
              <w:left w:type="dxa" w:w="100"/>
              <w:bottom w:type="dxa" w:w="100"/>
              <w:right w:type="dxa" w:w="100"/>
            </w:tcMar>
          </w:tcPr>
          <w:p>
            <w:r>
              <w:t xml:space="preserve">"The LP represents and warrants to the General Partner that the LP is managed or advised by AlpInvest Partners B.V or AlpInvest US Holdings, LLC, which may, in turn manage or advise other entities (such entities, \"AlpInvest Investors\")"</w:t>
            </w:r>
          </w:p>
        </w:tc>
        <w:tc>
          <w:tcPr>
            <w:tcMar>
              <w:top w:type="dxa" w:w="100"/>
              <w:left w:type="dxa" w:w="100"/>
              <w:bottom w:type="dxa" w:w="100"/>
              <w:right w:type="dxa" w:w="100"/>
            </w:tcMar>
          </w:tcPr>
          <w:p>
            <w:r>
              <w:t xml:space="preserve">Defines AlpInvest Investors but </w:t>
            </w:r>
            <w:r>
              <w:rPr>
                <w:b/>
                <w:bCs/>
              </w:rPr>
              <w:t xml:space="preserve">does NOT extend Side Letter rights to them</w:t>
            </w:r>
          </w:p>
        </w:tc>
      </w:tr>
      <w:tr>
        <w:tc>
          <w:tcPr>
            <w:tcMar>
              <w:top w:type="dxa" w:w="100"/>
              <w:left w:type="dxa" w:w="100"/>
              <w:bottom w:type="dxa" w:w="100"/>
              <w:right w:type="dxa" w:w="100"/>
            </w:tcMar>
          </w:tcPr>
          <w:p>
            <w:r>
              <w:rPr>
                <w:b/>
                <w:bCs/>
              </w:rPr>
              <w:t xml:space="preserve">Aggregation Provision Purpose</w:t>
            </w:r>
          </w:p>
        </w:tc>
        <w:tc>
          <w:tcPr>
            <w:tcMar>
              <w:top w:type="dxa" w:w="100"/>
              <w:left w:type="dxa" w:w="100"/>
              <w:bottom w:type="dxa" w:w="100"/>
              <w:right w:type="dxa" w:w="100"/>
            </w:tcMar>
          </w:tcPr>
          <w:p>
            <w:r>
              <w:t xml:space="preserve">"the General Partner agrees that the LP's Capital Commitment shall be aggregated with the Capital Commitments of any other AlpInvest Investors for purposes of Section 7.4(a) and Section 11.4(d) of the Partnership Agreement and the definition of \"Designated Fund Investor\""</w:t>
            </w:r>
          </w:p>
        </w:tc>
        <w:tc>
          <w:tcPr>
            <w:tcMar>
              <w:top w:type="dxa" w:w="100"/>
              <w:left w:type="dxa" w:w="100"/>
              <w:bottom w:type="dxa" w:w="100"/>
              <w:right w:type="dxa" w:w="100"/>
            </w:tcMar>
          </w:tcPr>
          <w:p>
            <w:r>
              <w:t xml:space="preserve">Aggregation is </w:t>
            </w:r>
            <w:r>
              <w:rPr>
                <w:b/>
                <w:bCs/>
              </w:rPr>
              <w:t xml:space="preserve">ONLY for MFN thresholds and Designated Fund Investor status</w:t>
            </w:r>
            <w:r>
              <w:t xml:space="preserve"> - NOT for Side Letter coverage</w:t>
            </w:r>
          </w:p>
        </w:tc>
      </w:tr>
      <w:tr>
        <w:tc>
          <w:tcPr>
            <w:tcMar>
              <w:top w:type="dxa" w:w="100"/>
              <w:left w:type="dxa" w:w="100"/>
              <w:bottom w:type="dxa" w:w="100"/>
              <w:right w:type="dxa" w:w="100"/>
            </w:tcMar>
          </w:tcPr>
          <w:p>
            <w:r>
              <w:rPr>
                <w:b/>
                <w:bCs/>
              </w:rPr>
              <w:t xml:space="preserve">AIV Extension Clause</w:t>
            </w:r>
          </w:p>
        </w:tc>
        <w:tc>
          <w:tcPr>
            <w:tcMar>
              <w:top w:type="dxa" w:w="100"/>
              <w:left w:type="dxa" w:w="100"/>
              <w:bottom w:type="dxa" w:w="100"/>
              <w:right w:type="dxa" w:w="100"/>
            </w:tcMar>
          </w:tcPr>
          <w:p>
            <w:r>
              <w:t xml:space="preserve">"The provisions of this letter agreement shall apply mutatis mutandis to any Alternative Investment Vehicle in which the LP participates, to the extent applicable."</w:t>
            </w:r>
          </w:p>
        </w:tc>
        <w:tc>
          <w:tcPr>
            <w:tcMar>
              <w:top w:type="dxa" w:w="100"/>
              <w:left w:type="dxa" w:w="100"/>
              <w:bottom w:type="dxa" w:w="100"/>
              <w:right w:type="dxa" w:w="100"/>
            </w:tcMar>
          </w:tcPr>
          <w:p>
            <w:r>
              <w:t xml:space="preserve">Extends to AIVs </w:t>
            </w:r>
            <w:r>
              <w:rPr>
                <w:b/>
                <w:bCs/>
              </w:rPr>
              <w:t xml:space="preserve">only where THIS specific LP participates</w:t>
            </w:r>
          </w:p>
        </w:tc>
      </w:tr>
      <w:tr>
        <w:tc>
          <w:tcPr>
            <w:tcMar>
              <w:top w:type="dxa" w:w="100"/>
              <w:left w:type="dxa" w:w="100"/>
              <w:bottom w:type="dxa" w:w="100"/>
              <w:right w:type="dxa" w:w="100"/>
            </w:tcMar>
          </w:tcPr>
          <w:p>
            <w:r>
              <w:rPr>
                <w:b/>
                <w:bCs/>
              </w:rPr>
              <w:t xml:space="preserve">Binding Effect</w:t>
            </w:r>
          </w:p>
        </w:tc>
        <w:tc>
          <w:tcPr>
            <w:tcMar>
              <w:top w:type="dxa" w:w="100"/>
              <w:left w:type="dxa" w:w="100"/>
              <w:bottom w:type="dxa" w:w="100"/>
              <w:right w:type="dxa" w:w="100"/>
            </w:tcMar>
          </w:tcPr>
          <w:p>
            <w:r>
              <w:t xml:space="preserve">"This letter agreement is binding on and enforceable against the General Partner, the Partnership and the LP"</w:t>
            </w:r>
          </w:p>
        </w:tc>
        <w:tc>
          <w:tcPr>
            <w:tcMar>
              <w:top w:type="dxa" w:w="100"/>
              <w:left w:type="dxa" w:w="100"/>
              <w:bottom w:type="dxa" w:w="100"/>
              <w:right w:type="dxa" w:w="100"/>
            </w:tcMar>
          </w:tcPr>
          <w:p>
            <w:r>
              <w:t xml:space="preserve">Binds only the specific LP party</w:t>
            </w:r>
          </w:p>
        </w:tc>
      </w:tr>
      <w:tr>
        <w:tc>
          <w:tcPr>
            <w:tcMar>
              <w:top w:type="dxa" w:w="100"/>
              <w:left w:type="dxa" w:w="100"/>
              <w:bottom w:type="dxa" w:w="100"/>
              <w:right w:type="dxa" w:w="100"/>
            </w:tcMar>
          </w:tcPr>
          <w:p>
            <w:r>
              <w:rPr>
                <w:b/>
                <w:bCs/>
              </w:rPr>
              <w:t xml:space="preserve">Transfer Rights</w:t>
            </w:r>
          </w:p>
        </w:tc>
        <w:tc>
          <w:tcPr>
            <w:tcMar>
              <w:top w:type="dxa" w:w="100"/>
              <w:left w:type="dxa" w:w="100"/>
              <w:bottom w:type="dxa" w:w="100"/>
              <w:right w:type="dxa" w:w="100"/>
            </w:tcMar>
          </w:tcPr>
          <w:p>
            <w:r>
              <w:t xml:space="preserve">"any transfer by the LP of all or part of its interest in the Partnership to (x) a Person that is an Affiliate of the LP (including any investment vehicle managed or advised by AlpInvest Partners B.V or AlpInvest US Holdings, LLC or their Affiliates)"</w:t>
            </w:r>
          </w:p>
        </w:tc>
        <w:tc>
          <w:tcPr>
            <w:tcMar>
              <w:top w:type="dxa" w:w="100"/>
              <w:left w:type="dxa" w:w="100"/>
              <w:bottom w:type="dxa" w:w="100"/>
              <w:right w:type="dxa" w:w="100"/>
            </w:tcMar>
          </w:tcPr>
          <w:p>
            <w:r>
              <w:t xml:space="preserve">Transferees may receive </w:t>
            </w:r>
            <w:r>
              <w:rPr>
                <w:b/>
                <w:bCs/>
              </w:rPr>
              <w:t xml:space="preserve">substantially identical</w:t>
            </w:r>
            <w:r>
              <w:t xml:space="preserve"> Side Letter per "such Approved Transferee shall be entitled to enter into an Other Agreement with the General Partner upon substantially identical terms" - but requires </w:t>
            </w:r>
            <w:r>
              <w:rPr>
                <w:b/>
                <w:bCs/>
              </w:rPr>
              <w:t xml:space="preserve">new agreement</w:t>
            </w:r>
          </w:p>
        </w:tc>
      </w:tr>
    </w:tbl>
    <w:p>
      <w:pPr>
        <w:spacing w:before="100" w:after="100"/>
      </w:pPr>
      <w:r>
        <w:rPr>
          <w:b/>
          <w:bCs/>
        </w:rPr>
        <w:t xml:space="preserve">Conclusion: NO - Other AlpInvest Investors Are NOT Automatically Covered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Finding</w:t>
            </w:r>
          </w:p>
        </w:tc>
        <w:tc>
          <w:tcPr>
            <w:tcMar>
              <w:top w:type="dxa" w:w="100"/>
              <w:left w:type="dxa" w:w="100"/>
              <w:bottom w:type="dxa" w:w="100"/>
              <w:right w:type="dxa" w:w="100"/>
            </w:tcMar>
          </w:tcPr>
          <w:p>
            <w:r>
              <w:rPr>
                <w:b/>
                <w:bCs/>
                <w:i w:val="false"/>
                <w:iCs w:val="false"/>
              </w:rPr>
              <w:t xml:space="preserve">Explanation</w:t>
            </w:r>
          </w:p>
        </w:tc>
      </w:tr>
      <w:tr>
        <w:tc>
          <w:tcPr>
            <w:tcMar>
              <w:top w:type="dxa" w:w="100"/>
              <w:left w:type="dxa" w:w="100"/>
              <w:bottom w:type="dxa" w:w="100"/>
              <w:right w:type="dxa" w:w="100"/>
            </w:tcMar>
          </w:tcPr>
          <w:p>
            <w:r>
              <w:rPr>
                <w:b/>
                <w:bCs/>
              </w:rPr>
              <w:t xml:space="preserve">Aggregation ≠ Coverage</w:t>
            </w:r>
          </w:p>
        </w:tc>
        <w:tc>
          <w:tcPr>
            <w:tcMar>
              <w:top w:type="dxa" w:w="100"/>
              <w:left w:type="dxa" w:w="100"/>
              <w:bottom w:type="dxa" w:w="100"/>
              <w:right w:type="dxa" w:w="100"/>
            </w:tcMar>
          </w:tcPr>
          <w:p>
            <w:r>
              <w:t xml:space="preserve">The aggregation provision "aggregate the LP's Capital Commitment with other AlpInvest Investors for MFN purposes" only combines commitments for threshold calculations - it does NOT extend Side Letter rights</w:t>
            </w:r>
          </w:p>
        </w:tc>
      </w:tr>
      <w:tr>
        <w:tc>
          <w:tcPr>
            <w:tcMar>
              <w:top w:type="dxa" w:w="100"/>
              <w:left w:type="dxa" w:w="100"/>
              <w:bottom w:type="dxa" w:w="100"/>
              <w:right w:type="dxa" w:w="100"/>
            </w:tcMar>
          </w:tcPr>
          <w:p>
            <w:r>
              <w:rPr>
                <w:b/>
                <w:bCs/>
              </w:rPr>
              <w:t xml:space="preserve">AIV Extension is LP-Specific</w:t>
            </w:r>
          </w:p>
        </w:tc>
        <w:tc>
          <w:tcPr>
            <w:tcMar>
              <w:top w:type="dxa" w:w="100"/>
              <w:left w:type="dxa" w:w="100"/>
              <w:bottom w:type="dxa" w:w="100"/>
              <w:right w:type="dxa" w:w="100"/>
            </w:tcMar>
          </w:tcPr>
          <w:p>
            <w:r>
              <w:t xml:space="preserve">"AIVs are bound by the Side Letter terms similarly to the Partnership, where applicable" applies only to AIVs where </w:t>
            </w:r>
            <w:r>
              <w:rPr>
                <w:b/>
                <w:bCs/>
              </w:rPr>
              <w:t xml:space="preserve">this specific LP</w:t>
            </w:r>
            <w:r>
              <w:t xml:space="preserve"> participates</w:t>
            </w:r>
          </w:p>
        </w:tc>
      </w:tr>
      <w:tr>
        <w:tc>
          <w:tcPr>
            <w:tcMar>
              <w:top w:type="dxa" w:w="100"/>
              <w:left w:type="dxa" w:w="100"/>
              <w:bottom w:type="dxa" w:w="100"/>
              <w:right w:type="dxa" w:w="100"/>
            </w:tcMar>
          </w:tcPr>
          <w:p>
            <w:r>
              <w:rPr>
                <w:b/>
                <w:bCs/>
              </w:rPr>
              <w:t xml:space="preserve">Separate Agreements Required</w:t>
            </w:r>
          </w:p>
        </w:tc>
        <w:tc>
          <w:tcPr>
            <w:tcMar>
              <w:top w:type="dxa" w:w="100"/>
              <w:left w:type="dxa" w:w="100"/>
              <w:bottom w:type="dxa" w:w="100"/>
              <w:right w:type="dxa" w:w="100"/>
            </w:tcMar>
          </w:tcPr>
          <w:p>
            <w:r>
              <w:t xml:space="preserve">Other AlpInvest-managed investors must negotiate their own Side Letters with the GP to receive similar terms</w:t>
            </w:r>
          </w:p>
        </w:tc>
      </w:tr>
    </w:tbl>
    <w:p>
      <w:pPr>
        <w:spacing w:before="200" w:after="100"/>
      </w:pPr>
      <w:r>
        <w:rPr>
          <w:b/>
          <w:bCs/>
          <w:color w:val="0064C8"/>
          <w:sz w:val="22"/>
          <w:szCs w:val="22"/>
        </w:rPr>
        <w:t xml:space="preserve">Sutraye Sai</w:t>
      </w:r>
    </w:p>
    <w:p>
      <w:pPr>
        <w:spacing w:before="100" w:after="100"/>
      </w:pPr>
      <w:r>
        <w:t xml:space="preserve">Do the side letter provisions apply to Alternative Investment Vehicles (AIVs) generally?</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AIV Extension Clause Scope Determination:</w:t>
      </w:r>
    </w:p>
    <w:p>
      <w:pPr>
        <w:spacing w:before="100" w:after="100"/>
      </w:pPr>
      <w:r>
        <w:t xml:space="preserve">The AIV extension clause in the AlpInvest Side Letter for Fund X applies </w:t>
      </w:r>
      <w:r>
        <w:rPr>
          <w:b/>
          <w:bCs/>
        </w:rPr>
        <w:t xml:space="preserve">ONLY to AIVs where the specific LP (ASP 2022 Aspire II LP) participates</w:t>
      </w:r>
      <w:r>
        <w:t xml:space="preserve">, NOT to Alternative Investment Vehicles generally.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Provision</w:t>
            </w:r>
          </w:p>
        </w:tc>
        <w:tc>
          <w:tcPr>
            <w:tcMar>
              <w:top w:type="dxa" w:w="100"/>
              <w:left w:type="dxa" w:w="100"/>
              <w:bottom w:type="dxa" w:w="100"/>
              <w:right w:type="dxa" w:w="100"/>
            </w:tcMar>
          </w:tcPr>
          <w:p>
            <w:r>
              <w:rPr>
                <w:b/>
                <w:bCs/>
                <w:i w:val="false"/>
                <w:iCs w:val="false"/>
              </w:rPr>
              <w:t xml:space="preserve">Side Letter Language</w:t>
            </w:r>
          </w:p>
        </w:tc>
        <w:tc>
          <w:tcPr>
            <w:tcMar>
              <w:top w:type="dxa" w:w="100"/>
              <w:left w:type="dxa" w:w="100"/>
              <w:bottom w:type="dxa" w:w="100"/>
              <w:right w:type="dxa" w:w="100"/>
            </w:tcMar>
          </w:tcPr>
          <w:p>
            <w:r>
              <w:rPr>
                <w:b/>
                <w:bCs/>
                <w:i w:val="false"/>
                <w:iCs w:val="false"/>
              </w:rPr>
              <w:t xml:space="preserve">Scope Determination</w:t>
            </w:r>
          </w:p>
        </w:tc>
      </w:tr>
      <w:tr>
        <w:tc>
          <w:tcPr>
            <w:tcMar>
              <w:top w:type="dxa" w:w="100"/>
              <w:left w:type="dxa" w:w="100"/>
              <w:bottom w:type="dxa" w:w="100"/>
              <w:right w:type="dxa" w:w="100"/>
            </w:tcMar>
          </w:tcPr>
          <w:p>
            <w:r>
              <w:rPr>
                <w:b/>
                <w:bCs/>
              </w:rPr>
              <w:t xml:space="preserve">AIV Extension Clause</w:t>
            </w:r>
          </w:p>
        </w:tc>
        <w:tc>
          <w:tcPr>
            <w:tcMar>
              <w:top w:type="dxa" w:w="100"/>
              <w:left w:type="dxa" w:w="100"/>
              <w:bottom w:type="dxa" w:w="100"/>
              <w:right w:type="dxa" w:w="100"/>
            </w:tcMar>
          </w:tcPr>
          <w:p>
            <w:r>
              <w:t xml:space="preserve">"The provisions of this letter agreement shall apply mutatis mutandis to any Alternative Investment Vehicle in which the LP participates, to the extent applicable."</w:t>
            </w:r>
          </w:p>
        </w:tc>
        <w:tc>
          <w:tcPr>
            <w:tcMar>
              <w:top w:type="dxa" w:w="100"/>
              <w:left w:type="dxa" w:w="100"/>
              <w:bottom w:type="dxa" w:w="100"/>
              <w:right w:type="dxa" w:w="100"/>
            </w:tcMar>
          </w:tcPr>
          <w:p>
            <w:r>
              <w:rPr>
                <w:b/>
                <w:bCs/>
              </w:rPr>
              <w:t xml:space="preserve">LP-Specific Only</w:t>
            </w:r>
          </w:p>
        </w:tc>
      </w:tr>
      <w:tr>
        <w:tc>
          <w:tcPr>
            <w:tcMar>
              <w:top w:type="dxa" w:w="100"/>
              <w:left w:type="dxa" w:w="100"/>
              <w:bottom w:type="dxa" w:w="100"/>
              <w:right w:type="dxa" w:w="100"/>
            </w:tcMar>
          </w:tcPr>
          <w:p>
            <w:r>
              <w:rPr>
                <w:b/>
                <w:bCs/>
              </w:rPr>
              <w:t xml:space="preserve">AIV Extension (Duplicate)</w:t>
            </w:r>
          </w:p>
        </w:tc>
        <w:tc>
          <w:tcPr>
            <w:tcMar>
              <w:top w:type="dxa" w:w="100"/>
              <w:left w:type="dxa" w:w="100"/>
              <w:bottom w:type="dxa" w:w="100"/>
              <w:right w:type="dxa" w:w="100"/>
            </w:tcMar>
          </w:tcPr>
          <w:p>
            <w:r>
              <w:t xml:space="preserve">"The provisions of this letter agreement shall apply mutatis mutandis to any Alternative Investment Vehicle in which the LP participates, to the extent applicable."</w:t>
            </w:r>
          </w:p>
        </w:tc>
        <w:tc>
          <w:tcPr>
            <w:tcMar>
              <w:top w:type="dxa" w:w="100"/>
              <w:left w:type="dxa" w:w="100"/>
              <w:bottom w:type="dxa" w:w="100"/>
              <w:right w:type="dxa" w:w="100"/>
            </w:tcMar>
          </w:tcPr>
          <w:p>
            <w:r>
              <w:rPr>
                <w:b/>
                <w:bCs/>
              </w:rPr>
              <w:t xml:space="preserve">LP-Specific Only</w:t>
            </w:r>
          </w:p>
        </w:tc>
      </w:tr>
      <w:tr>
        <w:tc>
          <w:tcPr>
            <w:tcMar>
              <w:top w:type="dxa" w:w="100"/>
              <w:left w:type="dxa" w:w="100"/>
              <w:bottom w:type="dxa" w:w="100"/>
              <w:right w:type="dxa" w:w="100"/>
            </w:tcMar>
          </w:tcPr>
          <w:p>
            <w:r>
              <w:rPr>
                <w:b/>
                <w:bCs/>
              </w:rPr>
              <w:t xml:space="preserve">AIV Governing Documents</w:t>
            </w:r>
          </w:p>
        </w:tc>
        <w:tc>
          <w:tcPr>
            <w:tcMar>
              <w:top w:type="dxa" w:w="100"/>
              <w:left w:type="dxa" w:w="100"/>
              <w:bottom w:type="dxa" w:w="100"/>
              <w:right w:type="dxa" w:w="100"/>
            </w:tcMar>
          </w:tcPr>
          <w:p>
            <w:r>
              <w:t xml:space="preserve">"The General Partner acknowledges the LP's standing request pursuant to Section 5.3 of the Partnership Agreement for copies of any organizational documents of any Alternative Investment Vehicles in which the LP participates."</w:t>
            </w:r>
          </w:p>
        </w:tc>
        <w:tc>
          <w:tcPr>
            <w:tcMar>
              <w:top w:type="dxa" w:w="100"/>
              <w:left w:type="dxa" w:w="100"/>
              <w:bottom w:type="dxa" w:w="100"/>
              <w:right w:type="dxa" w:w="100"/>
            </w:tcMar>
          </w:tcPr>
          <w:p>
            <w:r>
              <w:rPr>
                <w:b/>
                <w:bCs/>
              </w:rPr>
              <w:t xml:space="preserve">LP-Specific Only</w:t>
            </w:r>
          </w:p>
        </w:tc>
      </w:tr>
      <w:tr>
        <w:tc>
          <w:tcPr>
            <w:tcMar>
              <w:top w:type="dxa" w:w="100"/>
              <w:left w:type="dxa" w:w="100"/>
              <w:bottom w:type="dxa" w:w="100"/>
              <w:right w:type="dxa" w:w="100"/>
            </w:tcMar>
          </w:tcPr>
          <w:p>
            <w:r>
              <w:rPr>
                <w:b/>
                <w:bCs/>
              </w:rPr>
              <w:t xml:space="preserve">Side Letter Applies to AIV</w:t>
            </w:r>
          </w:p>
        </w:tc>
        <w:tc>
          <w:tcPr>
            <w:tcMar>
              <w:top w:type="dxa" w:w="100"/>
              <w:left w:type="dxa" w:w="100"/>
              <w:bottom w:type="dxa" w:w="100"/>
              <w:right w:type="dxa" w:w="100"/>
            </w:tcMar>
          </w:tcPr>
          <w:p>
            <w:r>
              <w:t xml:space="preserve">"AIVs are bound by the Side Letter terms similarly to the Partnership, where applicable."</w:t>
            </w:r>
          </w:p>
        </w:tc>
        <w:tc>
          <w:tcPr>
            <w:tcMar>
              <w:top w:type="dxa" w:w="100"/>
              <w:left w:type="dxa" w:w="100"/>
              <w:bottom w:type="dxa" w:w="100"/>
              <w:right w:type="dxa" w:w="100"/>
            </w:tcMar>
          </w:tcPr>
          <w:p>
            <w:r>
              <w:t xml:space="preserve">Applies only where LP participates</w:t>
            </w:r>
          </w:p>
        </w:tc>
      </w:tr>
    </w:tbl>
    <w:p>
      <w:pPr>
        <w:spacing w:before="100" w:after="100"/>
      </w:pPr>
      <w:r>
        <w:rPr>
          <w:b/>
          <w:bCs/>
        </w:rPr>
        <w:t xml:space="preserve">Key Conditions Limiting AIV Extension: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Condition</w:t>
            </w:r>
          </w:p>
        </w:tc>
        <w:tc>
          <w:tcPr>
            <w:tcMar>
              <w:top w:type="dxa" w:w="100"/>
              <w:left w:type="dxa" w:w="100"/>
              <w:bottom w:type="dxa" w:w="100"/>
              <w:right w:type="dxa" w:w="100"/>
            </w:tcMar>
          </w:tcPr>
          <w:p>
            <w:r>
              <w:rPr>
                <w:b/>
                <w:bCs/>
                <w:i w:val="false"/>
                <w:iCs w:val="false"/>
              </w:rPr>
              <w:t xml:space="preserve">Evidence</w:t>
            </w:r>
          </w:p>
        </w:tc>
      </w:tr>
      <w:tr>
        <w:tc>
          <w:tcPr>
            <w:tcMar>
              <w:top w:type="dxa" w:w="100"/>
              <w:left w:type="dxa" w:w="100"/>
              <w:bottom w:type="dxa" w:w="100"/>
              <w:right w:type="dxa" w:w="100"/>
            </w:tcMar>
          </w:tcPr>
          <w:p>
            <w:r>
              <w:rPr>
                <w:b/>
                <w:bCs/>
              </w:rPr>
              <w:t xml:space="preserve">Participation Requirement</w:t>
            </w:r>
          </w:p>
        </w:tc>
        <w:tc>
          <w:tcPr>
            <w:tcMar>
              <w:top w:type="dxa" w:w="100"/>
              <w:left w:type="dxa" w:w="100"/>
              <w:bottom w:type="dxa" w:w="100"/>
              <w:right w:type="dxa" w:w="100"/>
            </w:tcMar>
          </w:tcPr>
          <w:p>
            <w:r>
              <w:t xml:space="preserve">Phrase "in which the LP participates" explicitly limits scope</w:t>
            </w:r>
          </w:p>
        </w:tc>
      </w:tr>
      <w:tr>
        <w:tc>
          <w:tcPr>
            <w:tcMar>
              <w:top w:type="dxa" w:w="100"/>
              <w:left w:type="dxa" w:w="100"/>
              <w:bottom w:type="dxa" w:w="100"/>
              <w:right w:type="dxa" w:w="100"/>
            </w:tcMar>
          </w:tcPr>
          <w:p>
            <w:r>
              <w:rPr>
                <w:b/>
                <w:bCs/>
              </w:rPr>
              <w:t xml:space="preserve">Applicability Qualifier</w:t>
            </w:r>
          </w:p>
        </w:tc>
        <w:tc>
          <w:tcPr>
            <w:tcMar>
              <w:top w:type="dxa" w:w="100"/>
              <w:left w:type="dxa" w:w="100"/>
              <w:bottom w:type="dxa" w:w="100"/>
              <w:right w:type="dxa" w:w="100"/>
            </w:tcMar>
          </w:tcPr>
          <w:p>
            <w:r>
              <w:t xml:space="preserve">Phrase "to the extent applicable" further narrows application</w:t>
            </w:r>
          </w:p>
        </w:tc>
      </w:tr>
      <w:tr>
        <w:tc>
          <w:tcPr>
            <w:tcMar>
              <w:top w:type="dxa" w:w="100"/>
              <w:left w:type="dxa" w:w="100"/>
              <w:bottom w:type="dxa" w:w="100"/>
              <w:right w:type="dxa" w:w="100"/>
            </w:tcMar>
          </w:tcPr>
          <w:p>
            <w:r>
              <w:rPr>
                <w:b/>
                <w:bCs/>
              </w:rPr>
              <w:t xml:space="preserve">Transfer Provisions</w:t>
            </w:r>
          </w:p>
        </w:tc>
        <w:tc>
          <w:tcPr>
            <w:tcMar>
              <w:top w:type="dxa" w:w="100"/>
              <w:left w:type="dxa" w:w="100"/>
              <w:bottom w:type="dxa" w:w="100"/>
              <w:right w:type="dxa" w:w="100"/>
            </w:tcMar>
          </w:tcPr>
          <w:p>
            <w:r>
              <w:t xml:space="preserve">"such Approved Transferee has agreed...that it shall participate in existing and future Portfolio Investments on the same terms and through the same structure as the LP has, or would have, had if it remained a Limited Partner...including with respect to the use of any Alternative Investment Vehicles in which the LP participates"</w:t>
            </w:r>
          </w:p>
        </w:tc>
      </w:tr>
    </w:tbl>
    <w:p>
      <w:pPr>
        <w:spacing w:before="100" w:after="100"/>
      </w:pPr>
      <w:r>
        <w:rPr>
          <w:b/>
          <w:bCs/>
        </w:rPr>
        <w:t xml:space="preserve">Conclusion:</w:t>
      </w:r>
      <w:r>
        <w:t xml:space="preserve"> The AIV extension is </w:t>
      </w:r>
      <w:r>
        <w:rPr>
          <w:b/>
          <w:bCs/>
        </w:rPr>
        <w:t xml:space="preserve">investor-specific</w:t>
      </w:r>
      <w:r>
        <w:t xml:space="preserve"> - it extends Side Letter protections only to AIVs where ASP 2022 Aspire II LP directly participates, not to all Fund X AIVs generally.</w:t>
      </w:r>
    </w:p>
    <w:p>
      <w:pPr>
        <w:spacing w:before="200" w:after="100"/>
      </w:pPr>
      <w:r>
        <w:rPr>
          <w:b/>
          <w:bCs/>
          <w:color w:val="0064C8"/>
          <w:sz w:val="22"/>
          <w:szCs w:val="22"/>
        </w:rPr>
        <w:t xml:space="preserve">Sutraye Sai</w:t>
      </w:r>
    </w:p>
    <w:p>
      <w:pPr>
        <w:spacing w:before="100" w:after="100"/>
      </w:pPr>
      <w:r>
        <w:t xml:space="preserve">Do the side letter provisions apply to Alternative Investment Vehicles in which ASP 2022 Aspire II LP does not participate?</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Determination: Do Side Letter provisions apply to AIVs where ASP 2022 Aspire II LP does NOT participate?</w:t>
      </w:r>
    </w:p>
    <w:p>
      <w:pPr>
        <w:spacing w:before="100" w:after="100"/>
      </w:pPr>
      <w:r>
        <w:rPr>
          <w:b/>
          <w:bCs/>
        </w:rPr>
        <w:t xml:space="preserve">Answer: NO</w:t>
      </w:r>
      <w:r>
        <w:t xml:space="preserve"> - The provisions explicitly apply ONLY to AIVs in which the LP participates.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Provision</w:t>
            </w:r>
          </w:p>
        </w:tc>
        <w:tc>
          <w:tcPr>
            <w:tcMar>
              <w:top w:type="dxa" w:w="100"/>
              <w:left w:type="dxa" w:w="100"/>
              <w:bottom w:type="dxa" w:w="100"/>
              <w:right w:type="dxa" w:w="100"/>
            </w:tcMar>
          </w:tcPr>
          <w:p>
            <w:r>
              <w:rPr>
                <w:b/>
                <w:bCs/>
                <w:i w:val="false"/>
                <w:iCs w:val="false"/>
              </w:rPr>
              <w:t xml:space="preserve">Side Letter Language</w:t>
            </w:r>
          </w:p>
        </w:tc>
        <w:tc>
          <w:tcPr>
            <w:tcMar>
              <w:top w:type="dxa" w:w="100"/>
              <w:left w:type="dxa" w:w="100"/>
              <w:bottom w:type="dxa" w:w="100"/>
              <w:right w:type="dxa" w:w="100"/>
            </w:tcMar>
          </w:tcPr>
          <w:p>
            <w:r>
              <w:rPr>
                <w:b/>
                <w:bCs/>
                <w:i w:val="false"/>
                <w:iCs w:val="false"/>
              </w:rPr>
              <w:t xml:space="preserve">Scope Determination</w:t>
            </w:r>
          </w:p>
        </w:tc>
      </w:tr>
      <w:tr>
        <w:tc>
          <w:tcPr>
            <w:tcMar>
              <w:top w:type="dxa" w:w="100"/>
              <w:left w:type="dxa" w:w="100"/>
              <w:bottom w:type="dxa" w:w="100"/>
              <w:right w:type="dxa" w:w="100"/>
            </w:tcMar>
          </w:tcPr>
          <w:p>
            <w:r>
              <w:rPr>
                <w:b/>
                <w:bCs/>
              </w:rPr>
              <w:t xml:space="preserve">AIV Extension Clause</w:t>
            </w:r>
          </w:p>
        </w:tc>
        <w:tc>
          <w:tcPr>
            <w:tcMar>
              <w:top w:type="dxa" w:w="100"/>
              <w:left w:type="dxa" w:w="100"/>
              <w:bottom w:type="dxa" w:w="100"/>
              <w:right w:type="dxa" w:w="100"/>
            </w:tcMar>
          </w:tcPr>
          <w:p>
            <w:r>
              <w:t xml:space="preserve">"The provisions of this letter agreement shall apply mutatis mutandis to any Alternative Investment Vehicle in which the LP participates, to the extent applicable."</w:t>
            </w:r>
          </w:p>
        </w:tc>
        <w:tc>
          <w:tcPr>
            <w:tcMar>
              <w:top w:type="dxa" w:w="100"/>
              <w:left w:type="dxa" w:w="100"/>
              <w:bottom w:type="dxa" w:w="100"/>
              <w:right w:type="dxa" w:w="100"/>
            </w:tcMar>
          </w:tcPr>
          <w:p>
            <w:r>
              <w:rPr>
                <w:b/>
                <w:bCs/>
              </w:rPr>
              <w:t xml:space="preserve">LP-Participation Required</w:t>
            </w:r>
          </w:p>
        </w:tc>
      </w:tr>
      <w:tr>
        <w:tc>
          <w:tcPr>
            <w:tcMar>
              <w:top w:type="dxa" w:w="100"/>
              <w:left w:type="dxa" w:w="100"/>
              <w:bottom w:type="dxa" w:w="100"/>
              <w:right w:type="dxa" w:w="100"/>
            </w:tcMar>
          </w:tcPr>
          <w:p>
            <w:r>
              <w:rPr>
                <w:b/>
                <w:bCs/>
              </w:rPr>
              <w:t xml:space="preserve">AIV Extension (Duplicate)</w:t>
            </w:r>
          </w:p>
        </w:tc>
        <w:tc>
          <w:tcPr>
            <w:tcMar>
              <w:top w:type="dxa" w:w="100"/>
              <w:left w:type="dxa" w:w="100"/>
              <w:bottom w:type="dxa" w:w="100"/>
              <w:right w:type="dxa" w:w="100"/>
            </w:tcMar>
          </w:tcPr>
          <w:p>
            <w:r>
              <w:t xml:space="preserve">"The provisions of this letter agreement shall apply mutatis mutandis to any Alternative Investment Vehicle in which the LP participates, to the extent applicable."</w:t>
            </w:r>
          </w:p>
        </w:tc>
        <w:tc>
          <w:tcPr>
            <w:tcMar>
              <w:top w:type="dxa" w:w="100"/>
              <w:left w:type="dxa" w:w="100"/>
              <w:bottom w:type="dxa" w:w="100"/>
              <w:right w:type="dxa" w:w="100"/>
            </w:tcMar>
          </w:tcPr>
          <w:p>
            <w:r>
              <w:rPr>
                <w:b/>
                <w:bCs/>
              </w:rPr>
              <w:t xml:space="preserve">LP-Participation Required</w:t>
            </w:r>
          </w:p>
        </w:tc>
      </w:tr>
      <w:tr>
        <w:tc>
          <w:tcPr>
            <w:tcMar>
              <w:top w:type="dxa" w:w="100"/>
              <w:left w:type="dxa" w:w="100"/>
              <w:bottom w:type="dxa" w:w="100"/>
              <w:right w:type="dxa" w:w="100"/>
            </w:tcMar>
          </w:tcPr>
          <w:p>
            <w:r>
              <w:rPr>
                <w:b/>
                <w:bCs/>
              </w:rPr>
              <w:t xml:space="preserve">Side Letter Applies to AIV</w:t>
            </w:r>
          </w:p>
        </w:tc>
        <w:tc>
          <w:tcPr>
            <w:tcMar>
              <w:top w:type="dxa" w:w="100"/>
              <w:left w:type="dxa" w:w="100"/>
              <w:bottom w:type="dxa" w:w="100"/>
              <w:right w:type="dxa" w:w="100"/>
            </w:tcMar>
          </w:tcPr>
          <w:p>
            <w:r>
              <w:t xml:space="preserve">"AIVs are bound by the Side Letter terms similarly to the Partnership, where applicable."</w:t>
            </w:r>
          </w:p>
        </w:tc>
        <w:tc>
          <w:tcPr>
            <w:tcMar>
              <w:top w:type="dxa" w:w="100"/>
              <w:left w:type="dxa" w:w="100"/>
              <w:bottom w:type="dxa" w:w="100"/>
              <w:right w:type="dxa" w:w="100"/>
            </w:tcMar>
          </w:tcPr>
          <w:p>
            <w:r>
              <w:t xml:space="preserve">Only where LP participates</w:t>
            </w:r>
          </w:p>
        </w:tc>
      </w:tr>
      <w:tr>
        <w:tc>
          <w:tcPr>
            <w:tcMar>
              <w:top w:type="dxa" w:w="100"/>
              <w:left w:type="dxa" w:w="100"/>
              <w:bottom w:type="dxa" w:w="100"/>
              <w:right w:type="dxa" w:w="100"/>
            </w:tcMar>
          </w:tcPr>
          <w:p>
            <w:r>
              <w:rPr>
                <w:b/>
                <w:bCs/>
              </w:rPr>
              <w:t xml:space="preserve">AIV Governing Documents</w:t>
            </w:r>
          </w:p>
        </w:tc>
        <w:tc>
          <w:tcPr>
            <w:tcMar>
              <w:top w:type="dxa" w:w="100"/>
              <w:left w:type="dxa" w:w="100"/>
              <w:bottom w:type="dxa" w:w="100"/>
              <w:right w:type="dxa" w:w="100"/>
            </w:tcMar>
          </w:tcPr>
          <w:p>
            <w:r>
              <w:t xml:space="preserve">"GP acknowledges LP's standing request for copies of organizational documents of Alternative Investment Vehicles in which LP participates."</w:t>
            </w:r>
          </w:p>
        </w:tc>
        <w:tc>
          <w:tcPr>
            <w:tcMar>
              <w:top w:type="dxa" w:w="100"/>
              <w:left w:type="dxa" w:w="100"/>
              <w:bottom w:type="dxa" w:w="100"/>
              <w:right w:type="dxa" w:w="100"/>
            </w:tcMar>
          </w:tcPr>
          <w:p>
            <w:r>
              <w:rPr>
                <w:b/>
                <w:bCs/>
              </w:rPr>
              <w:t xml:space="preserve">LP-Participation Required</w:t>
            </w:r>
          </w:p>
        </w:tc>
      </w:tr>
      <w:tr>
        <w:tc>
          <w:tcPr>
            <w:tcMar>
              <w:top w:type="dxa" w:w="100"/>
              <w:left w:type="dxa" w:w="100"/>
              <w:bottom w:type="dxa" w:w="100"/>
              <w:right w:type="dxa" w:w="100"/>
            </w:tcMar>
          </w:tcPr>
          <w:p>
            <w:r>
              <w:rPr>
                <w:b/>
                <w:bCs/>
              </w:rPr>
              <w:t xml:space="preserve">Transfer to AIV Structure</w:t>
            </w:r>
          </w:p>
        </w:tc>
        <w:tc>
          <w:tcPr>
            <w:tcMar>
              <w:top w:type="dxa" w:w="100"/>
              <w:left w:type="dxa" w:w="100"/>
              <w:bottom w:type="dxa" w:w="100"/>
              <w:right w:type="dxa" w:w="100"/>
            </w:tcMar>
          </w:tcPr>
          <w:p>
            <w:r>
              <w:t xml:space="preserve">"such Approved Transferee has agreed...that it shall participate in existing and future Portfolio Investments on the same terms and through the same structure as the LP has...including with respect to the use of any Alternative Investment Vehicles in which the LP participates"</w:t>
            </w:r>
          </w:p>
        </w:tc>
        <w:tc>
          <w:tcPr>
            <w:tcMar>
              <w:top w:type="dxa" w:w="100"/>
              <w:left w:type="dxa" w:w="100"/>
              <w:bottom w:type="dxa" w:w="100"/>
              <w:right w:type="dxa" w:w="100"/>
            </w:tcMar>
          </w:tcPr>
          <w:p>
            <w:r>
              <w:rPr>
                <w:b/>
                <w:bCs/>
              </w:rPr>
              <w:t xml:space="preserve">LP-Participation Required</w:t>
            </w:r>
          </w:p>
        </w:tc>
      </w:tr>
    </w:tbl>
    <w:p>
      <w:pPr>
        <w:spacing w:before="100" w:after="100"/>
      </w:pPr>
      <w:r>
        <w:rPr>
          <w:b/>
          <w:bCs/>
        </w:rPr>
        <w:t xml:space="preserve">Key Participation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Requirement</w:t>
            </w:r>
          </w:p>
        </w:tc>
        <w:tc>
          <w:tcPr>
            <w:tcMar>
              <w:top w:type="dxa" w:w="100"/>
              <w:left w:type="dxa" w:w="100"/>
              <w:bottom w:type="dxa" w:w="100"/>
              <w:right w:type="dxa" w:w="100"/>
            </w:tcMar>
          </w:tcPr>
          <w:p>
            <w:r>
              <w:rPr>
                <w:b/>
                <w:bCs/>
                <w:i w:val="false"/>
                <w:iCs w:val="false"/>
              </w:rPr>
              <w:t xml:space="preserve">Evidence</w:t>
            </w:r>
          </w:p>
        </w:tc>
      </w:tr>
      <w:tr>
        <w:tc>
          <w:tcPr>
            <w:tcMar>
              <w:top w:type="dxa" w:w="100"/>
              <w:left w:type="dxa" w:w="100"/>
              <w:bottom w:type="dxa" w:w="100"/>
              <w:right w:type="dxa" w:w="100"/>
            </w:tcMar>
          </w:tcPr>
          <w:p>
            <w:r>
              <w:rPr>
                <w:b/>
                <w:bCs/>
              </w:rPr>
              <w:t xml:space="preserve">Explicit Participation Condition</w:t>
            </w:r>
          </w:p>
        </w:tc>
        <w:tc>
          <w:tcPr>
            <w:tcMar>
              <w:top w:type="dxa" w:w="100"/>
              <w:left w:type="dxa" w:w="100"/>
              <w:bottom w:type="dxa" w:w="100"/>
              <w:right w:type="dxa" w:w="100"/>
            </w:tcMar>
          </w:tcPr>
          <w:p>
            <w:r>
              <w:t xml:space="preserve">Phrase "in which the LP participates" creates mandatory participation requirement</w:t>
            </w:r>
          </w:p>
        </w:tc>
      </w:tr>
      <w:tr>
        <w:tc>
          <w:tcPr>
            <w:tcMar>
              <w:top w:type="dxa" w:w="100"/>
              <w:left w:type="dxa" w:w="100"/>
              <w:bottom w:type="dxa" w:w="100"/>
              <w:right w:type="dxa" w:w="100"/>
            </w:tcMar>
          </w:tcPr>
          <w:p>
            <w:r>
              <w:rPr>
                <w:b/>
                <w:bCs/>
              </w:rPr>
              <w:t xml:space="preserve">Applicability Qualifier</w:t>
            </w:r>
          </w:p>
        </w:tc>
        <w:tc>
          <w:tcPr>
            <w:tcMar>
              <w:top w:type="dxa" w:w="100"/>
              <w:left w:type="dxa" w:w="100"/>
              <w:bottom w:type="dxa" w:w="100"/>
              <w:right w:type="dxa" w:w="100"/>
            </w:tcMar>
          </w:tcPr>
          <w:p>
            <w:r>
              <w:t xml:space="preserve">Phrase "to the extent applicable" further limits scope</w:t>
            </w:r>
          </w:p>
        </w:tc>
      </w:tr>
      <w:tr>
        <w:tc>
          <w:tcPr>
            <w:tcMar>
              <w:top w:type="dxa" w:w="100"/>
              <w:left w:type="dxa" w:w="100"/>
              <w:bottom w:type="dxa" w:w="100"/>
              <w:right w:type="dxa" w:w="100"/>
            </w:tcMar>
          </w:tcPr>
          <w:p>
            <w:r>
              <w:rPr>
                <w:b/>
                <w:bCs/>
              </w:rPr>
              <w:t xml:space="preserve">Parties Limitation</w:t>
            </w:r>
          </w:p>
        </w:tc>
        <w:tc>
          <w:tcPr>
            <w:tcMar>
              <w:top w:type="dxa" w:w="100"/>
              <w:left w:type="dxa" w:w="100"/>
              <w:bottom w:type="dxa" w:w="100"/>
              <w:right w:type="dxa" w:w="100"/>
            </w:tcMar>
          </w:tcPr>
          <w:p>
            <w:r>
              <w:t xml:space="preserve">"This letter agreement is being entered into in connection with the investment by ASP 2022 Aspire II LP (the \"LP\")"</w:t>
            </w:r>
          </w:p>
        </w:tc>
      </w:tr>
    </w:tbl>
    <w:p>
      <w:pPr>
        <w:spacing w:before="100" w:after="100"/>
      </w:pPr>
      <w:r>
        <w:rPr>
          <w:b/>
          <w:bCs/>
        </w:rPr>
        <w:t xml:space="preserve">Conclusion:</w:t>
      </w:r>
      <w:r>
        <w:t xml:space="preserve"> The AIV extension clause scope is </w:t>
      </w:r>
      <w:r>
        <w:rPr>
          <w:b/>
          <w:bCs/>
        </w:rPr>
        <w:t xml:space="preserve">investor-specific</w:t>
      </w:r>
      <w:r>
        <w:t xml:space="preserve"> - provisions extend ONLY to AIVs where ASP 2022 Aspire II LP directly participates. AIVs in which this LP does NOT participate are NOT covered by this Side Letter.</w:t>
      </w:r>
    </w:p>
    <w:p>
      <w:pPr>
        <w:spacing w:before="200" w:after="100"/>
      </w:pPr>
      <w:r>
        <w:rPr>
          <w:b/>
          <w:bCs/>
          <w:color w:val="0064C8"/>
          <w:sz w:val="22"/>
          <w:szCs w:val="22"/>
        </w:rPr>
        <w:t xml:space="preserve">Sutraye Sai</w:t>
      </w:r>
    </w:p>
    <w:p>
      <w:pPr>
        <w:spacing w:before="100" w:after="100"/>
      </w:pPr>
      <w:r>
        <w:t xml:space="preserve">Is there a limitation of liability clause in this side letter?</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Limitation of Liability Clauses - AlpInvest Side Letter for Fund X (ASP 2022 Aspire II LP)</w:t>
      </w:r>
    </w:p>
    <w:p>
      <w:pPr>
        <w:spacing w:before="100" w:after="100"/>
      </w:pPr>
      <w:r>
        <w:t xml:space="preserve">After systematic review of the Side Letter document, </w:t>
      </w:r>
      <w:r>
        <w:rPr>
          <w:b/>
          <w:bCs/>
        </w:rPr>
        <w:t xml:space="preserve">no explicit limitation of liability clauses</w:t>
      </w:r>
      <w:r>
        <w:t xml:space="preserve"> were identified. The document contains related protective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Provision Type</w:t>
            </w:r>
          </w:p>
        </w:tc>
        <w:tc>
          <w:tcPr>
            <w:tcMar>
              <w:top w:type="dxa" w:w="100"/>
              <w:left w:type="dxa" w:w="100"/>
              <w:bottom w:type="dxa" w:w="100"/>
              <w:right w:type="dxa" w:w="100"/>
            </w:tcMar>
          </w:tcPr>
          <w:p>
            <w:r>
              <w:rPr>
                <w:b/>
                <w:bCs/>
                <w:i w:val="false"/>
                <w:iCs w:val="false"/>
              </w:rPr>
              <w:t xml:space="preserve">Side Letter Language</w:t>
            </w:r>
          </w:p>
        </w:tc>
        <w:tc>
          <w:tcPr>
            <w:tcMar>
              <w:top w:type="dxa" w:w="100"/>
              <w:left w:type="dxa" w:w="100"/>
              <w:bottom w:type="dxa" w:w="100"/>
              <w:right w:type="dxa" w:w="100"/>
            </w:tcMar>
          </w:tcPr>
          <w:p>
            <w:r>
              <w:rPr>
                <w:b/>
                <w:bCs/>
                <w:i w:val="false"/>
                <w:iCs w:val="false"/>
              </w:rPr>
              <w:t xml:space="preserve">Reference</w:t>
            </w:r>
          </w:p>
        </w:tc>
      </w:tr>
      <w:tr>
        <w:tc>
          <w:tcPr>
            <w:tcMar>
              <w:top w:type="dxa" w:w="100"/>
              <w:left w:type="dxa" w:w="100"/>
              <w:bottom w:type="dxa" w:w="100"/>
              <w:right w:type="dxa" w:w="100"/>
            </w:tcMar>
          </w:tcPr>
          <w:p>
            <w:r>
              <w:rPr>
                <w:b/>
                <w:bCs/>
              </w:rPr>
              <w:t xml:space="preserve">Severability Clause</w:t>
            </w:r>
          </w:p>
        </w:tc>
        <w:tc>
          <w:tcPr>
            <w:tcMar>
              <w:top w:type="dxa" w:w="100"/>
              <w:left w:type="dxa" w:w="100"/>
              <w:bottom w:type="dxa" w:w="100"/>
              <w:right w:type="dxa" w:w="100"/>
            </w:tcMar>
          </w:tcPr>
          <w:p>
            <w:r>
              <w:t xml:space="preserve">"Each provision of this letter agreement shall be considered severable and if for any reason any provision which is not essential to the effectuation of the basic purposes of this letter agreement is determined by a court of competent jurisdiction to be invalid or unenforceable and contrary to the Act or existing or future applicable law, such invalidity shall not impair the operation of or affect those provisions of this letter agreement which are valid."</w:t>
            </w:r>
          </w:p>
        </w:tc>
        <w:tc>
          <w:tcPr>
            <w:tcMar>
              <w:top w:type="dxa" w:w="100"/>
              <w:left w:type="dxa" w:w="100"/>
              <w:bottom w:type="dxa" w:w="100"/>
              <w:right w:type="dxa" w:w="100"/>
            </w:tcMar>
          </w:tcPr>
          <w:p>
            <w:r>
              <w:t xml:space="preserve">Paragraph 17</w:t>
            </w:r>
          </w:p>
        </w:tc>
      </w:tr>
      <w:tr>
        <w:tc>
          <w:tcPr>
            <w:tcMar>
              <w:top w:type="dxa" w:w="100"/>
              <w:left w:type="dxa" w:w="100"/>
              <w:bottom w:type="dxa" w:w="100"/>
              <w:right w:type="dxa" w:w="100"/>
            </w:tcMar>
          </w:tcPr>
          <w:p>
            <w:r>
              <w:rPr>
                <w:b/>
                <w:bCs/>
              </w:rPr>
              <w:t xml:space="preserve">LP Reimbursement Obligation</w:t>
            </w:r>
          </w:p>
        </w:tc>
        <w:tc>
          <w:tcPr>
            <w:tcMar>
              <w:top w:type="dxa" w:w="100"/>
              <w:left w:type="dxa" w:w="100"/>
              <w:bottom w:type="dxa" w:w="100"/>
              <w:right w:type="dxa" w:w="100"/>
            </w:tcMar>
          </w:tcPr>
          <w:p>
            <w:r>
              <w:t xml:space="preserve">"The LP shall reimburse the Partnership, the General Partner and any Affiliate thereof for any fees, costs and expenses (including brokerage, monitoring, custodial and administrative fees, costs and expenses in the nature of Operating Expenses) incurred in connection with the General Partner's compliance with its obligations under this Paragraph 12."</w:t>
            </w:r>
          </w:p>
        </w:tc>
        <w:tc>
          <w:tcPr>
            <w:tcMar>
              <w:top w:type="dxa" w:w="100"/>
              <w:left w:type="dxa" w:w="100"/>
              <w:bottom w:type="dxa" w:w="100"/>
              <w:right w:type="dxa" w:w="100"/>
            </w:tcMar>
          </w:tcPr>
          <w:p>
            <w:r>
              <w:t xml:space="preserve">Paragraph 12</w:t>
            </w:r>
          </w:p>
        </w:tc>
      </w:tr>
      <w:tr>
        <w:tc>
          <w:tcPr>
            <w:tcMar>
              <w:top w:type="dxa" w:w="100"/>
              <w:left w:type="dxa" w:w="100"/>
              <w:bottom w:type="dxa" w:w="100"/>
              <w:right w:type="dxa" w:w="100"/>
            </w:tcMar>
          </w:tcPr>
          <w:p>
            <w:r>
              <w:rPr>
                <w:b/>
                <w:bCs/>
              </w:rPr>
              <w:t xml:space="preserve">GP Standard of Care</w:t>
            </w:r>
          </w:p>
        </w:tc>
        <w:tc>
          <w:tcPr>
            <w:tcMar>
              <w:top w:type="dxa" w:w="100"/>
              <w:left w:type="dxa" w:w="100"/>
              <w:bottom w:type="dxa" w:w="100"/>
              <w:right w:type="dxa" w:w="100"/>
            </w:tcMar>
          </w:tcPr>
          <w:p>
            <w:r>
              <w:t xml:space="preserve">"The General Partner must exercise reasonable care to comply with laws, avoiding prohibited transactions and payments."</w:t>
            </w:r>
          </w:p>
        </w:tc>
        <w:tc>
          <w:tcPr>
            <w:tcMar>
              <w:top w:type="dxa" w:w="100"/>
              <w:left w:type="dxa" w:w="100"/>
              <w:bottom w:type="dxa" w:w="100"/>
              <w:right w:type="dxa" w:w="100"/>
            </w:tcMar>
          </w:tcPr>
          <w:p>
            <w:r>
              <w:t xml:space="preserve">Metadata</w:t>
            </w:r>
          </w:p>
        </w:tc>
      </w:tr>
      <w:tr>
        <w:tc>
          <w:tcPr>
            <w:tcMar>
              <w:top w:type="dxa" w:w="100"/>
              <w:left w:type="dxa" w:w="100"/>
              <w:bottom w:type="dxa" w:w="100"/>
              <w:right w:type="dxa" w:w="100"/>
            </w:tcMar>
          </w:tcPr>
          <w:p>
            <w:r>
              <w:rPr>
                <w:b/>
                <w:bCs/>
              </w:rPr>
              <w:t xml:space="preserve">Commercially Reasonable Efforts Standard</w:t>
            </w:r>
          </w:p>
        </w:tc>
        <w:tc>
          <w:tcPr>
            <w:tcMar>
              <w:top w:type="dxa" w:w="100"/>
              <w:left w:type="dxa" w:w="100"/>
              <w:bottom w:type="dxa" w:w="100"/>
              <w:right w:type="dxa" w:w="100"/>
            </w:tcMar>
          </w:tcPr>
          <w:p>
            <w:r>
              <w:t xml:space="preserve">"The General Partner agrees that, in connection with the distribution to the LP of non-cash assets of the Partnership in kind, upon the written request of the LP given within a reasonable time of notice of such distribution and subject to the LP's compliance with the following sentence, shall use commercially reasonable efforts to assist the LP in disposing of such assets."</w:t>
            </w:r>
          </w:p>
        </w:tc>
        <w:tc>
          <w:tcPr>
            <w:tcMar>
              <w:top w:type="dxa" w:w="100"/>
              <w:left w:type="dxa" w:w="100"/>
              <w:bottom w:type="dxa" w:w="100"/>
              <w:right w:type="dxa" w:w="100"/>
            </w:tcMar>
          </w:tcPr>
          <w:p>
            <w:r>
              <w:t xml:space="preserve">Metadata</w:t>
            </w:r>
          </w:p>
        </w:tc>
      </w:tr>
    </w:tbl>
    <w:p>
      <w:pPr>
        <w:spacing w:before="100" w:after="100"/>
      </w:pPr>
      <w:r>
        <w:rPr>
          <w:b/>
          <w:bCs/>
        </w:rPr>
        <w:t xml:space="preserve">Note:</w:t>
      </w:r>
      <w:r>
        <w:t xml:space="preserve"> Traditional limitation of liability provisions (caps on damages, exclusion of consequential damages, indemnification limits) are typically contained in the main Partnership Agreement rather than this Side Letter.</w:t>
      </w:r>
    </w:p>
    <w:p>
      <w:pPr>
        <w:spacing w:before="200" w:after="100"/>
      </w:pPr>
      <w:r>
        <w:rPr>
          <w:b/>
          <w:bCs/>
          <w:color w:val="0064C8"/>
          <w:sz w:val="22"/>
          <w:szCs w:val="22"/>
        </w:rPr>
        <w:t xml:space="preserve">Sutraye Sai</w:t>
      </w:r>
    </w:p>
    <w:p>
      <w:pPr>
        <w:spacing w:before="100" w:after="100"/>
      </w:pPr>
      <w:r>
        <w:t xml:space="preserve">If the side letter does not contain a limitation of liability clause, where are such provisions typically addressed?</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Limitation of Liability Clause Location in Private Credit Fund Documentation</w:t>
      </w:r>
    </w:p>
    <w:p>
      <w:pPr>
        <w:spacing w:before="100" w:after="100"/>
      </w:pPr>
      <w:r>
        <w:t xml:space="preserve">The AlpInvest Side Letter for Fund X covering ASP 2022 Aspire II LP does </w:t>
      </w:r>
      <w:r>
        <w:rPr>
          <w:b/>
          <w:bCs/>
        </w:rPr>
        <w:t xml:space="preserve">not contain explicit limitation of liability clauses</w:t>
      </w:r>
      <w:r>
        <w:t xml:space="preserve">. Based on the document's references, these provisions are typically located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 Type</w:t>
            </w:r>
          </w:p>
        </w:tc>
        <w:tc>
          <w:tcPr>
            <w:tcMar>
              <w:top w:type="dxa" w:w="100"/>
              <w:left w:type="dxa" w:w="100"/>
              <w:bottom w:type="dxa" w:w="100"/>
              <w:right w:type="dxa" w:w="100"/>
            </w:tcMar>
          </w:tcPr>
          <w:p>
            <w:r>
              <w:rPr>
                <w:b/>
                <w:bCs/>
                <w:i w:val="false"/>
                <w:iCs w:val="false"/>
              </w:rPr>
              <w:t xml:space="preserve">Evidence from Side Letter</w:t>
            </w:r>
          </w:p>
        </w:tc>
        <w:tc>
          <w:tcPr>
            <w:tcMar>
              <w:top w:type="dxa" w:w="100"/>
              <w:left w:type="dxa" w:w="100"/>
              <w:bottom w:type="dxa" w:w="100"/>
              <w:right w:type="dxa" w:w="100"/>
            </w:tcMar>
          </w:tcPr>
          <w:p>
            <w:r>
              <w:rPr>
                <w:b/>
                <w:bCs/>
                <w:i w:val="false"/>
                <w:iCs w:val="false"/>
              </w:rPr>
              <w:t xml:space="preserve">Typical Liability Provisions</w:t>
            </w:r>
          </w:p>
        </w:tc>
      </w:tr>
      <w:tr>
        <w:tc>
          <w:tcPr>
            <w:tcMar>
              <w:top w:type="dxa" w:w="100"/>
              <w:left w:type="dxa" w:w="100"/>
              <w:bottom w:type="dxa" w:w="100"/>
              <w:right w:type="dxa" w:w="100"/>
            </w:tcMar>
          </w:tcPr>
          <w:p>
            <w:r>
              <w:rPr>
                <w:b/>
                <w:bCs/>
              </w:rPr>
              <w:t xml:space="preserve">Partnership Agreement</w:t>
            </w:r>
          </w:p>
        </w:tc>
        <w:tc>
          <w:tcPr>
            <w:tcMar>
              <w:top w:type="dxa" w:w="100"/>
              <w:left w:type="dxa" w:w="100"/>
              <w:bottom w:type="dxa" w:w="100"/>
              <w:right w:type="dxa" w:w="100"/>
            </w:tcMar>
          </w:tcPr>
          <w:p>
            <w:r>
              <w:t xml:space="preserve">"pursuant to the Amended and Restated Agreement of Limited Partnership of the Partnership"</w:t>
            </w:r>
          </w:p>
        </w:tc>
        <w:tc>
          <w:tcPr>
            <w:tcMar>
              <w:top w:type="dxa" w:w="100"/>
              <w:left w:type="dxa" w:w="100"/>
              <w:bottom w:type="dxa" w:w="100"/>
              <w:right w:type="dxa" w:w="100"/>
            </w:tcMar>
          </w:tcPr>
          <w:p>
            <w:r>
              <w:t xml:space="preserve">Standard of care, indemnification caps, exculpation clauses</w:t>
            </w:r>
          </w:p>
        </w:tc>
      </w:tr>
      <w:tr>
        <w:tc>
          <w:tcPr>
            <w:tcMar>
              <w:top w:type="dxa" w:w="100"/>
              <w:left w:type="dxa" w:w="100"/>
              <w:bottom w:type="dxa" w:w="100"/>
              <w:right w:type="dxa" w:w="100"/>
            </w:tcMar>
          </w:tcPr>
          <w:p>
            <w:r>
              <w:rPr>
                <w:b/>
                <w:bCs/>
              </w:rPr>
              <w:t xml:space="preserve">Partnership Agreement Section 10.3(b)</w:t>
            </w:r>
          </w:p>
        </w:tc>
        <w:tc>
          <w:tcPr>
            <w:tcMar>
              <w:top w:type="dxa" w:w="100"/>
              <w:left w:type="dxa" w:w="100"/>
              <w:bottom w:type="dxa" w:w="100"/>
              <w:right w:type="dxa" w:w="100"/>
            </w:tcMar>
          </w:tcPr>
          <w:p>
            <w:r>
              <w:t xml:space="preserve">"GP confirms Priority Distributions calculated on aggregate basis over Partnership term, with Shortfall addressed upon dissolution per Section 10.3(b)"</w:t>
            </w:r>
          </w:p>
        </w:tc>
        <w:tc>
          <w:tcPr>
            <w:tcMar>
              <w:top w:type="dxa" w:w="100"/>
              <w:left w:type="dxa" w:w="100"/>
              <w:bottom w:type="dxa" w:w="100"/>
              <w:right w:type="dxa" w:w="100"/>
            </w:tcMar>
          </w:tcPr>
          <w:p>
            <w:r>
              <w:t xml:space="preserve">GP payment obligations, liability calculations</w:t>
            </w:r>
          </w:p>
        </w:tc>
      </w:tr>
      <w:tr>
        <w:tc>
          <w:tcPr>
            <w:tcMar>
              <w:top w:type="dxa" w:w="100"/>
              <w:left w:type="dxa" w:w="100"/>
              <w:bottom w:type="dxa" w:w="100"/>
              <w:right w:type="dxa" w:w="100"/>
            </w:tcMar>
          </w:tcPr>
          <w:p>
            <w:r>
              <w:rPr>
                <w:b/>
                <w:bCs/>
              </w:rPr>
              <w:t xml:space="preserve">Subscription Agreement</w:t>
            </w:r>
          </w:p>
        </w:tc>
        <w:tc>
          <w:tcPr>
            <w:tcMar>
              <w:top w:type="dxa" w:w="100"/>
              <w:left w:type="dxa" w:w="100"/>
              <w:bottom w:type="dxa" w:w="100"/>
              <w:right w:type="dxa" w:w="100"/>
            </w:tcMar>
          </w:tcPr>
          <w:p>
            <w:r>
              <w:t xml:space="preserve">"Amendments to LP's representations may vary due to legal, regulatory, or policy reasons affecting indemnities"</w:t>
            </w:r>
          </w:p>
        </w:tc>
        <w:tc>
          <w:tcPr>
            <w:tcMar>
              <w:top w:type="dxa" w:w="100"/>
              <w:left w:type="dxa" w:w="100"/>
              <w:bottom w:type="dxa" w:w="100"/>
              <w:right w:type="dxa" w:w="100"/>
            </w:tcMar>
          </w:tcPr>
          <w:p>
            <w:r>
              <w:t xml:space="preserve">Indemnification provisions, liability limitations</w:t>
            </w:r>
          </w:p>
        </w:tc>
      </w:tr>
    </w:tbl>
    <w:p>
      <w:pPr>
        <w:spacing w:before="100" w:after="100"/>
      </w:pPr>
      <w:r>
        <w:rPr>
          <w:b/>
          <w:bCs/>
        </w:rPr>
        <w:t xml:space="preserve">Key References to Governing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Provision Type</w:t>
            </w:r>
          </w:p>
        </w:tc>
        <w:tc>
          <w:tcPr>
            <w:tcMar>
              <w:top w:type="dxa" w:w="100"/>
              <w:left w:type="dxa" w:w="100"/>
              <w:bottom w:type="dxa" w:w="100"/>
              <w:right w:type="dxa" w:w="100"/>
            </w:tcMar>
          </w:tcPr>
          <w:p>
            <w:r>
              <w:rPr>
                <w:b/>
                <w:bCs/>
                <w:i w:val="false"/>
                <w:iCs w:val="false"/>
              </w:rPr>
              <w:t xml:space="preserve">Side Letter Reference</w:t>
            </w:r>
          </w:p>
        </w:tc>
      </w:tr>
      <w:tr>
        <w:tc>
          <w:tcPr>
            <w:tcMar>
              <w:top w:type="dxa" w:w="100"/>
              <w:left w:type="dxa" w:w="100"/>
              <w:bottom w:type="dxa" w:w="100"/>
              <w:right w:type="dxa" w:w="100"/>
            </w:tcMar>
          </w:tcPr>
          <w:p>
            <w:r>
              <w:rPr>
                <w:b/>
                <w:bCs/>
              </w:rPr>
              <w:t xml:space="preserve">Indemnity Limitations</w:t>
            </w:r>
          </w:p>
        </w:tc>
        <w:tc>
          <w:tcPr>
            <w:tcMar>
              <w:top w:type="dxa" w:w="100"/>
              <w:left w:type="dxa" w:w="100"/>
              <w:bottom w:type="dxa" w:w="100"/>
              <w:right w:type="dxa" w:w="100"/>
            </w:tcMar>
          </w:tcPr>
          <w:p>
            <w:r>
              <w:t xml:space="preserve">"certain Fund X Investors for legal, regulatory or policy reasons, may have limitations on their ability to provide the indemnities contained therein"</w:t>
            </w:r>
          </w:p>
        </w:tc>
      </w:tr>
      <w:tr>
        <w:tc>
          <w:tcPr>
            <w:tcMar>
              <w:top w:type="dxa" w:w="100"/>
              <w:left w:type="dxa" w:w="100"/>
              <w:bottom w:type="dxa" w:w="100"/>
              <w:right w:type="dxa" w:w="100"/>
            </w:tcMar>
          </w:tcPr>
          <w:p>
            <w:r>
              <w:rPr>
                <w:b/>
                <w:bCs/>
              </w:rPr>
              <w:t xml:space="preserve">Severability (Related)</w:t>
            </w:r>
          </w:p>
        </w:tc>
        <w:tc>
          <w:tcPr>
            <w:tcMar>
              <w:top w:type="dxa" w:w="100"/>
              <w:left w:type="dxa" w:w="100"/>
              <w:bottom w:type="dxa" w:w="100"/>
              <w:right w:type="dxa" w:w="100"/>
            </w:tcMar>
          </w:tcPr>
          <w:p>
            <w:r>
              <w:t xml:space="preserve">"Each provision of this letter agreement shall be considered severable and if for any reason any provision...is determined by a court of competent jurisdiction to be invalid or unenforceable"</w:t>
            </w:r>
          </w:p>
        </w:tc>
      </w:tr>
      <w:tr>
        <w:tc>
          <w:tcPr>
            <w:tcMar>
              <w:top w:type="dxa" w:w="100"/>
              <w:left w:type="dxa" w:w="100"/>
              <w:bottom w:type="dxa" w:w="100"/>
              <w:right w:type="dxa" w:w="100"/>
            </w:tcMar>
          </w:tcPr>
          <w:p>
            <w:r>
              <w:rPr>
                <w:b/>
                <w:bCs/>
              </w:rPr>
              <w:t xml:space="preserve">Governing Law</w:t>
            </w:r>
          </w:p>
        </w:tc>
        <w:tc>
          <w:tcPr>
            <w:tcMar>
              <w:top w:type="dxa" w:w="100"/>
              <w:left w:type="dxa" w:w="100"/>
              <w:bottom w:type="dxa" w:w="100"/>
              <w:right w:type="dxa" w:w="100"/>
            </w:tcMar>
          </w:tcPr>
          <w:p>
            <w:r>
              <w:t xml:space="preserve">State of Delaware</w:t>
            </w:r>
          </w:p>
        </w:tc>
      </w:tr>
    </w:tbl>
    <w:p>
      <w:pPr>
        <w:spacing w:before="100" w:after="100"/>
      </w:pPr>
      <w:r>
        <w:rPr>
          <w:b/>
          <w:bCs/>
        </w:rPr>
        <w:t xml:space="preserve">Conclusion:</w:t>
      </w:r>
      <w:r>
        <w:t xml:space="preserve"> Limitation of liability clauses are typically contained in the </w:t>
      </w:r>
      <w:r>
        <w:rPr>
          <w:b/>
          <w:bCs/>
        </w:rPr>
        <w:t xml:space="preserve">Partnership Agreement</w:t>
      </w:r>
      <w:r>
        <w:t xml:space="preserve"> and </w:t>
      </w:r>
      <w:r>
        <w:rPr>
          <w:b/>
          <w:bCs/>
        </w:rPr>
        <w:t xml:space="preserve">Subscription Agreement</w:t>
      </w:r>
      <w:r>
        <w:t xml:space="preserve">, not in Side Letters which focus on investor-specific modifications.</w:t>
      </w:r>
    </w:p>
    <w:p>
      <w:pPr>
        <w:spacing w:before="200" w:after="100"/>
      </w:pPr>
      <w:r>
        <w:rPr>
          <w:b/>
          <w:bCs/>
          <w:color w:val="0064C8"/>
          <w:sz w:val="22"/>
          <w:szCs w:val="22"/>
        </w:rPr>
        <w:t xml:space="preserve">Sutraye Sai</w:t>
      </w:r>
    </w:p>
    <w:p>
      <w:pPr>
        <w:spacing w:before="100" w:after="100"/>
      </w:pPr>
      <w:r>
        <w:t xml:space="preserve">Does the side letter mention FATCA or PFIC obligations?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Both FATCA and PFIC obligations are explicitly addressed in this Side Letter:</w:t>
      </w:r>
    </w:p>
    <w:p>
      <w:pPr>
        <w:spacing w:before="200" w:after="100"/>
      </w:pPr>
      <w:r>
        <w:rPr>
          <w:b/>
          <w:bCs/>
          <w:i w:val="false"/>
          <w:iCs w:val="false"/>
        </w:rPr>
        <w:t xml:space="preserve">FATCA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Provision Type</w:t>
            </w:r>
          </w:p>
        </w:tc>
        <w:tc>
          <w:tcPr>
            <w:tcMar>
              <w:top w:type="dxa" w:w="100"/>
              <w:left w:type="dxa" w:w="100"/>
              <w:bottom w:type="dxa" w:w="100"/>
              <w:right w:type="dxa" w:w="100"/>
            </w:tcMar>
          </w:tcPr>
          <w:p>
            <w:r>
              <w:rPr>
                <w:b/>
                <w:bCs/>
                <w:i w:val="false"/>
                <w:iCs w:val="false"/>
              </w:rPr>
              <w:t xml:space="preserve">Specific Text Excerpt</w:t>
            </w:r>
          </w:p>
        </w:tc>
      </w:tr>
      <w:tr>
        <w:tc>
          <w:tcPr>
            <w:tcMar>
              <w:top w:type="dxa" w:w="100"/>
              <w:left w:type="dxa" w:w="100"/>
              <w:bottom w:type="dxa" w:w="100"/>
              <w:right w:type="dxa" w:w="100"/>
            </w:tcMar>
          </w:tcPr>
          <w:p>
            <w:r>
              <w:t xml:space="preserve">FATCA Compliance Obligation</w:t>
            </w:r>
          </w:p>
        </w:tc>
        <w:tc>
          <w:tcPr>
            <w:tcMar>
              <w:top w:type="dxa" w:w="100"/>
              <w:left w:type="dxa" w:w="100"/>
              <w:bottom w:type="dxa" w:w="100"/>
              <w:right w:type="dxa" w:w="100"/>
            </w:tcMar>
          </w:tcPr>
          <w:p>
            <w:r>
              <w:t xml:space="preserve">"The General Partner shall use commercially reasonable efforts to cause the Partnership and any of its non-U.S. subsidiaries, in each case, which are "foreign financial institutions" within the meaning of U.S. FATCA (defined below), to comply with reporting requirements necessary to avoid application of U.S. federal withholding tax under U.S. FATCA to payments received by it (including, where applicable, entering into an agreement with the Secretary of the Treasury, as described in sections 1471(b)(1) or 1471(b)(3) of the Code), to comply with any reporting requirements applicable to such entity that may be imposed by any applicable jurisdiction pursuant to an intergovernmental agreement relating to U.S. FATCA or any implementing legislation enacted as a result thereof, and to comply with subsequent requirements pursuant to further legislative or administrative guidance issued thereto as necessary to avoid such withholding."</w:t>
            </w:r>
          </w:p>
        </w:tc>
      </w:tr>
      <w:tr>
        <w:tc>
          <w:tcPr>
            <w:tcMar>
              <w:top w:type="dxa" w:w="100"/>
              <w:left w:type="dxa" w:w="100"/>
              <w:bottom w:type="dxa" w:w="100"/>
              <w:right w:type="dxa" w:w="100"/>
            </w:tcMar>
          </w:tcPr>
          <w:p>
            <w:r>
              <w:t xml:space="preserve">FATCA Definition</w:t>
            </w:r>
          </w:p>
        </w:tc>
        <w:tc>
          <w:tcPr>
            <w:tcMar>
              <w:top w:type="dxa" w:w="100"/>
              <w:left w:type="dxa" w:w="100"/>
              <w:bottom w:type="dxa" w:w="100"/>
              <w:right w:type="dxa" w:w="100"/>
            </w:tcMar>
          </w:tcPr>
          <w:p>
            <w:r>
              <w:t xml:space="preserve">"U.S. FATCA" consists of clauses (a), and to the extent applicable to clause (a), clauses (d) and (e) of the definition of "AEOI" set forth in Section VIII of the LP's Subscription Agreement.</w:t>
            </w:r>
          </w:p>
        </w:tc>
      </w:tr>
      <w:tr>
        <w:tc>
          <w:tcPr>
            <w:tcMar>
              <w:top w:type="dxa" w:w="100"/>
              <w:left w:type="dxa" w:w="100"/>
              <w:bottom w:type="dxa" w:w="100"/>
              <w:right w:type="dxa" w:w="100"/>
            </w:tcMar>
          </w:tcPr>
          <w:p>
            <w:r>
              <w:t xml:space="preserve">LP Acknowledgment</w:t>
            </w:r>
          </w:p>
        </w:tc>
        <w:tc>
          <w:tcPr>
            <w:tcMar>
              <w:top w:type="dxa" w:w="100"/>
              <w:left w:type="dxa" w:w="100"/>
              <w:bottom w:type="dxa" w:w="100"/>
              <w:right w:type="dxa" w:w="100"/>
            </w:tcMar>
          </w:tcPr>
          <w:p>
            <w:r>
              <w:t xml:space="preserve">"The LP acknowledges that compliance with U.S. FATCA may be affected by the failure of other Limited Partners to timely furnish necessary information, validly waive any legal restriction relating to the disclosure of the requisite information or otherwise to cooperate."</w:t>
            </w:r>
          </w:p>
        </w:tc>
      </w:tr>
    </w:tbl>
    <w:p>
      <w:pPr>
        <w:spacing w:before="200" w:after="100"/>
      </w:pPr>
      <w:r>
        <w:rPr>
          <w:b/>
          <w:bCs/>
          <w:i w:val="false"/>
          <w:iCs w:val="false"/>
        </w:rPr>
        <w:t xml:space="preserve">PFIC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100"/>
              <w:left w:type="dxa" w:w="100"/>
              <w:bottom w:type="dxa" w:w="100"/>
              <w:right w:type="dxa" w:w="100"/>
            </w:tcMar>
          </w:tcPr>
          <w:p>
            <w:r>
              <w:rPr>
                <w:b/>
                <w:bCs/>
                <w:i w:val="false"/>
                <w:iCs w:val="false"/>
              </w:rPr>
              <w:t xml:space="preserve">Provision Type</w:t>
            </w:r>
          </w:p>
        </w:tc>
        <w:tc>
          <w:tcPr>
            <w:tcMar>
              <w:top w:type="dxa" w:w="100"/>
              <w:left w:type="dxa" w:w="100"/>
              <w:bottom w:type="dxa" w:w="100"/>
              <w:right w:type="dxa" w:w="100"/>
            </w:tcMar>
          </w:tcPr>
          <w:p>
            <w:r>
              <w:rPr>
                <w:b/>
                <w:bCs/>
                <w:i w:val="false"/>
                <w:iCs w:val="false"/>
              </w:rPr>
              <w:t xml:space="preserve">Specific Text Excerpt</w:t>
            </w:r>
          </w:p>
        </w:tc>
      </w:tr>
      <w:tr>
        <w:tc>
          <w:tcPr>
            <w:tcMar>
              <w:top w:type="dxa" w:w="100"/>
              <w:left w:type="dxa" w:w="100"/>
              <w:bottom w:type="dxa" w:w="100"/>
              <w:right w:type="dxa" w:w="100"/>
            </w:tcMar>
          </w:tcPr>
          <w:p>
            <w:r>
              <w:t xml:space="preserve">PFIC QEF Election Support</w:t>
            </w:r>
          </w:p>
        </w:tc>
        <w:tc>
          <w:tcPr>
            <w:tcMar>
              <w:top w:type="dxa" w:w="100"/>
              <w:left w:type="dxa" w:w="100"/>
              <w:bottom w:type="dxa" w:w="100"/>
              <w:right w:type="dxa" w:w="100"/>
            </w:tcMar>
          </w:tcPr>
          <w:p>
            <w:r>
              <w:t xml:space="preserve">"The General Partner hereby agrees that if the Partnership invests, directly or indirectly, in any company which is controlled by the Partnership that, to the knowledge of the General Partner, is a "passive foreign investment company" as defined in section 1297 of the Code, the Partnership will use commercially reasonable efforts to obtain any necessary financial information to permit, as applicable, the Partnership, or, if the LP is a U.S. Taxable Person (as defined in the next sentence) or is an entity treated as a flow-through entity for U.S. federal income tax purposes that has at least one holder (whether directly or indirectly through an entity treated as a flow-through entity for U.S. federal income tax purposes) that is a U.S. Taxable Person, the LP or such holder, to elect to treat such controlled company as a "qualified electing fund," as defined in section 1295 of the Code."</w:t>
            </w:r>
          </w:p>
        </w:tc>
      </w:tr>
      <w:tr>
        <w:tc>
          <w:tcPr>
            <w:tcMar>
              <w:top w:type="dxa" w:w="100"/>
              <w:left w:type="dxa" w:w="100"/>
              <w:bottom w:type="dxa" w:w="100"/>
              <w:right w:type="dxa" w:w="100"/>
            </w:tcMar>
          </w:tcPr>
          <w:p>
            <w:r>
              <w:t xml:space="preserve">U.S. Taxable Person Definition</w:t>
            </w:r>
          </w:p>
        </w:tc>
        <w:tc>
          <w:tcPr>
            <w:tcMar>
              <w:top w:type="dxa" w:w="100"/>
              <w:left w:type="dxa" w:w="100"/>
              <w:bottom w:type="dxa" w:w="100"/>
              <w:right w:type="dxa" w:w="100"/>
            </w:tcMar>
          </w:tcPr>
          <w:p>
            <w:r>
              <w:t xml:space="preserve">"Solely for purposes of this provision, a "U.S. Taxable Person" means a "United States person" as defined in section 7701(a)(30) of the Code that is not exempt from income taxation under section 115 or section 501(a) of the Code."</w:t>
            </w:r>
          </w:p>
        </w:tc>
      </w:tr>
      <w:tr>
        <w:tc>
          <w:tcPr>
            <w:tcMar>
              <w:top w:type="dxa" w:w="100"/>
              <w:left w:type="dxa" w:w="100"/>
              <w:bottom w:type="dxa" w:w="100"/>
              <w:right w:type="dxa" w:w="100"/>
            </w:tcMar>
          </w:tcPr>
          <w:p>
            <w:r>
              <w:t xml:space="preserve">Control Definition</w:t>
            </w:r>
          </w:p>
        </w:tc>
        <w:tc>
          <w:tcPr>
            <w:tcMar>
              <w:top w:type="dxa" w:w="100"/>
              <w:left w:type="dxa" w:w="100"/>
              <w:bottom w:type="dxa" w:w="100"/>
              <w:right w:type="dxa" w:w="100"/>
            </w:tcMar>
          </w:tcPr>
          <w:p>
            <w:r>
              <w:t xml:space="preserve">"For the avoidance of doubt, the General Partner will consider a company that is controlled, in the aggregate, by the Partnership and any Parallel Fund(s) as being controlled by the Partnership for purposes of the first sentence of this Paragraph."</w:t>
            </w:r>
          </w:p>
        </w:tc>
      </w:tr>
    </w:tbl>
    <w:p>
      <w:pPr>
        <w:spacing w:before="100" w:after="100"/>
      </w:pPr>
      <w:r>
        <w:rPr>
          <w:b/>
          <w:bCs/>
        </w:rPr>
        <w:t xml:space="preserve">Summary:</w:t>
      </w:r>
      <w:r>
        <w:t xml:space="preserve"> Both FATCA (Paragraph 4) and PFIC (Paragraph 19) obligations are present with commercially reasonable efforts standards.</w:t>
      </w:r>
    </w:p>
    <w:p>
      <w:pPr>
        <w:spacing w:before="200" w:after="100"/>
      </w:pPr>
      <w:r>
        <w:rPr>
          <w:b/>
          <w:bCs/>
          <w:color w:val="0064C8"/>
          <w:sz w:val="22"/>
          <w:szCs w:val="22"/>
        </w:rPr>
        <w:t xml:space="preserve">Sutraye Sai</w:t>
      </w:r>
    </w:p>
    <w:p>
      <w:pPr>
        <w:spacing w:before="100" w:after="100"/>
      </w:pPr>
      <w:r>
        <w:t xml:space="preserve">Are the General Partner’s FATCA and PFIC obligations subject to a “commercially reasonable efforts” standard?</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Both FATCA and PFIC obligations are subject to a </w:t>
      </w:r>
      <w:r>
        <w:rPr>
          <w:b/>
          <w:bCs/>
        </w:rPr>
        <w:t xml:space="preserve">'commercially reasonable efforts'</w:t>
      </w:r>
      <w:r>
        <w:t xml:space="preserve"> standard, not a stricter obligation standard.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Obligation Type</w:t>
            </w:r>
          </w:p>
        </w:tc>
        <w:tc>
          <w:tcPr>
            <w:tcMar>
              <w:top w:type="dxa" w:w="100"/>
              <w:left w:type="dxa" w:w="100"/>
              <w:bottom w:type="dxa" w:w="100"/>
              <w:right w:type="dxa" w:w="100"/>
            </w:tcMar>
          </w:tcPr>
          <w:p>
            <w:r>
              <w:rPr>
                <w:b/>
                <w:bCs/>
                <w:i w:val="false"/>
                <w:iCs w:val="false"/>
              </w:rPr>
              <w:t xml:space="preserve">Effort Standard</w:t>
            </w:r>
          </w:p>
        </w:tc>
        <w:tc>
          <w:tcPr>
            <w:tcMar>
              <w:top w:type="dxa" w:w="100"/>
              <w:left w:type="dxa" w:w="100"/>
              <w:bottom w:type="dxa" w:w="100"/>
              <w:right w:type="dxa" w:w="100"/>
            </w:tcMar>
          </w:tcPr>
          <w:p>
            <w:r>
              <w:rPr>
                <w:b/>
                <w:bCs/>
                <w:i w:val="false"/>
                <w:iCs w:val="false"/>
              </w:rPr>
              <w:t xml:space="preserve">Specific Text Excerpt</w:t>
            </w:r>
          </w:p>
        </w:tc>
      </w:tr>
      <w:tr>
        <w:tc>
          <w:tcPr>
            <w:tcMar>
              <w:top w:type="dxa" w:w="100"/>
              <w:left w:type="dxa" w:w="100"/>
              <w:bottom w:type="dxa" w:w="100"/>
              <w:right w:type="dxa" w:w="100"/>
            </w:tcMar>
          </w:tcPr>
          <w:p>
            <w:r>
              <w:rPr>
                <w:b/>
                <w:bCs/>
              </w:rPr>
              <w:t xml:space="preserve">FATCA Compliance</w:t>
            </w:r>
          </w:p>
        </w:tc>
        <w:tc>
          <w:tcPr>
            <w:tcMar>
              <w:top w:type="dxa" w:w="100"/>
              <w:left w:type="dxa" w:w="100"/>
              <w:bottom w:type="dxa" w:w="100"/>
              <w:right w:type="dxa" w:w="100"/>
            </w:tcMar>
          </w:tcPr>
          <w:p>
            <w:r>
              <w:t xml:space="preserve">Commercially Reasonable Efforts</w:t>
            </w:r>
          </w:p>
        </w:tc>
        <w:tc>
          <w:tcPr>
            <w:tcMar>
              <w:top w:type="dxa" w:w="100"/>
              <w:left w:type="dxa" w:w="100"/>
              <w:bottom w:type="dxa" w:w="100"/>
              <w:right w:type="dxa" w:w="100"/>
            </w:tcMar>
          </w:tcPr>
          <w:p>
            <w:r>
              <w:t xml:space="preserve">"The General Partner shall use commercially reasonable efforts to cause the Partnership and any of its non-U.S. subsidiaries, in each case, which are 'foreign financial institutions' within the meaning of U.S. FATCA (defined below), to comply with reporting requirements necessary to avoid application of U.S. federal withholding tax under U.S. FATCA to payments received by it"</w:t>
            </w:r>
          </w:p>
        </w:tc>
      </w:tr>
      <w:tr>
        <w:tc>
          <w:tcPr>
            <w:tcMar>
              <w:top w:type="dxa" w:w="100"/>
              <w:left w:type="dxa" w:w="100"/>
              <w:bottom w:type="dxa" w:w="100"/>
              <w:right w:type="dxa" w:w="100"/>
            </w:tcMar>
          </w:tcPr>
          <w:p>
            <w:r>
              <w:rPr>
                <w:b/>
                <w:bCs/>
              </w:rPr>
              <w:t xml:space="preserve">PFIC (QEF Election Support)</w:t>
            </w:r>
          </w:p>
        </w:tc>
        <w:tc>
          <w:tcPr>
            <w:tcMar>
              <w:top w:type="dxa" w:w="100"/>
              <w:left w:type="dxa" w:w="100"/>
              <w:bottom w:type="dxa" w:w="100"/>
              <w:right w:type="dxa" w:w="100"/>
            </w:tcMar>
          </w:tcPr>
          <w:p>
            <w:r>
              <w:t xml:space="preserve">Commercially Reasonable Efforts</w:t>
            </w:r>
          </w:p>
        </w:tc>
        <w:tc>
          <w:tcPr>
            <w:tcMar>
              <w:top w:type="dxa" w:w="100"/>
              <w:left w:type="dxa" w:w="100"/>
              <w:bottom w:type="dxa" w:w="100"/>
              <w:right w:type="dxa" w:w="100"/>
            </w:tcMar>
          </w:tcPr>
          <w:p>
            <w:r>
              <w:t xml:space="preserve">"The General Partner hereby agrees that if the Partnership invests, directly or indirectly, in any company which is controlled by the Partnership that, to the knowledge of the General Partner, is a 'passive foreign investment company' as defined in section 1297 of the Code, the Partnership will use commercially reasonable efforts to obtain any necessary financial information to permit, as applicable, the Partnership, or, if the LP is a U.S. Taxable Person...to elect to treat such controlled company as a 'qualified electing fund,' as defined in section 1295 of the Code."</w:t>
            </w:r>
          </w:p>
        </w:tc>
      </w:tr>
    </w:tbl>
    <w:p>
      <w:pPr>
        <w:spacing w:before="100" w:after="100"/>
      </w:pPr>
      <w:r>
        <w:rPr>
          <w:b/>
          <w:bCs/>
        </w:rPr>
        <w:t xml:space="preserve">Key Finding:</w:t>
      </w:r>
      <w:r>
        <w:t xml:space="preserve"> Both obligations use identical "commercially reasonable efforts" language, which is a qualified standard (not absolute). This standard allows the GP flexibility and does not guarantee compliance outcomes.</w:t>
      </w:r>
    </w:p>
    <w:p>
      <w:pPr>
        <w:spacing w:before="200" w:after="100"/>
      </w:pPr>
      <w:r>
        <w:rPr>
          <w:b/>
          <w:bCs/>
          <w:color w:val="0064C8"/>
          <w:sz w:val="22"/>
          <w:szCs w:val="22"/>
        </w:rPr>
        <w:t xml:space="preserve">Sutraye Sai</w:t>
      </w:r>
    </w:p>
    <w:p>
      <w:pPr>
        <w:spacing w:before="100" w:after="100"/>
      </w:pPr>
      <w:r>
        <w:t xml:space="preserve">What is the exact FATCA withholding percentage that will be imposed on the Partnership?</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The Side Letter does not specify a particular FATCA withholding tax percentage rate. Instead, it describes the </w:t>
      </w:r>
      <w:r>
        <w:rPr>
          <w:b/>
          <w:bCs/>
        </w:rPr>
        <w:t xml:space="preserve">obligation to avoid</w:t>
      </w:r>
      <w:r>
        <w:t xml:space="preserve"> the application of withholding tax: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w:t>
            </w:r>
          </w:p>
        </w:tc>
        <w:tc>
          <w:tcPr>
            <w:tcMar>
              <w:top w:type="dxa" w:w="100"/>
              <w:left w:type="dxa" w:w="100"/>
              <w:bottom w:type="dxa" w:w="100"/>
              <w:right w:type="dxa" w:w="100"/>
            </w:tcMar>
          </w:tcPr>
          <w:p>
            <w:r>
              <w:rPr>
                <w:b/>
                <w:bCs/>
                <w:i w:val="false"/>
                <w:iCs w:val="false"/>
              </w:rPr>
              <w:t xml:space="preserve">FATCA Withholding Reference</w:t>
            </w:r>
          </w:p>
        </w:tc>
        <w:tc>
          <w:tcPr>
            <w:tcMar>
              <w:top w:type="dxa" w:w="100"/>
              <w:left w:type="dxa" w:w="100"/>
              <w:bottom w:type="dxa" w:w="100"/>
              <w:right w:type="dxa" w:w="100"/>
            </w:tcMar>
          </w:tcPr>
          <w:p>
            <w:r>
              <w:rPr>
                <w:b/>
                <w:bCs/>
                <w:i w:val="false"/>
                <w:iCs w:val="false"/>
              </w:rPr>
              <w:t xml:space="preserve">Specific Rate</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"The General Partner shall use commercially reasonable efforts to cause the Partnership and any of its non-U.S. subsidiaries... to comply with reporting requirements necessary to avoid application of U.S. federal withholding tax under U.S. FATCA to payments received by it"</w:t>
            </w:r>
          </w:p>
        </w:tc>
        <w:tc>
          <w:tcPr>
            <w:tcMar>
              <w:top w:type="dxa" w:w="100"/>
              <w:left w:type="dxa" w:w="100"/>
              <w:bottom w:type="dxa" w:w="100"/>
              <w:right w:type="dxa" w:w="100"/>
            </w:tcMar>
          </w:tcPr>
          <w:p>
            <w:r>
              <w:t xml:space="preserve">Not specified in document</w:t>
            </w:r>
          </w:p>
        </w:tc>
      </w:tr>
    </w:tbl>
    <w:p>
      <w:pPr>
        <w:spacing w:before="100" w:after="100"/>
      </w:pPr>
      <w:r>
        <w:rPr>
          <w:b/>
          <w:bCs/>
        </w:rPr>
        <w:t xml:space="preserve">Key Finding:</w:t>
      </w:r>
      <w:r>
        <w:t xml:space="preserve"> The document references "avoid withholding tax on payments" as the objective, but does not state the actual percentage rate. The standard U.S. FATCA withholding rate of </w:t>
      </w:r>
      <w:r>
        <w:rPr>
          <w:b/>
          <w:bCs/>
        </w:rPr>
        <w:t xml:space="preserve">30%</w:t>
      </w:r>
      <w:r>
        <w:t xml:space="preserve"> is established by statute (IRC Sections 1471-1474), not by this Side Letter.</w:t>
      </w:r>
    </w:p>
    <w:p>
      <w:pPr>
        <w:spacing w:before="200" w:after="100"/>
      </w:pPr>
      <w:r>
        <w:rPr>
          <w:b/>
          <w:bCs/>
          <w:color w:val="0064C8"/>
          <w:sz w:val="22"/>
          <w:szCs w:val="22"/>
        </w:rPr>
        <w:t xml:space="preserve">Sutraye Sai</w:t>
      </w:r>
    </w:p>
    <w:p>
      <w:pPr>
        <w:spacing w:before="100" w:after="100"/>
      </w:pPr>
      <w:r>
        <w:t xml:space="preserve">The side letter does not specify any FATCA withholding percentage. so it answer should be Not applicable.
That’s it.
No tax code references. No percentages.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rPr>
          <w:b/>
          <w:bCs/>
        </w:rPr>
        <w:t xml:space="preserve">Confirmed: Not applicable</w:t>
      </w:r>
    </w:p>
    <w:p>
      <w:pPr>
        <w:spacing w:before="100" w:after="100"/>
      </w:pPr>
      <w:r>
        <w:t xml:space="preserve">The Side Letter for ASP 2022 Aspire II LP does not specify any FATCA withholding tax percentage rate. The document only references the obligation to "avoid application of U.S. federal withholding tax under U.S. FATCA" through compliance efforts, but contains no specific percentage rate.</w:t>
      </w:r>
    </w:p>
    <w:p>
      <w:pPr>
        <w:spacing w:before="200" w:after="100"/>
      </w:pPr>
      <w:r>
        <w:rPr>
          <w:b/>
          <w:bCs/>
          <w:color w:val="0064C8"/>
          <w:sz w:val="22"/>
          <w:szCs w:val="22"/>
        </w:rPr>
        <w:t xml:space="preserve">Sutraye Sai</w:t>
      </w:r>
    </w:p>
    <w:p>
      <w:pPr>
        <w:spacing w:before="100" w:after="100"/>
      </w:pPr>
      <w:r>
        <w:t xml:space="preserve">What FATCA withholding rate is specified in the side letter?</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The side letter does not specify an exact FATCA withholding percentage rate. Instead, it establishes compliance obligations to </w:t>
      </w:r>
      <w:r>
        <w:rPr>
          <w:b/>
          <w:bCs/>
        </w:rPr>
        <w:t xml:space="preserve">avoid</w:t>
      </w:r>
      <w:r>
        <w:t xml:space="preserve"> withholding: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FATCA Provision</w:t>
            </w:r>
          </w:p>
        </w:tc>
        <w:tc>
          <w:tcPr>
            <w:tcMar>
              <w:top w:type="dxa" w:w="100"/>
              <w:left w:type="dxa" w:w="100"/>
              <w:bottom w:type="dxa" w:w="100"/>
              <w:right w:type="dxa" w:w="100"/>
            </w:tcMar>
          </w:tcPr>
          <w:p>
            <w:r>
              <w:rPr>
                <w:b/>
                <w:bCs/>
                <w:i w:val="false"/>
                <w:iCs w:val="false"/>
              </w:rPr>
              <w:t xml:space="preserve">Withholding Rate</w:t>
            </w:r>
          </w:p>
        </w:tc>
        <w:tc>
          <w:tcPr>
            <w:tcMar>
              <w:top w:type="dxa" w:w="100"/>
              <w:left w:type="dxa" w:w="100"/>
              <w:bottom w:type="dxa" w:w="100"/>
              <w:right w:type="dxa" w:w="100"/>
            </w:tcMar>
          </w:tcPr>
          <w:p>
            <w:r>
              <w:rPr>
                <w:b/>
                <w:bCs/>
                <w:i w:val="false"/>
                <w:iCs w:val="false"/>
              </w:rPr>
              <w:t xml:space="preserve">Trigger/Condition</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t xml:space="preserve">The General Partner shall use commercially reasonable efforts to cause the Partnership and any of its non-U.S. subsidiaries, in each case, which are "foreign financial institutions" within the meaning of U.S. FATCA (defined below), to comply with reporting requirements necessary to avoid application of U.S. federal withholding tax under U.S. FATCA to payments received by it</w:t>
            </w:r>
          </w:p>
        </w:tc>
        <w:tc>
          <w:tcPr>
            <w:tcMar>
              <w:top w:type="dxa" w:w="100"/>
              <w:left w:type="dxa" w:w="100"/>
              <w:bottom w:type="dxa" w:w="100"/>
              <w:right w:type="dxa" w:w="100"/>
            </w:tcMar>
          </w:tcPr>
          <w:p>
            <w:r>
              <w:t xml:space="preserve">Not specified - goal is avoidance</w:t>
            </w:r>
          </w:p>
        </w:tc>
        <w:tc>
          <w:tcPr>
            <w:tcMar>
              <w:top w:type="dxa" w:w="100"/>
              <w:left w:type="dxa" w:w="100"/>
              <w:bottom w:type="dxa" w:w="100"/>
              <w:right w:type="dxa" w:w="100"/>
            </w:tcMar>
          </w:tcPr>
          <w:p>
            <w:r>
              <w:t xml:space="preserve">Non-compliance with FATCA reporting requirements</w:t>
            </w:r>
          </w:p>
        </w:tc>
      </w:tr>
    </w:tbl>
    <w:p>
      <w:pPr>
        <w:spacing w:before="100" w:after="100"/>
      </w:pPr>
      <w:r>
        <w:rPr>
          <w:b/>
          <w:bCs/>
        </w:rPr>
        <w:t xml:space="preserve">Key Compliance Mechanisms:</w:t>
      </w:r>
    </w:p>
    <w:p>
      <w:pPr>
        <w:spacing w:after="60"/>
        <w:ind w:left="360"/>
      </w:pPr>
      <w:r>
        <w:t xml:space="preserve">• </w:t>
      </w:r>
      <w:r>
        <w:t xml:space="preserve">General Partner must use reasonable efforts to ensure Partnership and subsidiaries comply with U.S. FATCA reporting requirements</w:t>
      </w:r>
    </w:p>
    <w:p>
      <w:pPr>
        <w:spacing w:after="60"/>
        <w:ind w:left="360"/>
      </w:pPr>
      <w:r>
        <w:t xml:space="preserve">• </w:t>
      </w:r>
      <w:r>
        <w:t xml:space="preserve">General Partner must use reasonable efforts to ensure Partnership complies with FATCA reporting to avoid withholding tax on payments</w:t>
      </w:r>
    </w:p>
    <w:p>
      <w:pPr>
        <w:spacing w:before="100" w:after="100"/>
      </w:pPr>
      <w:r>
        <w:t xml:space="preserve">The document focuses on </w:t>
      </w:r>
      <w:r>
        <w:rPr>
          <w:b/>
          <w:bCs/>
        </w:rPr>
        <w:t xml:space="preserve">compliance obligations</w:t>
      </w:r>
      <w:r>
        <w:t xml:space="preserve"> rather than specifying the actual withholding rate percentage. The standard U.S. FATCA withholding rate (30%) is not explicitly stated in this side letter.</w:t>
      </w:r>
    </w:p>
    <w:p>
      <w:pPr>
        <w:spacing w:before="200" w:after="100"/>
      </w:pPr>
      <w:r>
        <w:rPr>
          <w:b/>
          <w:bCs/>
          <w:color w:val="0064C8"/>
          <w:sz w:val="22"/>
          <w:szCs w:val="22"/>
        </w:rPr>
        <w:t xml:space="preserve">Sutraye Sai</w:t>
      </w:r>
    </w:p>
    <w:p>
      <w:pPr>
        <w:spacing w:before="100" w:after="100"/>
      </w:pPr>
      <w:r>
        <w:t xml:space="preserve">What is the exact FATCA withholding percentage that will be imposed on the Partnership?</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The Side Letter does not specify any FATCA withholding percentage rate. The document only establishes compliance obligations to </w:t>
      </w:r>
      <w:r>
        <w:rPr>
          <w:b/>
          <w:bCs/>
        </w:rPr>
        <w:t xml:space="preserve">avoid</w:t>
      </w:r>
      <w:r>
        <w:t xml:space="preserve"> the application of withholding tax: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FATCA Withholding Rate Specified</w:t>
            </w:r>
          </w:p>
        </w:tc>
        <w:tc>
          <w:tcPr>
            <w:tcMar>
              <w:top w:type="dxa" w:w="100"/>
              <w:left w:type="dxa" w:w="100"/>
              <w:bottom w:type="dxa" w:w="100"/>
              <w:right w:type="dxa" w:w="100"/>
            </w:tcMar>
          </w:tcPr>
          <w:p>
            <w:r>
              <w:rPr>
                <w:b/>
                <w:bCs/>
                <w:i w:val="false"/>
                <w:iCs w:val="false"/>
              </w:rPr>
              <w:t xml:space="preserve">Document Language</w:t>
            </w:r>
          </w:p>
        </w:tc>
      </w:tr>
      <w:tr>
        <w:tc>
          <w:tcPr>
            <w:tcMar>
              <w:top w:type="dxa" w:w="100"/>
              <w:left w:type="dxa" w:w="100"/>
              <w:bottom w:type="dxa" w:w="100"/>
              <w:right w:type="dxa" w:w="100"/>
            </w:tcMar>
          </w:tcPr>
          <w:p>
            <w:r>
              <w:t xml:space="preserve">AOP DE X - Side Letter - ASP 2022 Aspire II LP (AlpInvest)</w:t>
            </w:r>
          </w:p>
        </w:tc>
        <w:tc>
          <w:tcPr>
            <w:tcMar>
              <w:top w:type="dxa" w:w="100"/>
              <w:left w:type="dxa" w:w="100"/>
              <w:bottom w:type="dxa" w:w="100"/>
              <w:right w:type="dxa" w:w="100"/>
            </w:tcMar>
          </w:tcPr>
          <w:p>
            <w:r>
              <w:rPr>
                <w:b/>
                <w:bCs/>
              </w:rPr>
              <w:t xml:space="preserve">Not applicable</w:t>
            </w:r>
          </w:p>
        </w:tc>
        <w:tc>
          <w:tcPr>
            <w:tcMar>
              <w:top w:type="dxa" w:w="100"/>
              <w:left w:type="dxa" w:w="100"/>
              <w:bottom w:type="dxa" w:w="100"/>
              <w:right w:type="dxa" w:w="100"/>
            </w:tcMar>
          </w:tcPr>
          <w:p>
            <w:r>
              <w:t xml:space="preserve">"The General Partner shall use commercially reasonable efforts to cause the Partnership and any of its non-U.S. subsidiaries... to comply with reporting requirements necessary to avoid application of U.S. federal withholding tax under U.S. FATCA to payments received by it"</w:t>
            </w:r>
          </w:p>
        </w:tc>
      </w:tr>
    </w:tbl>
    <w:p>
      <w:pPr>
        <w:spacing w:before="100" w:after="100"/>
      </w:pPr>
      <w:r>
        <w:rPr>
          <w:b/>
          <w:bCs/>
        </w:rPr>
        <w:t xml:space="preserve">Finding:</w:t>
      </w:r>
      <w:r>
        <w:t xml:space="preserve"> No specific numerical percentage (including the standard 30% rate) is stated in this Side Letter. The document focuses solely on "avoid withholding tax on payments" through FATCA compliance efforts.</w:t>
      </w:r>
    </w:p>
    <w:p>
      <w:pPr>
        <w:spacing w:before="200" w:after="100"/>
      </w:pPr>
      <w:r>
        <w:rPr>
          <w:b/>
          <w:bCs/>
          <w:color w:val="0064C8"/>
          <w:sz w:val="22"/>
          <w:szCs w:val="22"/>
        </w:rPr>
        <w:t xml:space="preserve">Sutraye Sai</w:t>
      </w:r>
    </w:p>
    <w:p>
      <w:pPr>
        <w:spacing w:before="100" w:after="100"/>
      </w:pPr>
      <w:r>
        <w:t xml:space="preserve">Are there any ESG-related obligations mentioned?</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ESG-related obligations extracted from the Side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w:t>
            </w:r>
          </w:p>
        </w:tc>
        <w:tc>
          <w:tcPr>
            <w:tcMar>
              <w:top w:type="dxa" w:w="100"/>
              <w:left w:type="dxa" w:w="100"/>
              <w:bottom w:type="dxa" w:w="100"/>
              <w:right w:type="dxa" w:w="100"/>
            </w:tcMar>
          </w:tcPr>
          <w:p>
            <w:r>
              <w:rPr>
                <w:b/>
                <w:bCs/>
                <w:i w:val="false"/>
                <w:iCs w:val="false"/>
              </w:rPr>
              <w:t xml:space="preserve">ESG Category</w:t>
            </w:r>
          </w:p>
        </w:tc>
        <w:tc>
          <w:tcPr>
            <w:tcMar>
              <w:top w:type="dxa" w:w="100"/>
              <w:left w:type="dxa" w:w="100"/>
              <w:bottom w:type="dxa" w:w="100"/>
              <w:right w:type="dxa" w:w="100"/>
            </w:tcMar>
          </w:tcPr>
          <w:p>
            <w:r>
              <w:rPr>
                <w:b/>
                <w:bCs/>
                <w:i w:val="false"/>
                <w:iCs w:val="false"/>
              </w:rPr>
              <w:t xml:space="preserve">Obligation Details</w:t>
            </w:r>
          </w:p>
        </w:tc>
      </w:tr>
      <w:tr>
        <w:tc>
          <w:tcPr>
            <w:tcMar>
              <w:top w:type="dxa" w:w="100"/>
              <w:left w:type="dxa" w:w="100"/>
              <w:bottom w:type="dxa" w:w="100"/>
              <w:right w:type="dxa" w:w="100"/>
            </w:tcMar>
          </w:tcPr>
          <w:p>
            <w:r>
              <w:rPr>
                <w:b/>
                <w:bCs/>
              </w:rPr>
              <w:t xml:space="preserve">AOP DE X - Side Letter - ASP 2022 Aspire II LP</w:t>
            </w:r>
          </w:p>
        </w:tc>
        <w:tc>
          <w:tcPr>
            <w:tcMar>
              <w:top w:type="dxa" w:w="100"/>
              <w:left w:type="dxa" w:w="100"/>
              <w:bottom w:type="dxa" w:w="100"/>
              <w:right w:type="dxa" w:w="100"/>
            </w:tcMar>
          </w:tcPr>
          <w:p>
            <w:r>
              <w:rPr>
                <w:b/>
                <w:bCs/>
              </w:rPr>
              <w:t xml:space="preserve">ESG Principles Commitment</w:t>
            </w:r>
          </w:p>
        </w:tc>
        <w:tc>
          <w:tcPr>
            <w:tcMar>
              <w:top w:type="dxa" w:w="100"/>
              <w:left w:type="dxa" w:w="100"/>
              <w:bottom w:type="dxa" w:w="100"/>
              <w:right w:type="dxa" w:w="100"/>
            </w:tcMar>
          </w:tcPr>
          <w:p>
            <w:r>
              <w:t xml:space="preserve">The LP has an internal policy to request that GPs confirm they will consider ESG principles. The General Partner confirms it subscribes to a set of ESG principles and has an ESG program as may be in effect from time to time.</w:t>
            </w:r>
          </w:p>
        </w:tc>
      </w:tr>
      <w:tr>
        <w:tc>
          <w:tcPr>
            <w:tcMar>
              <w:top w:type="dxa" w:w="100"/>
              <w:left w:type="dxa" w:w="100"/>
              <w:bottom w:type="dxa" w:w="100"/>
              <w:right w:type="dxa" w:w="100"/>
            </w:tcMar>
          </w:tcPr>
          <w:p>
            <w:r>
              <w:t xml:space="preserve"/>
            </w:r>
          </w:p>
        </w:tc>
        <w:tc>
          <w:tcPr>
            <w:tcMar>
              <w:top w:type="dxa" w:w="100"/>
              <w:left w:type="dxa" w:w="100"/>
              <w:bottom w:type="dxa" w:w="100"/>
              <w:right w:type="dxa" w:w="100"/>
            </w:tcMar>
          </w:tcPr>
          <w:p>
            <w:r>
              <w:rPr>
                <w:b/>
                <w:bCs/>
              </w:rPr>
              <w:t xml:space="preserve">UN Global Compact Principles</w:t>
            </w:r>
          </w:p>
        </w:tc>
        <w:tc>
          <w:tcPr>
            <w:tcMar>
              <w:top w:type="dxa" w:w="100"/>
              <w:left w:type="dxa" w:w="100"/>
              <w:bottom w:type="dxa" w:w="100"/>
              <w:right w:type="dxa" w:w="100"/>
            </w:tcMar>
          </w:tcPr>
          <w:p>
            <w:r>
              <w:t xml:space="preserve">GP confirms it will use commercially reasonable efforts to consider the United Nations' Global Compact's principles in the areas of human rights, labor standards, the environment and anti-corruption in connection with each Portfolio Investment</w:t>
            </w:r>
          </w:p>
        </w:tc>
      </w:tr>
      <w:tr>
        <w:tc>
          <w:tcPr>
            <w:tcMar>
              <w:top w:type="dxa" w:w="100"/>
              <w:left w:type="dxa" w:w="100"/>
              <w:bottom w:type="dxa" w:w="100"/>
              <w:right w:type="dxa" w:w="100"/>
            </w:tcMar>
          </w:tcPr>
          <w:p>
            <w:r>
              <w:t xml:space="preserve"/>
            </w:r>
          </w:p>
        </w:tc>
        <w:tc>
          <w:tcPr>
            <w:tcMar>
              <w:top w:type="dxa" w:w="100"/>
              <w:left w:type="dxa" w:w="100"/>
              <w:bottom w:type="dxa" w:w="100"/>
              <w:right w:type="dxa" w:w="100"/>
            </w:tcMar>
          </w:tcPr>
          <w:p>
            <w:r>
              <w:rPr>
                <w:b/>
                <w:bCs/>
              </w:rPr>
              <w:t xml:space="preserve">Human Rights/Labor Violations</w:t>
            </w:r>
          </w:p>
        </w:tc>
        <w:tc>
          <w:tcPr>
            <w:tcMar>
              <w:top w:type="dxa" w:w="100"/>
              <w:left w:type="dxa" w:w="100"/>
              <w:bottom w:type="dxa" w:w="100"/>
              <w:right w:type="dxa" w:w="100"/>
            </w:tcMar>
          </w:tcPr>
          <w:p>
            <w:r>
              <w:t xml:space="preserve">LP prohibited from investing in companies directly involved in serious systematic human rights and/or labor rights violations, or severe and unremedied environmental damage</w:t>
            </w:r>
          </w:p>
        </w:tc>
      </w:tr>
      <w:tr>
        <w:tc>
          <w:tcPr>
            <w:tcMar>
              <w:top w:type="dxa" w:w="100"/>
              <w:left w:type="dxa" w:w="100"/>
              <w:bottom w:type="dxa" w:w="100"/>
              <w:right w:type="dxa" w:w="100"/>
            </w:tcMar>
          </w:tcPr>
          <w:p>
            <w:r>
              <w:t xml:space="preserve"/>
            </w:r>
          </w:p>
        </w:tc>
        <w:tc>
          <w:tcPr>
            <w:tcMar>
              <w:top w:type="dxa" w:w="100"/>
              <w:left w:type="dxa" w:w="100"/>
              <w:bottom w:type="dxa" w:w="100"/>
              <w:right w:type="dxa" w:w="100"/>
            </w:tcMar>
          </w:tcPr>
          <w:p>
            <w:r>
              <w:rPr>
                <w:b/>
                <w:bCs/>
              </w:rPr>
              <w:t xml:space="preserve">Environmental - Fossil Fuels</w:t>
            </w:r>
          </w:p>
        </w:tc>
        <w:tc>
          <w:tcPr>
            <w:tcMar>
              <w:top w:type="dxa" w:w="100"/>
              <w:left w:type="dxa" w:w="100"/>
              <w:bottom w:type="dxa" w:w="100"/>
              <w:right w:type="dxa" w:w="100"/>
            </w:tcMar>
          </w:tcPr>
          <w:p>
            <w:r>
              <w:t xml:space="preserve">LP prohibited from investing in companies deriving more than 10% of revenues from extraction, mining, exploration, processing or refinement of fossil fuels</w:t>
            </w:r>
          </w:p>
        </w:tc>
      </w:tr>
      <w:tr>
        <w:tc>
          <w:tcPr>
            <w:tcMar>
              <w:top w:type="dxa" w:w="100"/>
              <w:left w:type="dxa" w:w="100"/>
              <w:bottom w:type="dxa" w:w="100"/>
              <w:right w:type="dxa" w:w="100"/>
            </w:tcMar>
          </w:tcPr>
          <w:p>
            <w:r>
              <w:t xml:space="preserve"/>
            </w:r>
          </w:p>
        </w:tc>
        <w:tc>
          <w:tcPr>
            <w:tcMar>
              <w:top w:type="dxa" w:w="100"/>
              <w:left w:type="dxa" w:w="100"/>
              <w:bottom w:type="dxa" w:w="100"/>
              <w:right w:type="dxa" w:w="100"/>
            </w:tcMar>
          </w:tcPr>
          <w:p>
            <w:r>
              <w:rPr>
                <w:b/>
                <w:bCs/>
              </w:rPr>
              <w:t xml:space="preserve">Environmental - Thermal Coal</w:t>
            </w:r>
          </w:p>
        </w:tc>
        <w:tc>
          <w:tcPr>
            <w:tcMar>
              <w:top w:type="dxa" w:w="100"/>
              <w:left w:type="dxa" w:w="100"/>
              <w:bottom w:type="dxa" w:w="100"/>
              <w:right w:type="dxa" w:w="100"/>
            </w:tcMar>
          </w:tcPr>
          <w:p>
            <w:r>
              <w:t xml:space="preserve">LP prohibited from investing in companies engaged in thermal coal mining, financing coal-fired power stations, or coal-based energy generation deriving more than 15% revenue from Thermal Coal Activities</w:t>
            </w:r>
          </w:p>
        </w:tc>
      </w:tr>
      <w:tr>
        <w:tc>
          <w:tcPr>
            <w:tcMar>
              <w:top w:type="dxa" w:w="100"/>
              <w:left w:type="dxa" w:w="100"/>
              <w:bottom w:type="dxa" w:w="100"/>
              <w:right w:type="dxa" w:w="100"/>
            </w:tcMar>
          </w:tcPr>
          <w:p>
            <w:r>
              <w:t xml:space="preserve"/>
            </w:r>
          </w:p>
        </w:tc>
        <w:tc>
          <w:tcPr>
            <w:tcMar>
              <w:top w:type="dxa" w:w="100"/>
              <w:left w:type="dxa" w:w="100"/>
              <w:bottom w:type="dxa" w:w="100"/>
              <w:right w:type="dxa" w:w="100"/>
            </w:tcMar>
          </w:tcPr>
          <w:p>
            <w:r>
              <w:rPr>
                <w:b/>
                <w:bCs/>
              </w:rPr>
              <w:t xml:space="preserve">Environmental - Oil/Gas</w:t>
            </w:r>
          </w:p>
        </w:tc>
        <w:tc>
          <w:tcPr>
            <w:tcMar>
              <w:top w:type="dxa" w:w="100"/>
              <w:left w:type="dxa" w:w="100"/>
              <w:bottom w:type="dxa" w:w="100"/>
              <w:right w:type="dxa" w:w="100"/>
            </w:tcMar>
          </w:tcPr>
          <w:p>
            <w:r>
              <w:t xml:space="preserve">LP prohibited if oil/gas exploration exceeds 10% of Capital Commitment in a Portfolio Company</w:t>
            </w:r>
          </w:p>
        </w:tc>
      </w:tr>
      <w:tr>
        <w:tc>
          <w:tcPr>
            <w:tcMar>
              <w:top w:type="dxa" w:w="100"/>
              <w:left w:type="dxa" w:w="100"/>
              <w:bottom w:type="dxa" w:w="100"/>
              <w:right w:type="dxa" w:w="100"/>
            </w:tcMar>
          </w:tcPr>
          <w:p>
            <w:r>
              <w:t xml:space="preserve"/>
            </w:r>
          </w:p>
        </w:tc>
        <w:tc>
          <w:tcPr>
            <w:tcMar>
              <w:top w:type="dxa" w:w="100"/>
              <w:left w:type="dxa" w:w="100"/>
              <w:bottom w:type="dxa" w:w="100"/>
              <w:right w:type="dxa" w:w="100"/>
            </w:tcMar>
          </w:tcPr>
          <w:p>
            <w:r>
              <w:rPr>
                <w:b/>
                <w:bCs/>
              </w:rPr>
              <w:t xml:space="preserve">Anti-Corruption/Bribery</w:t>
            </w:r>
          </w:p>
        </w:tc>
        <w:tc>
          <w:tcPr>
            <w:tcMar>
              <w:top w:type="dxa" w:w="100"/>
              <w:left w:type="dxa" w:w="100"/>
              <w:bottom w:type="dxa" w:w="100"/>
              <w:right w:type="dxa" w:w="100"/>
            </w:tcMar>
          </w:tcPr>
          <w:p>
            <w:r>
              <w:t xml:space="preserve">LP prohibited from investing in companies found guilty of gross corruption or bribery within the last three years</w:t>
            </w:r>
          </w:p>
        </w:tc>
      </w:tr>
      <w:tr>
        <w:tc>
          <w:tcPr>
            <w:tcMar>
              <w:top w:type="dxa" w:w="100"/>
              <w:left w:type="dxa" w:w="100"/>
              <w:bottom w:type="dxa" w:w="100"/>
              <w:right w:type="dxa" w:w="100"/>
            </w:tcMar>
          </w:tcPr>
          <w:p>
            <w:r>
              <w:t xml:space="preserve"/>
            </w:r>
          </w:p>
        </w:tc>
        <w:tc>
          <w:tcPr>
            <w:tcMar>
              <w:top w:type="dxa" w:w="100"/>
              <w:left w:type="dxa" w:w="100"/>
              <w:bottom w:type="dxa" w:w="100"/>
              <w:right w:type="dxa" w:w="100"/>
            </w:tcMar>
          </w:tcPr>
          <w:p>
            <w:r>
              <w:rPr>
                <w:b/>
                <w:bCs/>
              </w:rPr>
              <w:t xml:space="preserve">Non-ESG Compliant Exclusion</w:t>
            </w:r>
          </w:p>
        </w:tc>
        <w:tc>
          <w:tcPr>
            <w:tcMar>
              <w:top w:type="dxa" w:w="100"/>
              <w:left w:type="dxa" w:w="100"/>
              <w:bottom w:type="dxa" w:w="100"/>
              <w:right w:type="dxa" w:w="100"/>
            </w:tcMar>
          </w:tcPr>
          <w:p>
            <w:r>
              <w:t xml:space="preserve">LP cannot invest in companies with recent serious human rights, labor violations, or severe environmental damage per authoritative determinations</w:t>
            </w:r>
          </w:p>
        </w:tc>
      </w:tr>
    </w:tbl>
    <w:p>
      <w:pPr>
        <w:spacing w:before="100" w:after="100"/>
      </w:pPr>
      <w:r>
        <w:rPr>
          <w:b/>
          <w:bCs/>
        </w:rPr>
        <w:t xml:space="preserve">Key ESG Governance Framework:</w:t>
      </w:r>
      <w:r>
        <w:t xml:space="preserve"> GP must consider UN Global Compact principles in investments, subject to fund terms and investor interests, with LP's internal policy requiring private equity funds to consider ESG principles.</w:t>
      </w:r>
    </w:p>
    <w:p>
      <w:pPr>
        <w:spacing w:before="200" w:after="100"/>
      </w:pPr>
      <w:r>
        <w:rPr>
          <w:b/>
          <w:bCs/>
          <w:color w:val="0064C8"/>
          <w:sz w:val="22"/>
          <w:szCs w:val="22"/>
        </w:rPr>
        <w:t xml:space="preserve">Sutraye Sai</w:t>
      </w:r>
    </w:p>
    <w:p>
      <w:pPr>
        <w:spacing w:before="100" w:after="100"/>
      </w:pPr>
      <w:r>
        <w:t xml:space="preserve">Are there revenue-based thresholds for fossil fuel-related investments?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Revenue-based percentage thresholds for fossil fuel-related investments in the ASP 2022 Aspire II LP Side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Investment Category</w:t>
            </w:r>
          </w:p>
        </w:tc>
        <w:tc>
          <w:tcPr>
            <w:tcMar>
              <w:top w:type="dxa" w:w="100"/>
              <w:left w:type="dxa" w:w="100"/>
              <w:bottom w:type="dxa" w:w="100"/>
              <w:right w:type="dxa" w:w="100"/>
            </w:tcMar>
          </w:tcPr>
          <w:p>
            <w:r>
              <w:rPr>
                <w:b/>
                <w:bCs/>
                <w:i w:val="false"/>
                <w:iCs w:val="false"/>
              </w:rPr>
              <w:t xml:space="preserve">Percentage Threshold</w:t>
            </w:r>
          </w:p>
        </w:tc>
        <w:tc>
          <w:tcPr>
            <w:tcMar>
              <w:top w:type="dxa" w:w="100"/>
              <w:left w:type="dxa" w:w="100"/>
              <w:bottom w:type="dxa" w:w="100"/>
              <w:right w:type="dxa" w:w="100"/>
            </w:tcMar>
          </w:tcPr>
          <w:p>
            <w:r>
              <w:rPr>
                <w:b/>
                <w:bCs/>
                <w:i w:val="false"/>
                <w:iCs w:val="false"/>
              </w:rPr>
              <w:t xml:space="preserve">Restriction Type</w:t>
            </w:r>
          </w:p>
        </w:tc>
        <w:tc>
          <w:tcPr>
            <w:tcMar>
              <w:top w:type="dxa" w:w="100"/>
              <w:left w:type="dxa" w:w="100"/>
              <w:bottom w:type="dxa" w:w="100"/>
              <w:right w:type="dxa" w:w="100"/>
            </w:tcMar>
          </w:tcPr>
          <w:p>
            <w:r>
              <w:rPr>
                <w:b/>
                <w:bCs/>
                <w:i w:val="false"/>
                <w:iCs w:val="false"/>
              </w:rPr>
              <w:t xml:space="preserve">Document Reference</w:t>
            </w:r>
          </w:p>
        </w:tc>
      </w:tr>
      <w:tr>
        <w:tc>
          <w:tcPr>
            <w:tcMar>
              <w:top w:type="dxa" w:w="100"/>
              <w:left w:type="dxa" w:w="100"/>
              <w:bottom w:type="dxa" w:w="100"/>
              <w:right w:type="dxa" w:w="100"/>
            </w:tcMar>
          </w:tcPr>
          <w:p>
            <w:r>
              <w:rPr>
                <w:b/>
                <w:bCs/>
              </w:rPr>
              <w:t xml:space="preserve">Fossil Fuel Extraction/Mining/Exploration/Processing/Refinement</w:t>
            </w:r>
          </w:p>
        </w:tc>
        <w:tc>
          <w:tcPr>
            <w:tcMar>
              <w:top w:type="dxa" w:w="100"/>
              <w:left w:type="dxa" w:w="100"/>
              <w:bottom w:type="dxa" w:w="100"/>
              <w:right w:type="dxa" w:w="100"/>
            </w:tcMar>
          </w:tcPr>
          <w:p>
            <w:r>
              <w:t xml:space="preserve">more than 10% of its revenues</w:t>
            </w:r>
          </w:p>
        </w:tc>
        <w:tc>
          <w:tcPr>
            <w:tcMar>
              <w:top w:type="dxa" w:w="100"/>
              <w:left w:type="dxa" w:w="100"/>
              <w:bottom w:type="dxa" w:w="100"/>
              <w:right w:type="dxa" w:w="100"/>
            </w:tcMar>
          </w:tcPr>
          <w:p>
            <w:r>
              <w:t xml:space="preserve">Revenue-based prohibition</w:t>
            </w:r>
          </w:p>
        </w:tc>
        <w:tc>
          <w:tcPr>
            <w:tcMar>
              <w:top w:type="dxa" w:w="100"/>
              <w:left w:type="dxa" w:w="100"/>
              <w:bottom w:type="dxa" w:w="100"/>
              <w:right w:type="dxa" w:w="100"/>
            </w:tcMar>
          </w:tcPr>
          <w:p>
            <w:r>
              <w:t xml:space="preserve">LP cannot invest in companies deriving over 10% of revenues from fossil fuel extraction, mining, exploration, processing, or refinement</w:t>
            </w:r>
          </w:p>
        </w:tc>
      </w:tr>
      <w:tr>
        <w:tc>
          <w:tcPr>
            <w:tcMar>
              <w:top w:type="dxa" w:w="100"/>
              <w:left w:type="dxa" w:w="100"/>
              <w:bottom w:type="dxa" w:w="100"/>
              <w:right w:type="dxa" w:w="100"/>
            </w:tcMar>
          </w:tcPr>
          <w:p>
            <w:r>
              <w:rPr>
                <w:b/>
                <w:bCs/>
              </w:rPr>
              <w:t xml:space="preserve">Thermal Coal Activities</w:t>
            </w:r>
            <w:r>
              <w:t xml:space="preserve"> (mining, financing coal-fired power stations, coal-based energy generation)</w:t>
            </w:r>
          </w:p>
        </w:tc>
        <w:tc>
          <w:tcPr>
            <w:tcMar>
              <w:top w:type="dxa" w:w="100"/>
              <w:left w:type="dxa" w:w="100"/>
              <w:bottom w:type="dxa" w:w="100"/>
              <w:right w:type="dxa" w:w="100"/>
            </w:tcMar>
          </w:tcPr>
          <w:p>
            <w:r>
              <w:t xml:space="preserve">more than 15% of its revenue from Thermal Coal Activities</w:t>
            </w:r>
          </w:p>
        </w:tc>
        <w:tc>
          <w:tcPr>
            <w:tcMar>
              <w:top w:type="dxa" w:w="100"/>
              <w:left w:type="dxa" w:w="100"/>
              <w:bottom w:type="dxa" w:w="100"/>
              <w:right w:type="dxa" w:w="100"/>
            </w:tcMar>
          </w:tcPr>
          <w:p>
            <w:r>
              <w:t xml:space="preserve">Revenue-based prohibition</w:t>
            </w:r>
          </w:p>
        </w:tc>
        <w:tc>
          <w:tcPr>
            <w:tcMar>
              <w:top w:type="dxa" w:w="100"/>
              <w:left w:type="dxa" w:w="100"/>
              <w:bottom w:type="dxa" w:w="100"/>
              <w:right w:type="dxa" w:w="100"/>
            </w:tcMar>
          </w:tcPr>
          <w:p>
            <w:r>
              <w:t xml:space="preserve">LP cannot invest in companies primarily engaged in thermal coal mining, financing coal power stations, or coal-based energy generation</w:t>
            </w:r>
          </w:p>
        </w:tc>
      </w:tr>
      <w:tr>
        <w:tc>
          <w:tcPr>
            <w:tcMar>
              <w:top w:type="dxa" w:w="100"/>
              <w:left w:type="dxa" w:w="100"/>
              <w:bottom w:type="dxa" w:w="100"/>
              <w:right w:type="dxa" w:w="100"/>
            </w:tcMar>
          </w:tcPr>
          <w:p>
            <w:r>
              <w:rPr>
                <w:b/>
                <w:bCs/>
              </w:rPr>
              <w:t xml:space="preserve">Oil/Gas Exploration</w:t>
            </w:r>
          </w:p>
        </w:tc>
        <w:tc>
          <w:tcPr>
            <w:tcMar>
              <w:top w:type="dxa" w:w="100"/>
              <w:left w:type="dxa" w:w="100"/>
              <w:bottom w:type="dxa" w:w="100"/>
              <w:right w:type="dxa" w:w="100"/>
            </w:tcMar>
          </w:tcPr>
          <w:p>
            <w:r>
              <w:t xml:space="preserve">more than 10% of the LP's Capital Commitment</w:t>
            </w:r>
          </w:p>
        </w:tc>
        <w:tc>
          <w:tcPr>
            <w:tcMar>
              <w:top w:type="dxa" w:w="100"/>
              <w:left w:type="dxa" w:w="100"/>
              <w:bottom w:type="dxa" w:w="100"/>
              <w:right w:type="dxa" w:w="100"/>
            </w:tcMar>
          </w:tcPr>
          <w:p>
            <w:r>
              <w:t xml:space="preserve">Capital Commitment restriction</w:t>
            </w:r>
          </w:p>
        </w:tc>
        <w:tc>
          <w:tcPr>
            <w:tcMar>
              <w:top w:type="dxa" w:w="100"/>
              <w:left w:type="dxa" w:w="100"/>
              <w:bottom w:type="dxa" w:w="100"/>
              <w:right w:type="dxa" w:w="100"/>
            </w:tcMar>
          </w:tcPr>
          <w:p>
            <w:r>
              <w:t xml:space="preserve">LP cannot invest if oil/gas exploration exceeds 10% of its Capital Commitment in a Portfolio Company</w:t>
            </w:r>
          </w:p>
        </w:tc>
      </w:tr>
    </w:tbl>
    <w:p>
      <w:pPr>
        <w:spacing w:before="100" w:after="100"/>
      </w:pPr>
      <w:r>
        <w:rPr>
          <w:b/>
          <w:bCs/>
        </w:rPr>
        <w:t xml:space="preserve">Key Definitions:</w:t>
      </w:r>
    </w:p>
    <w:p>
      <w:pPr>
        <w:spacing w:after="60"/>
        <w:ind w:left="360"/>
      </w:pPr>
      <w:r>
        <w:t xml:space="preserve">• </w:t>
      </w:r>
      <w:r>
        <w:t xml:space="preserve">"Thermal coal" means coal used to generate electricity, such as that which is burned to create steam to run turbines, but shall not include any transitioning technologies that relate to coal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2026-01-11T09:15:38.009Z</dcterms:created>
  <dcterms:modified xsi:type="dcterms:W3CDTF">2026-01-11T09:15:38.009Z</dcterms:modified>
</cp:coreProperties>
</file>

<file path=docProps/custom.xml><?xml version="1.0" encoding="utf-8"?>
<Properties xmlns="http://schemas.openxmlformats.org/officeDocument/2006/custom-properties" xmlns:vt="http://schemas.openxmlformats.org/officeDocument/2006/docPropsVTypes"/>
</file>