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730" w:rsidRDefault="00333730" w:rsidP="00333730">
      <w:pPr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Апелляционное письмо команды «</w:t>
      </w:r>
      <w:proofErr w:type="spellStart"/>
      <w:r>
        <w:rPr>
          <w:sz w:val="28"/>
          <w:szCs w:val="28"/>
          <w:lang w:val="ru-RU"/>
        </w:rPr>
        <w:t>ФАКИшники</w:t>
      </w:r>
      <w:proofErr w:type="spellEnd"/>
      <w:r>
        <w:rPr>
          <w:sz w:val="28"/>
          <w:szCs w:val="28"/>
          <w:lang w:val="ru-RU"/>
        </w:rPr>
        <w:t>»</w:t>
      </w:r>
    </w:p>
    <w:p w:rsidR="00333730" w:rsidRPr="00333730" w:rsidRDefault="00333730" w:rsidP="00333730">
      <w:pPr>
        <w:pStyle w:val="2"/>
      </w:pPr>
      <w:r>
        <w:rPr>
          <w:lang w:val="ru-RU"/>
        </w:rPr>
        <w:t>Прочностные расчеты</w:t>
      </w:r>
    </w:p>
    <w:p w:rsidR="00333730" w:rsidRDefault="00333730" w:rsidP="00333730">
      <w:pPr>
        <w:rPr>
          <w:lang w:val="ru-RU"/>
        </w:rPr>
      </w:pPr>
      <w:r>
        <w:rPr>
          <w:lang w:val="ru-RU"/>
        </w:rPr>
        <w:t>В отчете необходимо было привести оценки перегрузок на ЛА: посадочных, маневренных и в неспокойном воздухе. Также требовалось указать диапазон эксплуатационных перегрузок ЛА.</w:t>
      </w:r>
    </w:p>
    <w:p w:rsidR="00D379DE" w:rsidRDefault="00333730" w:rsidP="00333730">
      <w:pPr>
        <w:rPr>
          <w:lang w:val="ru-RU"/>
        </w:rPr>
      </w:pPr>
      <w:r w:rsidRPr="00333730">
        <w:rPr>
          <w:lang w:val="ru-RU"/>
        </w:rPr>
        <w:t xml:space="preserve"> </w:t>
      </w:r>
      <w:r>
        <w:rPr>
          <w:lang w:val="ru-RU"/>
        </w:rPr>
        <w:t>В комментариях экспертов было указано, что данные о прочностных расчетах отсутствуют, как следствие – баллы не были проставлены в 3 пунктах.</w:t>
      </w:r>
    </w:p>
    <w:p w:rsidR="00FA0585" w:rsidRDefault="009E3402" w:rsidP="00333730">
      <w:pPr>
        <w:rPr>
          <w:lang w:val="ru-RU"/>
        </w:rPr>
      </w:pPr>
      <w:r>
        <w:rPr>
          <w:lang w:val="ru-RU"/>
        </w:rPr>
        <w:t xml:space="preserve">Однако описание вышеуказанных параметров было приведено в отчете на странице 6 после описания эксплуатационного диапазона числа </w:t>
      </w:r>
      <w:proofErr w:type="spellStart"/>
      <w:r>
        <w:rPr>
          <w:lang w:val="ru-RU"/>
        </w:rPr>
        <w:t>Рейнольдса</w:t>
      </w:r>
      <w:proofErr w:type="spellEnd"/>
      <w:r w:rsidR="00FA0585">
        <w:rPr>
          <w:lang w:val="ru-RU"/>
        </w:rPr>
        <w:t>. Приводим ниже раздел о прочностных расчетах из отчета:</w:t>
      </w:r>
    </w:p>
    <w:p w:rsidR="00FA0585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Р</w:t>
      </w:r>
      <w:r w:rsidRPr="00FA0585">
        <w:rPr>
          <w:lang w:val="ru-RU"/>
        </w:rPr>
        <w:t xml:space="preserve">асчет нагрузки в неспокойном воздухе по </w:t>
      </w:r>
      <w:proofErr w:type="spellStart"/>
      <w:r w:rsidRPr="00FA0585">
        <w:rPr>
          <w:lang w:val="ru-RU"/>
        </w:rPr>
        <w:t>нлг</w:t>
      </w:r>
      <w:proofErr w:type="spellEnd"/>
      <w:r w:rsidRPr="00FA0585">
        <w:rPr>
          <w:lang w:val="ru-RU"/>
        </w:rPr>
        <w:t xml:space="preserve"> по приказу </w:t>
      </w:r>
      <w:r>
        <w:t>N</w:t>
      </w:r>
      <w:r w:rsidRPr="00FA0585">
        <w:rPr>
          <w:lang w:val="ru-RU"/>
        </w:rPr>
        <w:t xml:space="preserve"> 970-П: удельная нагрузка на крыло по программе </w:t>
      </w:r>
      <w:proofErr w:type="spellStart"/>
      <w:r>
        <w:t>xflr</w:t>
      </w:r>
      <w:proofErr w:type="spellEnd"/>
      <w:r w:rsidRPr="00FA0585">
        <w:rPr>
          <w:lang w:val="ru-RU"/>
        </w:rPr>
        <w:t xml:space="preserve">5 3.3 кг / м^2; САХ 0.35 м; </w:t>
      </w:r>
      <w:proofErr w:type="spellStart"/>
      <w:r>
        <w:t>Ude</w:t>
      </w:r>
      <w:proofErr w:type="spellEnd"/>
      <w:r w:rsidRPr="00FA0585">
        <w:rPr>
          <w:lang w:val="ru-RU"/>
        </w:rPr>
        <w:t xml:space="preserve"> = 23 м/с из НЛГ, </w:t>
      </w:r>
      <w:r>
        <w:t>V</w:t>
      </w:r>
      <w:r w:rsidRPr="00FA0585">
        <w:rPr>
          <w:lang w:val="ru-RU"/>
        </w:rPr>
        <w:t xml:space="preserve"> = 16.7 м/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 (крейсерская), </w:t>
      </w:r>
      <w:r>
        <w:t>Cy</w:t>
      </w:r>
      <w:r w:rsidRPr="00FA0585">
        <w:rPr>
          <w:lang w:val="ru-RU"/>
        </w:rPr>
        <w:t>(</w:t>
      </w:r>
      <w:r>
        <w:t>alpha</w:t>
      </w:r>
      <w:r w:rsidRPr="00FA0585">
        <w:rPr>
          <w:lang w:val="ru-RU"/>
        </w:rPr>
        <w:t xml:space="preserve">) = 0.085. Отсюда </w:t>
      </w:r>
      <w:r>
        <w:t>n</w:t>
      </w:r>
      <w:r w:rsidRPr="00FA0585">
        <w:rPr>
          <w:lang w:val="ru-RU"/>
        </w:rPr>
        <w:t xml:space="preserve"> = 1 ± 0.42 [4] </w:t>
      </w:r>
    </w:p>
    <w:p w:rsidR="00FA0585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Р</w:t>
      </w:r>
      <w:r w:rsidRPr="00FA0585">
        <w:rPr>
          <w:lang w:val="ru-RU"/>
        </w:rPr>
        <w:t>асчет маневренной перегрузки исходил из качественной оценки по приложенной к ТЗ карте радиуса разворота в ~8 м, скорости разворота в 12 м/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. Центростремительная перегрузка </w:t>
      </w:r>
      <w:r>
        <w:t>n</w:t>
      </w:r>
      <w:r w:rsidRPr="00FA0585">
        <w:rPr>
          <w:lang w:val="ru-RU"/>
        </w:rPr>
        <w:t xml:space="preserve"> = </w:t>
      </w:r>
      <w:proofErr w:type="spellStart"/>
      <w:r>
        <w:t>sqrt</w:t>
      </w:r>
      <w:proofErr w:type="spellEnd"/>
      <w:r w:rsidRPr="00FA0585">
        <w:rPr>
          <w:lang w:val="ru-RU"/>
        </w:rPr>
        <w:t>(</w:t>
      </w:r>
      <w:r>
        <w:t>V</w:t>
      </w:r>
      <w:r w:rsidRPr="00FA0585">
        <w:rPr>
          <w:lang w:val="ru-RU"/>
        </w:rPr>
        <w:t xml:space="preserve">^4 / </w:t>
      </w:r>
      <w:r>
        <w:t>R</w:t>
      </w:r>
      <w:r w:rsidRPr="00FA0585">
        <w:rPr>
          <w:lang w:val="ru-RU"/>
        </w:rPr>
        <w:t xml:space="preserve">^2 + </w:t>
      </w:r>
      <w:r>
        <w:t>g</w:t>
      </w:r>
      <w:r w:rsidRPr="00FA0585">
        <w:rPr>
          <w:lang w:val="ru-RU"/>
        </w:rPr>
        <w:t xml:space="preserve">^2) / </w:t>
      </w:r>
      <w:r>
        <w:t>g</w:t>
      </w:r>
      <w:r>
        <w:rPr>
          <w:lang w:val="ru-RU"/>
        </w:rPr>
        <w:t xml:space="preserve"> = 2. </w:t>
      </w:r>
    </w:p>
    <w:p w:rsidR="008D606E" w:rsidRDefault="00FA0585" w:rsidP="008D60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</w:t>
      </w:r>
      <w:r w:rsidRPr="00FA0585">
        <w:rPr>
          <w:lang w:val="ru-RU"/>
        </w:rPr>
        <w:t xml:space="preserve">осадка в условиях травяного покрытия не дает возможности оценить численно нагрузку, но качественно оценивается как слабонагруженный участок полета. Однако так же проведена оценка по формуле </w:t>
      </w:r>
      <w:r>
        <w:t>n</w:t>
      </w:r>
      <w:r w:rsidRPr="00FA0585">
        <w:rPr>
          <w:lang w:val="ru-RU"/>
        </w:rPr>
        <w:t xml:space="preserve"> = </w:t>
      </w:r>
      <w:r>
        <w:t>V</w:t>
      </w:r>
      <w:r w:rsidRPr="00FA0585">
        <w:rPr>
          <w:lang w:val="ru-RU"/>
        </w:rPr>
        <w:t xml:space="preserve"> / (</w:t>
      </w:r>
      <w:proofErr w:type="spellStart"/>
      <w:r>
        <w:t>dt</w:t>
      </w:r>
      <w:proofErr w:type="spellEnd"/>
      <w:r w:rsidRPr="00FA0585">
        <w:rPr>
          <w:lang w:val="ru-RU"/>
        </w:rPr>
        <w:t xml:space="preserve"> * </w:t>
      </w:r>
      <w:r>
        <w:t>g</w:t>
      </w:r>
      <w:r w:rsidRPr="00FA0585">
        <w:rPr>
          <w:lang w:val="ru-RU"/>
        </w:rPr>
        <w:t xml:space="preserve">) из закона изменения импульса. При взятых вертикальной скорости 1.5 м/с, </w:t>
      </w:r>
      <w:proofErr w:type="spellStart"/>
      <w:r>
        <w:t>dt</w:t>
      </w:r>
      <w:proofErr w:type="spellEnd"/>
      <w:r w:rsidRPr="00FA0585">
        <w:rPr>
          <w:lang w:val="ru-RU"/>
        </w:rPr>
        <w:t xml:space="preserve"> 0.1</w:t>
      </w:r>
      <w:proofErr w:type="gramStart"/>
      <w:r w:rsidRPr="00FA0585">
        <w:rPr>
          <w:lang w:val="ru-RU"/>
        </w:rPr>
        <w:t>с</w:t>
      </w:r>
      <w:proofErr w:type="gramEnd"/>
      <w:r w:rsidRPr="00FA0585">
        <w:rPr>
          <w:lang w:val="ru-RU"/>
        </w:rPr>
        <w:t xml:space="preserve"> получается посадочная перегрузка </w:t>
      </w:r>
      <w:r>
        <w:t>n</w:t>
      </w:r>
      <w:r w:rsidRPr="00FA0585">
        <w:rPr>
          <w:lang w:val="ru-RU"/>
        </w:rPr>
        <w:t xml:space="preserve"> = 1.5. </w:t>
      </w:r>
      <w:proofErr w:type="spellStart"/>
      <w:proofErr w:type="gramStart"/>
      <w:r w:rsidR="000F0574">
        <w:t>Отсюда</w:t>
      </w:r>
      <w:proofErr w:type="spellEnd"/>
      <w:r w:rsidR="000F0574">
        <w:t xml:space="preserve"> </w:t>
      </w:r>
      <w:proofErr w:type="spellStart"/>
      <w:r w:rsidR="000F0574">
        <w:t>эксплуатационные</w:t>
      </w:r>
      <w:proofErr w:type="spellEnd"/>
      <w:r w:rsidR="000F0574">
        <w:rPr>
          <w:lang w:val="ru-RU"/>
        </w:rPr>
        <w:t xml:space="preserve"> </w:t>
      </w:r>
      <w:proofErr w:type="spellStart"/>
      <w:r>
        <w:t>на</w:t>
      </w:r>
      <w:r w:rsidR="00393F0B">
        <w:t>грузки</w:t>
      </w:r>
      <w:proofErr w:type="spellEnd"/>
      <w:r w:rsidR="00393F0B">
        <w:t xml:space="preserve"> </w:t>
      </w:r>
      <w:proofErr w:type="spellStart"/>
      <w:r w:rsidR="00393F0B">
        <w:t>оцениваются</w:t>
      </w:r>
      <w:proofErr w:type="spellEnd"/>
      <w:r w:rsidR="00393F0B">
        <w:t xml:space="preserve"> в 0.6 - 2 g.</w:t>
      </w:r>
      <w:proofErr w:type="gramEnd"/>
    </w:p>
    <w:p w:rsidR="009E3402" w:rsidRDefault="008D606E" w:rsidP="008D606E">
      <w:pPr>
        <w:pStyle w:val="2"/>
        <w:rPr>
          <w:lang w:val="ru-RU"/>
        </w:rPr>
      </w:pPr>
      <w:r>
        <w:rPr>
          <w:lang w:val="ru-RU"/>
        </w:rPr>
        <w:t>Оценка времени автономного полета</w:t>
      </w:r>
    </w:p>
    <w:p w:rsidR="008D606E" w:rsidRDefault="00393F0B" w:rsidP="008D606E">
      <w:pPr>
        <w:rPr>
          <w:lang w:val="ru-RU"/>
        </w:rPr>
      </w:pPr>
      <w:r>
        <w:rPr>
          <w:lang w:val="ru-RU"/>
        </w:rPr>
        <w:t>Необходимо было оценить время</w:t>
      </w:r>
      <w:r w:rsidR="00214111">
        <w:rPr>
          <w:lang w:val="ru-RU"/>
        </w:rPr>
        <w:t xml:space="preserve"> автономного полета без подзарядки, рассчитать энергопотребления бортового оборудования.</w:t>
      </w:r>
    </w:p>
    <w:p w:rsidR="00214111" w:rsidRDefault="00214111" w:rsidP="008D606E">
      <w:pPr>
        <w:rPr>
          <w:lang w:val="ru-RU"/>
        </w:rPr>
      </w:pPr>
      <w:r>
        <w:rPr>
          <w:lang w:val="ru-RU"/>
        </w:rPr>
        <w:t>В экспертной оценке указано о неверном определении потребной тяги для крейсерского полета, ошибка в оценке крейсерской скорости</w:t>
      </w:r>
      <w:r w:rsidR="00FF4D7A">
        <w:rPr>
          <w:lang w:val="ru-RU"/>
        </w:rPr>
        <w:t xml:space="preserve"> для выбранной аэродинамической конфигурации и как следствие - неверное решение энергетического расчета, представленного в виде тепловой карты времени автономного полета ЛА</w:t>
      </w:r>
      <w:r w:rsidR="00CA48CD">
        <w:rPr>
          <w:lang w:val="ru-RU"/>
        </w:rPr>
        <w:t>.</w:t>
      </w:r>
    </w:p>
    <w:p w:rsidR="00E01DB4" w:rsidRPr="00AE3AFD" w:rsidRDefault="00CA48CD" w:rsidP="00AE3AFD">
      <w:pPr>
        <w:rPr>
          <w:rFonts w:eastAsiaTheme="minorEastAsia"/>
          <w:lang w:val="ru-RU"/>
        </w:rPr>
      </w:pPr>
      <w:r>
        <w:rPr>
          <w:lang w:val="ru-RU"/>
        </w:rPr>
        <w:t>Оценка крейсерской скорости, приведенная в отчете, действительно, ошибочна и не соответствует выбранным аэродинамической конфигурации и геометрическим характеристикам</w:t>
      </w:r>
      <w:r w:rsidR="00621AF8">
        <w:rPr>
          <w:lang w:val="ru-RU"/>
        </w:rPr>
        <w:t xml:space="preserve">. Правильная оценка - </w:t>
      </w:r>
      <m:oMath>
        <m:r>
          <w:rPr>
            <w:rFonts w:ascii="Cambria Math" w:hAnsi="Cambria Math"/>
            <w:lang w:val="ru-RU"/>
          </w:rPr>
          <m:t>42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D070AC">
        <w:rPr>
          <w:rFonts w:eastAsiaTheme="minorEastAsia"/>
          <w:lang w:val="ru-RU"/>
        </w:rPr>
        <w:t>.</w:t>
      </w:r>
      <w:r w:rsidR="0028284A">
        <w:rPr>
          <w:rFonts w:eastAsiaTheme="minorEastAsia"/>
          <w:lang w:val="ru-RU"/>
        </w:rPr>
        <w:t xml:space="preserve"> Что, конечно, влияет на выбор мотора, его размеров и мощности.</w:t>
      </w:r>
      <w:r w:rsidR="00AD7A93">
        <w:rPr>
          <w:rFonts w:eastAsiaTheme="minorEastAsia"/>
          <w:lang w:val="ru-RU"/>
        </w:rPr>
        <w:t xml:space="preserve"> Однако оценка крейсерской скорости</w:t>
      </w:r>
      <w:r w:rsidR="001D7129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AD7A93">
        <w:rPr>
          <w:rFonts w:eastAsiaTheme="minorEastAsia"/>
          <w:lang w:val="ru-RU"/>
        </w:rPr>
        <w:t>, приведенная в отчете, обусловлена постановкой и требованиями к полетн</w:t>
      </w:r>
      <w:r w:rsidR="001D7129">
        <w:rPr>
          <w:rFonts w:eastAsiaTheme="minorEastAsia"/>
          <w:lang w:val="ru-RU"/>
        </w:rPr>
        <w:t xml:space="preserve">ому заданию и является адекватной. В ходе дальнейшей разработки геометрия ЛА будет приведена к требуемому виду, удовлетворяющему значению крейсерской скорости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830F18">
        <w:rPr>
          <w:rFonts w:eastAsiaTheme="minorEastAsia"/>
          <w:lang w:val="ru-RU"/>
        </w:rPr>
        <w:t xml:space="preserve">. </w:t>
      </w:r>
      <w:r w:rsidR="006874E1">
        <w:rPr>
          <w:rFonts w:eastAsiaTheme="minorEastAsia"/>
          <w:lang w:val="ru-RU"/>
        </w:rPr>
        <w:t>Именно это значение было использовано для оценки времени автономного полета</w:t>
      </w:r>
      <w:r w:rsidR="00E01DB4">
        <w:rPr>
          <w:rFonts w:eastAsiaTheme="minorEastAsia"/>
          <w:lang w:val="ru-RU"/>
        </w:rPr>
        <w:t xml:space="preserve"> ЛА</w:t>
      </w:r>
      <w:r w:rsidR="00E01DB4" w:rsidRPr="00E01DB4">
        <w:rPr>
          <w:rFonts w:eastAsiaTheme="minorEastAsia"/>
          <w:lang w:val="ru-RU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05"/>
      </w:tblGrid>
      <w:tr w:rsidR="00AE3AFD" w:rsidTr="00AE3AFD">
        <w:tc>
          <w:tcPr>
            <w:tcW w:w="9905" w:type="dxa"/>
          </w:tcPr>
          <w:p w:rsidR="00A02943" w:rsidRDefault="00A02943" w:rsidP="00A02943">
            <w:pPr>
              <w:ind w:firstLine="0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Согласно выражению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(№) </w:t>
            </w:r>
            <w:proofErr w:type="gramEnd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оценочное аэродинамическое качество равно. Для оценки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E</m:t>
              </m:r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в зависимости 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от</w:t>
            </w:r>
            <w:proofErr w:type="gramEnd"/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m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p</m:t>
                  </m:r>
                </m:sub>
              </m:sSub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b</m:t>
                  </m:r>
                </m:sub>
              </m:sSub>
            </m:oMath>
            <w:r w:rsidRPr="00AB59CE"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использовалась формула () из </w:t>
            </w:r>
            <w:r w:rsidRPr="00F97E85">
              <w:rPr>
                <w:rFonts w:eastAsia="Times New Roman" w:cs="Times New Roman"/>
                <w:bCs/>
                <w:color w:val="000000" w:themeColor="text1"/>
                <w:lang w:val="ru-RU"/>
              </w:rPr>
              <w:t>[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5</w:t>
            </w:r>
            <w:r w:rsidRPr="00F97E85">
              <w:rPr>
                <w:rFonts w:eastAsia="Times New Roman" w:cs="Times New Roman"/>
                <w:bCs/>
                <w:color w:val="000000" w:themeColor="text1"/>
                <w:lang w:val="ru-RU"/>
              </w:rPr>
              <w:t>].</w:t>
            </w:r>
          </w:p>
          <w:tbl>
            <w:tblPr>
              <w:tblStyle w:val="a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7751"/>
              <w:gridCol w:w="969"/>
            </w:tblGrid>
            <w:tr w:rsidR="00A02943" w:rsidRPr="00166B64" w:rsidTr="00581286">
              <w:tc>
                <w:tcPr>
                  <w:tcW w:w="500" w:type="pct"/>
                  <w:vAlign w:val="center"/>
                </w:tcPr>
                <w:p w:rsid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</w:p>
              </w:tc>
              <w:tc>
                <w:tcPr>
                  <w:tcW w:w="40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lang w:val="ru-RU"/>
                        </w:rPr>
                        <m:t xml:space="preserve">E= 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3.6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gV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m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500" w:type="pct"/>
                  <w:vAlign w:val="center"/>
                </w:tcPr>
                <w:p w:rsidR="00A02943" w:rsidRP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w:r w:rsidRPr="00A02943"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  <w:t>()</w:t>
                  </w:r>
                </w:p>
              </w:tc>
            </w:tr>
          </w:tbl>
          <w:p w:rsidR="00A02943" w:rsidRDefault="00A02943" w:rsidP="00A02943">
            <w:pPr>
              <w:ind w:firstLine="0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С учетом того, что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m=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e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 w:themeColor="text1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lang w:val="ru-RU"/>
                </w:rPr>
                <m:t>=3 кг</m:t>
              </m:r>
            </m:oMath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. и (), </w:t>
            </w:r>
            <w:proofErr w:type="gramStart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из</w:t>
            </w:r>
            <w:proofErr w:type="gramEnd"/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 xml:space="preserve"> () получаем ():</w:t>
            </w:r>
          </w:p>
          <w:tbl>
            <w:tblPr>
              <w:tblStyle w:val="a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7751"/>
              <w:gridCol w:w="969"/>
            </w:tblGrid>
            <w:tr w:rsidR="00A02943" w:rsidTr="00581286">
              <w:tc>
                <w:tcPr>
                  <w:tcW w:w="500" w:type="pct"/>
                  <w:vAlign w:val="center"/>
                </w:tcPr>
                <w:p w:rsidR="00A02943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</w:p>
              </w:tc>
              <w:tc>
                <w:tcPr>
                  <w:tcW w:w="40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lang w:val="ru-RU"/>
                        </w:rPr>
                        <m:t>E= 3.6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D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sb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gV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1.8+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oMath>
                  </m:oMathPara>
                </w:p>
              </w:tc>
              <w:tc>
                <w:tcPr>
                  <w:tcW w:w="500" w:type="pct"/>
                  <w:vAlign w:val="center"/>
                </w:tcPr>
                <w:p w:rsidR="00A02943" w:rsidRPr="00AB59CE" w:rsidRDefault="00A02943" w:rsidP="00581286">
                  <w:pPr>
                    <w:ind w:firstLine="0"/>
                    <w:jc w:val="center"/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</w:pPr>
                  <w:r w:rsidRPr="00AB59CE">
                    <w:rPr>
                      <w:rFonts w:eastAsia="Times New Roman" w:cs="Times New Roman"/>
                      <w:bCs/>
                      <w:color w:val="000000" w:themeColor="text1"/>
                      <w:lang w:val="ru-RU"/>
                    </w:rPr>
                    <w:t>()</w:t>
                  </w:r>
                </w:p>
              </w:tc>
            </w:tr>
          </w:tbl>
          <w:p w:rsidR="00AE3AFD" w:rsidRDefault="00AE3AFD" w:rsidP="00AE3AFD">
            <w:pPr>
              <w:ind w:firstLine="0"/>
              <w:rPr>
                <w:rFonts w:eastAsiaTheme="minorEastAsia"/>
                <w:lang w:val="ru-RU"/>
              </w:rPr>
            </w:pPr>
          </w:p>
        </w:tc>
      </w:tr>
    </w:tbl>
    <w:p w:rsidR="00AE3AFD" w:rsidRDefault="000B181F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Помимо </w:t>
      </w:r>
      <w:r w:rsidR="0018649B">
        <w:rPr>
          <w:rFonts w:eastAsiaTheme="minorEastAsia"/>
          <w:lang w:val="ru-RU"/>
        </w:rPr>
        <w:t xml:space="preserve">скорости необходимо было оценить аэродинамическое качество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18649B">
        <w:rPr>
          <w:rFonts w:eastAsiaTheme="minorEastAsia"/>
          <w:lang w:val="ru-RU"/>
        </w:rPr>
        <w:t>, что было сделано в отчете</w:t>
      </w:r>
      <w:r w:rsidR="00DB6B7F">
        <w:rPr>
          <w:rFonts w:eastAsiaTheme="minorEastAsia"/>
          <w:lang w:val="ru-RU"/>
        </w:rPr>
        <w:t>. Конечно, при изменении геометрически</w:t>
      </w:r>
      <w:r w:rsidR="00B00160">
        <w:rPr>
          <w:rFonts w:eastAsiaTheme="minorEastAsia"/>
          <w:lang w:val="ru-RU"/>
        </w:rPr>
        <w:t>х</w:t>
      </w:r>
      <w:r w:rsidR="00DB6B7F">
        <w:rPr>
          <w:rFonts w:eastAsiaTheme="minorEastAsia"/>
          <w:lang w:val="ru-RU"/>
        </w:rPr>
        <w:t xml:space="preserve"> характеристик ЛА для </w:t>
      </w:r>
      <w:r w:rsidR="00DB6B7F">
        <w:rPr>
          <w:rFonts w:eastAsiaTheme="minorEastAsia"/>
          <w:lang w:val="ru-RU"/>
        </w:rPr>
        <w:lastRenderedPageBreak/>
        <w:t xml:space="preserve">достижения </w:t>
      </w:r>
      <w:r w:rsidR="00B00160">
        <w:rPr>
          <w:rFonts w:eastAsiaTheme="minorEastAsia"/>
          <w:lang w:val="ru-RU"/>
        </w:rPr>
        <w:t>требуемой крейсерской скорости</w:t>
      </w:r>
      <w:r w:rsidR="008B6B99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352AFA">
        <w:rPr>
          <w:rFonts w:eastAsiaTheme="minorEastAsia"/>
          <w:lang w:val="ru-RU"/>
        </w:rPr>
        <w:t>, аэродинамич</w:t>
      </w:r>
      <w:r w:rsidR="00496873">
        <w:rPr>
          <w:rFonts w:eastAsiaTheme="minorEastAsia"/>
          <w:lang w:val="ru-RU"/>
        </w:rPr>
        <w:t xml:space="preserve">еское качество так же изменится, </w:t>
      </w:r>
      <w:r w:rsidR="00D0777A">
        <w:rPr>
          <w:rFonts w:eastAsiaTheme="minorEastAsia"/>
          <w:lang w:val="ru-RU"/>
        </w:rPr>
        <w:t>вследствие</w:t>
      </w:r>
      <w:r w:rsidR="00496873">
        <w:rPr>
          <w:rFonts w:eastAsiaTheme="minorEastAsia"/>
          <w:lang w:val="ru-RU"/>
        </w:rPr>
        <w:t xml:space="preserve"> изменения площади поверхности крыла</w:t>
      </w:r>
      <w:r w:rsidR="00D0777A">
        <w:rPr>
          <w:rFonts w:eastAsiaTheme="minorEastAsia"/>
          <w:lang w:val="ru-RU"/>
        </w:rPr>
        <w:t>.</w:t>
      </w:r>
    </w:p>
    <w:p w:rsidR="00D0777A" w:rsidRDefault="007D7E0D" w:rsidP="00AE3AF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Для того</w:t>
      </w:r>
      <w:r w:rsidR="00D0777A">
        <w:rPr>
          <w:rFonts w:eastAsiaTheme="minorEastAsia"/>
          <w:lang w:val="ru-RU"/>
        </w:rPr>
        <w:t xml:space="preserve"> чтобы показать, что оценка времени автономного полета</w:t>
      </w:r>
      <w:r w:rsidR="008B064C">
        <w:rPr>
          <w:rFonts w:eastAsiaTheme="minorEastAsia"/>
          <w:lang w:val="ru-RU"/>
        </w:rPr>
        <w:t xml:space="preserve"> ЛА, приведен</w:t>
      </w:r>
      <w:r w:rsidR="001055E7">
        <w:rPr>
          <w:rFonts w:eastAsiaTheme="minorEastAsia"/>
          <w:lang w:val="ru-RU"/>
        </w:rPr>
        <w:t xml:space="preserve">ная в отчете, </w:t>
      </w:r>
      <w:r w:rsidR="00745C10">
        <w:rPr>
          <w:rFonts w:eastAsiaTheme="minorEastAsia"/>
          <w:lang w:val="ru-RU"/>
        </w:rPr>
        <w:t xml:space="preserve">правильно отражает порядок величин и эту оценку можно брать во внимание при дальнейшей разработке ЛА, мы оценили относительное изменение </w:t>
      </w:r>
      <m:oMath>
        <m:r>
          <w:rPr>
            <w:rFonts w:ascii="Cambria Math" w:eastAsiaTheme="minorEastAsia" w:hAnsi="Cambria Math"/>
            <w:lang w:val="ru-RU"/>
          </w:rPr>
          <m:t>γ</m:t>
        </m:r>
      </m:oMath>
      <w:r w:rsidR="00EA2946">
        <w:rPr>
          <w:rFonts w:eastAsiaTheme="minorEastAsia"/>
          <w:lang w:val="ru-RU"/>
        </w:rPr>
        <w:t xml:space="preserve"> </w:t>
      </w:r>
      <w:r w:rsidR="00745C10">
        <w:rPr>
          <w:rFonts w:eastAsiaTheme="minorEastAsia"/>
          <w:lang w:val="ru-RU"/>
        </w:rPr>
        <w:t xml:space="preserve">максимального времени полета ЛА 13 минут, приведенного в отчете, при </w:t>
      </w:r>
      <w:r w:rsidR="00CB036E">
        <w:rPr>
          <w:rFonts w:eastAsiaTheme="minorEastAsia"/>
          <w:lang w:val="ru-RU"/>
        </w:rPr>
        <w:t>изменении геометрии крыла для удовлетворения требования к крейсерской скорости</w:t>
      </w:r>
      <w:r w:rsidR="00361F4D">
        <w:rPr>
          <w:rFonts w:eastAsiaTheme="minorEastAsia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60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км</m:t>
            </m:r>
          </m:num>
          <m:den>
            <m:r>
              <w:rPr>
                <w:rFonts w:ascii="Cambria Math" w:hAnsi="Cambria Math"/>
                <w:lang w:val="ru-RU"/>
              </w:rPr>
              <m:t>ч</m:t>
            </m:r>
          </m:den>
        </m:f>
      </m:oMath>
      <w:r w:rsidR="001055E7">
        <w:rPr>
          <w:rFonts w:eastAsiaTheme="minorEastAsia"/>
          <w:lang w:val="ru-RU"/>
        </w:rPr>
        <w:t>.</w:t>
      </w:r>
      <w:r w:rsidR="004F60C3" w:rsidRPr="004F60C3">
        <w:rPr>
          <w:rFonts w:eastAsiaTheme="minorEastAsia"/>
          <w:lang w:val="ru-RU"/>
        </w:rPr>
        <w:t xml:space="preserve"> </w:t>
      </w:r>
      <w:proofErr w:type="gramEnd"/>
    </w:p>
    <w:p w:rsidR="004F60C3" w:rsidRDefault="004F60C3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В геометрии из отчета оценка площади поверхности ЛА, </w:t>
      </w:r>
      <w:proofErr w:type="spellStart"/>
      <w:r>
        <w:rPr>
          <w:rFonts w:eastAsiaTheme="minorEastAsia"/>
          <w:lang w:val="ru-RU"/>
        </w:rPr>
        <w:t>взаимодействуемой</w:t>
      </w:r>
      <w:proofErr w:type="spellEnd"/>
      <w:r>
        <w:rPr>
          <w:rFonts w:eastAsiaTheme="minorEastAsia"/>
          <w:lang w:val="ru-RU"/>
        </w:rPr>
        <w:t xml:space="preserve"> с воздушным потоком, была оценена и составила:</w:t>
      </w:r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4F60C3" w:rsidRPr="00A02943" w:rsidTr="00581286">
        <w:tc>
          <w:tcPr>
            <w:tcW w:w="500" w:type="pct"/>
            <w:vAlign w:val="center"/>
          </w:tcPr>
          <w:p w:rsidR="004F60C3" w:rsidRDefault="004F60C3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4F60C3" w:rsidRPr="00AB59CE" w:rsidRDefault="001B4B14" w:rsidP="004F60C3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wet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=2.5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4F60C3" w:rsidRPr="00A02943" w:rsidRDefault="004F60C3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</w:tr>
    </w:tbl>
    <w:p w:rsidR="00A91894" w:rsidRPr="00F75010" w:rsidRDefault="00A91894" w:rsidP="00F75010">
      <w:pPr>
        <w:ind w:firstLine="0"/>
        <w:rPr>
          <w:rFonts w:eastAsiaTheme="minorEastAsia"/>
        </w:rPr>
      </w:pPr>
    </w:p>
    <w:p w:rsidR="00F75010" w:rsidRDefault="009E41D6" w:rsidP="00F7501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достижения требуемой крейсерской скорости средняя аэродинамическая хорда и размах были выбраны соответственно</w:t>
      </w:r>
      <w:r w:rsidR="0054240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C=0.25 м</m:t>
        </m:r>
      </m:oMath>
      <w:r w:rsidR="00542407">
        <w:rPr>
          <w:rFonts w:eastAsiaTheme="minorEastAsia"/>
          <w:lang w:val="ru-RU"/>
        </w:rPr>
        <w:t xml:space="preserve"> и </w:t>
      </w:r>
      <m:oMath>
        <m:r>
          <w:rPr>
            <w:rFonts w:ascii="Cambria Math" w:eastAsiaTheme="minorEastAsia" w:hAnsi="Cambria Math"/>
            <w:lang w:val="ru-RU"/>
          </w:rPr>
          <m:t>b=2 м</m:t>
        </m:r>
      </m:oMath>
      <w:r w:rsidR="00F75010" w:rsidRPr="00F75010">
        <w:rPr>
          <w:rFonts w:eastAsiaTheme="minorEastAsia"/>
          <w:lang w:val="ru-RU"/>
        </w:rPr>
        <w:t xml:space="preserve">. </w:t>
      </w:r>
      <w:r w:rsidR="00F75010">
        <w:rPr>
          <w:rFonts w:eastAsiaTheme="minorEastAsia"/>
          <w:lang w:val="ru-RU"/>
        </w:rPr>
        <w:t xml:space="preserve">Новому значению площади крыла </w:t>
      </w:r>
      <m:oMath>
        <m:r>
          <w:rPr>
            <w:rFonts w:ascii="Cambria Math" w:eastAsiaTheme="minorEastAsia" w:hAnsi="Cambria Math"/>
            <w:lang w:val="ru-RU"/>
          </w:rPr>
          <m:t xml:space="preserve">S=C∙b=0.5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 w:rsidR="00F75010">
        <w:rPr>
          <w:rFonts w:eastAsiaTheme="minorEastAsia"/>
          <w:lang w:val="ru-RU"/>
        </w:rPr>
        <w:t xml:space="preserve"> соответствуют новые площади поверхностей хвостового оперения, которые были пересчитаны согласно выражениям, приведенным в отчете, и составили:</w:t>
      </w: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5010" w:rsidRPr="00C63100" w:rsidTr="0072795E">
        <w:tc>
          <w:tcPr>
            <w:tcW w:w="500" w:type="pct"/>
            <w:vAlign w:val="center"/>
          </w:tcPr>
          <w:p w:rsidR="00F7501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5010" w:rsidRPr="00F75010" w:rsidRDefault="001B4B14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ht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ht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CS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ht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0.07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F75010" w:rsidRPr="00C6310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1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F75010" w:rsidRDefault="00F75010" w:rsidP="00F75010">
      <w:pPr>
        <w:ind w:firstLine="0"/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F75010" w:rsidRPr="00C63100" w:rsidTr="0072795E">
        <w:tc>
          <w:tcPr>
            <w:tcW w:w="500" w:type="pct"/>
            <w:vAlign w:val="center"/>
          </w:tcPr>
          <w:p w:rsidR="00F7501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F75010" w:rsidRPr="00F75010" w:rsidRDefault="001B4B14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vt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bS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 xml:space="preserve">=0.04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F75010" w:rsidRPr="00C63100" w:rsidRDefault="00F75010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2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F75010" w:rsidRDefault="00F75010" w:rsidP="00DF2D09">
      <w:pPr>
        <w:tabs>
          <w:tab w:val="left" w:pos="1476"/>
        </w:tabs>
        <w:rPr>
          <w:rFonts w:eastAsiaTheme="minorEastAsia"/>
        </w:rPr>
      </w:pPr>
    </w:p>
    <w:p w:rsidR="00DF2D09" w:rsidRDefault="00DF2D09" w:rsidP="00DF2D09">
      <w:pPr>
        <w:tabs>
          <w:tab w:val="left" w:pos="1476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3</w:t>
      </w:r>
      <w:r>
        <w:rPr>
          <w:rFonts w:eastAsiaTheme="minorEastAsia"/>
        </w:rPr>
        <w:t>D</w:t>
      </w:r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модель ЛА была вновь сделана рисунок 1 для оценки нового </w:t>
      </w:r>
      <w:proofErr w:type="gramStart"/>
      <w:r>
        <w:rPr>
          <w:rFonts w:eastAsiaTheme="minorEastAsia"/>
          <w:lang w:val="ru-RU"/>
        </w:rPr>
        <w:t>значения</w:t>
      </w:r>
      <w:proofErr w:type="gramEnd"/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для</w:t>
      </w:r>
      <w:r w:rsidRPr="00DF2D09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wet</m:t>
            </m:r>
          </m:sub>
        </m:sSub>
      </m:oMath>
      <w:r w:rsidRPr="00DF2D09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wet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new</m:t>
            </m:r>
          </m:sup>
        </m:sSubSup>
      </m:oMath>
      <w:r>
        <w:rPr>
          <w:rFonts w:eastAsiaTheme="minorEastAsia"/>
          <w:lang w:val="ru-RU"/>
        </w:rPr>
        <w:t>, которое составило:</w:t>
      </w:r>
    </w:p>
    <w:p w:rsidR="00DF2D09" w:rsidRDefault="00DF2D09" w:rsidP="00DF2D09">
      <w:pPr>
        <w:tabs>
          <w:tab w:val="left" w:pos="1476"/>
        </w:tabs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DF2D09" w:rsidRPr="00C63100" w:rsidTr="0072795E">
        <w:tc>
          <w:tcPr>
            <w:tcW w:w="500" w:type="pct"/>
            <w:vAlign w:val="center"/>
          </w:tcPr>
          <w:p w:rsidR="00DF2D09" w:rsidRDefault="00DF2D09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DF2D09" w:rsidRPr="00DF2D09" w:rsidRDefault="001B4B14" w:rsidP="00DF2D09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wet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new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=2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vt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lang w:val="ru-RU"/>
                          </w:rPr>
                          <m:t>h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+2S+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= 1.42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DF2D09" w:rsidRPr="00C63100" w:rsidRDefault="00DF2D09" w:rsidP="0072795E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3</w:t>
            </w:r>
            <w:r w:rsidRPr="00C63100"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DF2D09" w:rsidRDefault="00DF2D09" w:rsidP="00DF2D09">
      <w:pPr>
        <w:tabs>
          <w:tab w:val="left" w:pos="1476"/>
        </w:tabs>
        <w:ind w:firstLine="0"/>
        <w:rPr>
          <w:rFonts w:eastAsiaTheme="minorEastAsia"/>
          <w:lang w:val="ru-RU"/>
        </w:rPr>
      </w:pPr>
    </w:p>
    <w:p w:rsidR="00DF2D09" w:rsidRDefault="00DF2D09" w:rsidP="00DF2D09">
      <w:pPr>
        <w:tabs>
          <w:tab w:val="left" w:pos="1476"/>
        </w:tabs>
        <w:ind w:firstLine="0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p>
      </m:oMath>
      <w:r w:rsidRPr="00DF2D09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включает площадь фюзеляжа и хвостовой балки.</w:t>
      </w:r>
    </w:p>
    <w:p w:rsidR="00DF2D09" w:rsidRDefault="00DF2D09" w:rsidP="00DF2D09">
      <w:pPr>
        <w:keepNext/>
        <w:tabs>
          <w:tab w:val="left" w:pos="1476"/>
        </w:tabs>
        <w:ind w:firstLine="0"/>
        <w:jc w:val="center"/>
      </w:pPr>
      <w:r>
        <w:rPr>
          <w:rFonts w:eastAsiaTheme="minorEastAsia"/>
          <w:noProof/>
        </w:rPr>
        <w:drawing>
          <wp:inline distT="0" distB="0" distL="0" distR="0" wp14:anchorId="4460D5E2" wp14:editId="51FA26BA">
            <wp:extent cx="3855720" cy="216762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ealPreview2mWingS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804" cy="216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09" w:rsidRPr="00DF2D09" w:rsidRDefault="00DF2D09" w:rsidP="00DF2D09">
      <w:pPr>
        <w:pStyle w:val="ab"/>
        <w:jc w:val="center"/>
        <w:rPr>
          <w:rFonts w:eastAsiaTheme="minorEastAsia"/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 1</w:t>
      </w:r>
      <w:r w:rsidRPr="00DF2D09">
        <w:rPr>
          <w:color w:val="000000" w:themeColor="text1"/>
          <w:sz w:val="24"/>
          <w:lang w:val="ru-RU"/>
        </w:rPr>
        <w:t>. К оценке площади поверхности ЛА</w:t>
      </w:r>
    </w:p>
    <w:p w:rsidR="00CD5151" w:rsidRDefault="00DF2D09" w:rsidP="00AE3AF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Тогда согласно (3</w:t>
      </w:r>
      <w:r w:rsidR="00EB7651">
        <w:rPr>
          <w:rFonts w:eastAsiaTheme="minorEastAsia"/>
          <w:lang w:val="ru-RU"/>
        </w:rPr>
        <w:t>)</w:t>
      </w:r>
      <w:r w:rsidR="00B43CB6">
        <w:rPr>
          <w:rFonts w:eastAsiaTheme="minorEastAsia"/>
          <w:lang w:val="ru-RU"/>
        </w:rPr>
        <w:t xml:space="preserve"> и новым значениям </w:t>
      </w:r>
      <m:oMath>
        <m:r>
          <w:rPr>
            <w:rFonts w:ascii="Cambria Math" w:eastAsiaTheme="minorEastAsia" w:hAnsi="Cambria Math"/>
            <w:lang w:val="ru-RU"/>
          </w:rPr>
          <m:t>C</m:t>
        </m:r>
      </m:oMath>
      <w:r w:rsidR="00B43CB6" w:rsidRPr="00B43CB6">
        <w:rPr>
          <w:rFonts w:eastAsiaTheme="minorEastAsia"/>
          <w:lang w:val="ru-RU"/>
        </w:rPr>
        <w:t xml:space="preserve"> </w:t>
      </w:r>
      <w:r w:rsidR="00B43CB6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b</m:t>
        </m:r>
      </m:oMath>
      <w:r w:rsidR="00B43CB6" w:rsidRPr="00B43CB6">
        <w:rPr>
          <w:rFonts w:eastAsiaTheme="minorEastAsia"/>
          <w:lang w:val="ru-RU"/>
        </w:rPr>
        <w:t xml:space="preserve"> </w:t>
      </w:r>
      <w:r w:rsidR="00B43CB6">
        <w:rPr>
          <w:rFonts w:eastAsiaTheme="minorEastAsia"/>
          <w:lang w:val="ru-RU"/>
        </w:rPr>
        <w:t xml:space="preserve">получаем оценку для нового значения аэродинамического качества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6E0B47" w:rsidRPr="006E0B47">
        <w:rPr>
          <w:rFonts w:eastAsiaTheme="minorEastAsia"/>
          <w:lang w:val="ru-RU"/>
        </w:rPr>
        <w:t xml:space="preserve"> </w:t>
      </w:r>
      <w:r w:rsidR="006E0B47">
        <w:rPr>
          <w:rFonts w:eastAsiaTheme="minorEastAsia"/>
          <w:lang w:val="ru-RU"/>
        </w:rPr>
        <w:t>из выражения, которое было приведено в отчете:</w:t>
      </w:r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6E0B47" w:rsidRPr="00A02943" w:rsidTr="00581286">
        <w:tc>
          <w:tcPr>
            <w:tcW w:w="500" w:type="pct"/>
            <w:vAlign w:val="center"/>
          </w:tcPr>
          <w:p w:rsidR="006E0B47" w:rsidRDefault="006E0B47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6E0B47" w:rsidRPr="00DF2D09" w:rsidRDefault="001B4B14" w:rsidP="00F75010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D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=9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C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)</m:t>
                        </m:r>
                      </m:num>
                      <m:den>
                        <m:f>
                          <m:fPr>
                            <m:type m:val="lin"/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bCs/>
                                    <w:i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wet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</w:rPr>
                                  <m:t>new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</w:rPr>
                              <m:t>S</m:t>
                            </m:r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=15</m:t>
                </m:r>
              </m:oMath>
            </m:oMathPara>
          </w:p>
        </w:tc>
        <w:tc>
          <w:tcPr>
            <w:tcW w:w="500" w:type="pct"/>
            <w:vAlign w:val="center"/>
          </w:tcPr>
          <w:p w:rsidR="006E0B47" w:rsidRPr="00A02943" w:rsidRDefault="006E0B47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A23655">
              <w:rPr>
                <w:rFonts w:eastAsia="Times New Roman" w:cs="Times New Roman"/>
                <w:bCs/>
                <w:color w:val="000000" w:themeColor="text1"/>
              </w:rPr>
              <w:t>4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A91894" w:rsidRDefault="00A91894" w:rsidP="00AE3AFD">
      <w:pPr>
        <w:rPr>
          <w:rFonts w:eastAsiaTheme="minorEastAsia"/>
          <w:lang w:val="ru-RU"/>
        </w:rPr>
      </w:pPr>
    </w:p>
    <w:p w:rsidR="006E0B47" w:rsidRDefault="00A16BF9" w:rsidP="00AE3AFD">
      <w:pPr>
        <w:rPr>
          <w:rFonts w:eastAsiaTheme="minorEastAsia"/>
          <w:lang w:val="ru-RU"/>
        </w:rPr>
      </w:pPr>
      <w:proofErr w:type="gramStart"/>
      <w:r>
        <w:rPr>
          <w:rFonts w:eastAsiaTheme="minorEastAsia"/>
          <w:lang w:val="ru-RU"/>
        </w:rPr>
        <w:t>Тогда в</w:t>
      </w:r>
      <w:r w:rsidR="00035AC5">
        <w:rPr>
          <w:rFonts w:eastAsiaTheme="minorEastAsia"/>
          <w:lang w:val="ru-RU"/>
        </w:rPr>
        <w:t>новь про</w:t>
      </w:r>
      <w:r>
        <w:rPr>
          <w:rFonts w:eastAsiaTheme="minorEastAsia"/>
          <w:lang w:val="ru-RU"/>
        </w:rPr>
        <w:t>водя</w:t>
      </w:r>
      <w:r w:rsidR="00035AC5">
        <w:rPr>
          <w:rFonts w:eastAsiaTheme="minorEastAsia"/>
          <w:lang w:val="ru-RU"/>
        </w:rPr>
        <w:t xml:space="preserve"> вычисления для времени автономного полета ЛА</w:t>
      </w:r>
      <w:r>
        <w:rPr>
          <w:rFonts w:eastAsiaTheme="minorEastAsia"/>
          <w:lang w:val="ru-RU"/>
        </w:rPr>
        <w:t xml:space="preserve"> </w:t>
      </w:r>
      <w:r w:rsidR="00035AC5">
        <w:rPr>
          <w:rFonts w:eastAsiaTheme="minorEastAsia"/>
          <w:lang w:val="ru-RU"/>
        </w:rPr>
        <w:t xml:space="preserve">по формуле, приведенной в отчете, для массы полезной нагрузки в </w:t>
      </w:r>
      <m:oMath>
        <m:r>
          <w:rPr>
            <w:rFonts w:ascii="Cambria Math" w:eastAsiaTheme="minorEastAsia" w:hAnsi="Cambria Math"/>
            <w:lang w:val="ru-RU"/>
          </w:rPr>
          <m:t>0.5 кг</m:t>
        </m:r>
      </m:oMath>
      <w:r w:rsidR="00B446D7">
        <w:rPr>
          <w:rFonts w:eastAsiaTheme="minorEastAsia"/>
          <w:lang w:val="ru-RU"/>
        </w:rPr>
        <w:t xml:space="preserve"> и теми же значениями КПД для мотора и бортового оборудования</w:t>
      </w:r>
      <w:r w:rsidR="00F724E8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  <w:r w:rsidR="00F724E8" w:rsidRPr="000E11A7">
        <w:rPr>
          <w:rFonts w:eastAsiaTheme="minorEastAsia"/>
          <w:lang w:val="ru-RU"/>
        </w:rPr>
        <w:t xml:space="preserve"> </w:t>
      </w:r>
      <w:r w:rsidR="00F724E8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η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="00F724E8">
        <w:rPr>
          <w:rFonts w:eastAsiaTheme="minorEastAsia"/>
          <w:lang w:val="ru-RU"/>
        </w:rPr>
        <w:t xml:space="preserve"> соответственно; которые не изменяются, так как, несмотря на то, что выбор мотора был ошибочен, иной мотор будет иметь КПД сопоставимый с выбранным, как и все </w:t>
      </w:r>
      <w:proofErr w:type="spellStart"/>
      <w:r w:rsidR="00F724E8">
        <w:rPr>
          <w:rFonts w:eastAsiaTheme="minorEastAsia"/>
          <w:lang w:val="ru-RU"/>
        </w:rPr>
        <w:t>бесколлекторные</w:t>
      </w:r>
      <w:proofErr w:type="spellEnd"/>
      <w:r w:rsidR="00F724E8">
        <w:rPr>
          <w:rFonts w:eastAsiaTheme="minorEastAsia"/>
          <w:lang w:val="ru-RU"/>
        </w:rPr>
        <w:t xml:space="preserve"> моторы.</w:t>
      </w:r>
      <w:proofErr w:type="gramEnd"/>
    </w:p>
    <w:p w:rsidR="00A91894" w:rsidRDefault="00A91894" w:rsidP="00AE3AFD">
      <w:pPr>
        <w:rPr>
          <w:rFonts w:eastAsiaTheme="minorEastAsia"/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7C34D6" w:rsidRPr="00A02943" w:rsidTr="00581286">
        <w:tc>
          <w:tcPr>
            <w:tcW w:w="500" w:type="pct"/>
            <w:vAlign w:val="center"/>
          </w:tcPr>
          <w:p w:rsidR="007C34D6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7C34D6" w:rsidRPr="007C34D6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E= 3.6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D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gV</m:t>
                    </m:r>
                  </m:den>
                </m:f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1.8+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C34D6" w:rsidRPr="00A02943" w:rsidRDefault="007C34D6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A23655">
              <w:rPr>
                <w:rFonts w:eastAsia="Times New Roman" w:cs="Times New Roman"/>
                <w:bCs/>
                <w:color w:val="000000" w:themeColor="text1"/>
              </w:rPr>
              <w:t>5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2874D5" w:rsidRDefault="0071221C" w:rsidP="002874D5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143500" cy="3663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LiIonAppe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161" cy="366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6" w:rsidRDefault="00DF2D09" w:rsidP="002874D5">
      <w:pPr>
        <w:pStyle w:val="ab"/>
        <w:jc w:val="center"/>
        <w:rPr>
          <w:color w:val="auto"/>
          <w:sz w:val="24"/>
          <w:lang w:val="ru-RU"/>
        </w:rPr>
      </w:pPr>
      <w:r>
        <w:rPr>
          <w:color w:val="auto"/>
          <w:sz w:val="24"/>
          <w:lang w:val="ru-RU"/>
        </w:rPr>
        <w:t xml:space="preserve">Рисунок </w:t>
      </w:r>
      <w:r w:rsidRPr="00DF2D09">
        <w:rPr>
          <w:color w:val="auto"/>
          <w:sz w:val="24"/>
          <w:lang w:val="ru-RU"/>
        </w:rPr>
        <w:t>2</w:t>
      </w:r>
      <w:r w:rsidR="002874D5" w:rsidRPr="002874D5">
        <w:rPr>
          <w:color w:val="auto"/>
          <w:sz w:val="24"/>
          <w:lang w:val="ru-RU"/>
        </w:rPr>
        <w:t>. Оценка времени автономного полета</w:t>
      </w:r>
    </w:p>
    <w:p w:rsidR="005B5B45" w:rsidRDefault="005B5B45" w:rsidP="005B5B45">
      <w:pPr>
        <w:rPr>
          <w:lang w:val="ru-RU"/>
        </w:rPr>
      </w:pPr>
      <w:r>
        <w:rPr>
          <w:lang w:val="ru-RU"/>
        </w:rPr>
        <w:t xml:space="preserve">Как видно из </w:t>
      </w:r>
      <w:r w:rsidR="00330B1D">
        <w:rPr>
          <w:lang w:val="ru-RU"/>
        </w:rPr>
        <w:t>графика</w:t>
      </w:r>
      <w:r w:rsidR="00330B1D" w:rsidRPr="00330B1D">
        <w:rPr>
          <w:lang w:val="ru-RU"/>
        </w:rPr>
        <w:t xml:space="preserve">, </w:t>
      </w:r>
      <w:r w:rsidR="00A23655">
        <w:rPr>
          <w:lang w:val="ru-RU"/>
        </w:rPr>
        <w:t>приведенного</w:t>
      </w:r>
      <w:r>
        <w:rPr>
          <w:lang w:val="ru-RU"/>
        </w:rPr>
        <w:t xml:space="preserve"> выше на </w:t>
      </w:r>
      <w:r w:rsidR="00DF2D09">
        <w:rPr>
          <w:lang w:val="ru-RU"/>
        </w:rPr>
        <w:t xml:space="preserve">рисунке </w:t>
      </w:r>
      <w:r w:rsidR="00DF2D09" w:rsidRPr="00DF2D09">
        <w:rPr>
          <w:lang w:val="ru-RU"/>
        </w:rPr>
        <w:t>2</w:t>
      </w:r>
      <w:r>
        <w:rPr>
          <w:lang w:val="ru-RU"/>
        </w:rPr>
        <w:t>, оценочное время автономного полета при новых геометрических</w:t>
      </w:r>
      <w:r w:rsidR="0071221C">
        <w:rPr>
          <w:lang w:val="ru-RU"/>
        </w:rPr>
        <w:t xml:space="preserve"> характеристиках ЛА составило 1</w:t>
      </w:r>
      <w:r w:rsidR="0071221C" w:rsidRPr="0071221C">
        <w:rPr>
          <w:lang w:val="ru-RU"/>
        </w:rPr>
        <w:t>3</w:t>
      </w:r>
      <w:r w:rsidR="0071221C">
        <w:rPr>
          <w:lang w:val="ru-RU"/>
        </w:rPr>
        <w:t>.</w:t>
      </w:r>
      <w:r w:rsidR="0071221C" w:rsidRPr="0071221C">
        <w:rPr>
          <w:lang w:val="ru-RU"/>
        </w:rPr>
        <w:t>9</w:t>
      </w:r>
      <w:r>
        <w:rPr>
          <w:lang w:val="ru-RU"/>
        </w:rPr>
        <w:t xml:space="preserve"> мин</w:t>
      </w:r>
      <w:r w:rsidR="0069517E">
        <w:rPr>
          <w:lang w:val="ru-RU"/>
        </w:rPr>
        <w:t>уты</w:t>
      </w:r>
      <w:r w:rsidR="00EA2946">
        <w:rPr>
          <w:lang w:val="ru-RU"/>
        </w:rPr>
        <w:t xml:space="preserve">. То есть </w:t>
      </w:r>
      <w:r w:rsidR="000C0687">
        <w:rPr>
          <w:lang w:val="ru-RU"/>
        </w:rPr>
        <w:t xml:space="preserve">относительное </w:t>
      </w:r>
      <w:r w:rsidR="00564B7E">
        <w:rPr>
          <w:lang w:val="ru-RU"/>
        </w:rPr>
        <w:t xml:space="preserve">изменение времени полета в новой конфигурации по сравнению </w:t>
      </w:r>
      <w:proofErr w:type="gramStart"/>
      <w:r w:rsidR="00564B7E">
        <w:rPr>
          <w:lang w:val="ru-RU"/>
        </w:rPr>
        <w:t>с</w:t>
      </w:r>
      <w:proofErr w:type="gramEnd"/>
      <w:r w:rsidR="00564B7E">
        <w:rPr>
          <w:lang w:val="ru-RU"/>
        </w:rPr>
        <w:t xml:space="preserve"> приведенной в отчете составило:</w:t>
      </w:r>
    </w:p>
    <w:p w:rsidR="00A91894" w:rsidRDefault="00A91894" w:rsidP="005B5B45">
      <w:pPr>
        <w:rPr>
          <w:lang w:val="ru-RU"/>
        </w:rPr>
      </w:pPr>
    </w:p>
    <w:tbl>
      <w:tblPr>
        <w:tblStyle w:val="a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7924"/>
        <w:gridCol w:w="991"/>
      </w:tblGrid>
      <w:tr w:rsidR="00892AB9" w:rsidRPr="00A02943" w:rsidTr="00581286">
        <w:tc>
          <w:tcPr>
            <w:tcW w:w="500" w:type="pct"/>
            <w:vAlign w:val="center"/>
          </w:tcPr>
          <w:p w:rsidR="00892AB9" w:rsidRDefault="00892AB9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</w:p>
        </w:tc>
        <w:tc>
          <w:tcPr>
            <w:tcW w:w="4000" w:type="pct"/>
            <w:vAlign w:val="center"/>
          </w:tcPr>
          <w:p w:rsidR="00892AB9" w:rsidRPr="0071221C" w:rsidRDefault="00892AB9" w:rsidP="00892AB9">
            <w:pPr>
              <w:ind w:firstLine="0"/>
              <w:jc w:val="center"/>
              <w:rPr>
                <w:rFonts w:eastAsia="Times New Roman" w:cs="Times New Roman"/>
                <w:bCs/>
                <w:i/>
                <w:color w:val="000000" w:themeColor="text1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 xml:space="preserve">γ=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000000" w:themeColor="text1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13.9-13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lang w:val="ru-RU"/>
                      </w:rPr>
                      <m:t>13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lang w:val="ru-RU"/>
                  </w:rPr>
                  <m:t>≈0.07</m:t>
                </m:r>
              </m:oMath>
            </m:oMathPara>
          </w:p>
        </w:tc>
        <w:tc>
          <w:tcPr>
            <w:tcW w:w="500" w:type="pct"/>
            <w:vAlign w:val="center"/>
          </w:tcPr>
          <w:p w:rsidR="00892AB9" w:rsidRPr="00A02943" w:rsidRDefault="00892AB9" w:rsidP="00581286">
            <w:pPr>
              <w:ind w:firstLine="0"/>
              <w:jc w:val="center"/>
              <w:rPr>
                <w:rFonts w:eastAsia="Times New Roman" w:cs="Times New Roman"/>
                <w:bCs/>
                <w:color w:val="000000" w:themeColor="text1"/>
                <w:lang w:val="ru-RU"/>
              </w:rPr>
            </w:pP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(</w:t>
            </w:r>
            <w:r w:rsidR="00166B64">
              <w:rPr>
                <w:rFonts w:eastAsia="Times New Roman" w:cs="Times New Roman"/>
                <w:bCs/>
                <w:color w:val="000000" w:themeColor="text1"/>
                <w:lang w:val="ru-RU"/>
              </w:rPr>
              <w:t>6</w:t>
            </w:r>
            <w:r>
              <w:rPr>
                <w:rFonts w:eastAsia="Times New Roman" w:cs="Times New Roman"/>
                <w:bCs/>
                <w:color w:val="000000" w:themeColor="text1"/>
                <w:lang w:val="ru-RU"/>
              </w:rPr>
              <w:t>)</w:t>
            </w:r>
          </w:p>
        </w:tc>
      </w:tr>
    </w:tbl>
    <w:p w:rsidR="00A91894" w:rsidRDefault="00A91894" w:rsidP="005B5B45">
      <w:pPr>
        <w:rPr>
          <w:lang w:val="ru-RU"/>
        </w:rPr>
      </w:pPr>
    </w:p>
    <w:p w:rsidR="00564B7E" w:rsidRPr="005B5B45" w:rsidRDefault="000175F5" w:rsidP="005B5B45">
      <w:pPr>
        <w:rPr>
          <w:lang w:val="ru-RU"/>
        </w:rPr>
      </w:pPr>
      <w:r>
        <w:rPr>
          <w:lang w:val="ru-RU"/>
        </w:rPr>
        <w:t xml:space="preserve">На основании приведенных </w:t>
      </w:r>
      <w:r w:rsidR="006C2852">
        <w:rPr>
          <w:lang w:val="ru-RU"/>
        </w:rPr>
        <w:t>выкладок</w:t>
      </w:r>
      <w:r w:rsidR="008967C8">
        <w:rPr>
          <w:lang w:val="ru-RU"/>
        </w:rPr>
        <w:t xml:space="preserve"> </w:t>
      </w:r>
      <w:bookmarkStart w:id="0" w:name="_GoBack"/>
      <w:bookmarkEnd w:id="0"/>
      <w:r w:rsidR="004A1DE1">
        <w:rPr>
          <w:lang w:val="ru-RU"/>
        </w:rPr>
        <w:t>(1) – (6)</w:t>
      </w:r>
      <w:r>
        <w:rPr>
          <w:lang w:val="ru-RU"/>
        </w:rPr>
        <w:t xml:space="preserve">, мы считаем, что ошибка в </w:t>
      </w:r>
      <m:oMath>
        <m:r>
          <w:rPr>
            <w:rFonts w:ascii="Cambria Math" w:hAnsi="Cambria Math"/>
            <w:lang w:val="ru-RU"/>
          </w:rPr>
          <m:t>7%</m:t>
        </m:r>
      </m:oMath>
      <w:r>
        <w:rPr>
          <w:rFonts w:eastAsiaTheme="minorEastAsia"/>
          <w:lang w:val="ru-RU"/>
        </w:rPr>
        <w:t xml:space="preserve"> не является существенной для оценки времени автономного полета и </w:t>
      </w:r>
      <w:r w:rsidR="00E409F2">
        <w:rPr>
          <w:rFonts w:eastAsiaTheme="minorEastAsia"/>
          <w:lang w:val="ru-RU"/>
        </w:rPr>
        <w:t>те данные, что приведены в отчете, могут быть использованы для дальнейшей оценки в процессе разработки и являются адекватными.</w:t>
      </w:r>
      <w:r w:rsidR="00324CEA">
        <w:rPr>
          <w:rFonts w:eastAsiaTheme="minorEastAsia"/>
          <w:lang w:val="ru-RU"/>
        </w:rPr>
        <w:t xml:space="preserve"> </w:t>
      </w:r>
      <w:r w:rsidR="00812B47">
        <w:rPr>
          <w:rFonts w:eastAsiaTheme="minorEastAsia"/>
          <w:lang w:val="ru-RU"/>
        </w:rPr>
        <w:t>Просим рассмотреть наше несогласие с оценкой, касающейся</w:t>
      </w:r>
      <w:r w:rsidR="00105F32">
        <w:rPr>
          <w:rFonts w:eastAsiaTheme="minorEastAsia"/>
          <w:lang w:val="ru-RU"/>
        </w:rPr>
        <w:t xml:space="preserve"> </w:t>
      </w:r>
      <w:r w:rsidR="00812B47">
        <w:rPr>
          <w:rFonts w:eastAsiaTheme="minorEastAsia"/>
          <w:lang w:val="ru-RU"/>
        </w:rPr>
        <w:t>следующего</w:t>
      </w:r>
      <w:r w:rsidR="00105F32">
        <w:rPr>
          <w:rFonts w:eastAsiaTheme="minorEastAsia"/>
          <w:lang w:val="ru-RU"/>
        </w:rPr>
        <w:t xml:space="preserve"> пункта: «</w:t>
      </w:r>
      <w:r w:rsidR="00105F32" w:rsidRPr="00105F32">
        <w:rPr>
          <w:lang w:val="ru-RU"/>
        </w:rPr>
        <w:t>БО: Расчёт электропотребления бортового оборудования и расчёт времени автономного полёта без подзарядки</w:t>
      </w:r>
      <w:r w:rsidR="00812B47">
        <w:rPr>
          <w:rFonts w:eastAsiaTheme="minorEastAsia"/>
          <w:lang w:val="ru-RU"/>
        </w:rPr>
        <w:t>»</w:t>
      </w:r>
    </w:p>
    <w:sectPr w:rsidR="00564B7E" w:rsidRPr="005B5B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">
    <w:nsid w:val="36F80248"/>
    <w:multiLevelType w:val="hybridMultilevel"/>
    <w:tmpl w:val="71B496A8"/>
    <w:lvl w:ilvl="0" w:tplc="C6ECC816">
      <w:start w:val="1"/>
      <w:numFmt w:val="decimal"/>
      <w:pStyle w:val="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47"/>
    <w:rsid w:val="00000839"/>
    <w:rsid w:val="000175F5"/>
    <w:rsid w:val="00035AC5"/>
    <w:rsid w:val="00055E03"/>
    <w:rsid w:val="000605B3"/>
    <w:rsid w:val="000933FB"/>
    <w:rsid w:val="000B181F"/>
    <w:rsid w:val="000B5C4E"/>
    <w:rsid w:val="000C0687"/>
    <w:rsid w:val="000C6EE5"/>
    <w:rsid w:val="000F0574"/>
    <w:rsid w:val="001055E7"/>
    <w:rsid w:val="00105F32"/>
    <w:rsid w:val="00162903"/>
    <w:rsid w:val="0016563F"/>
    <w:rsid w:val="00166B64"/>
    <w:rsid w:val="001767D5"/>
    <w:rsid w:val="0018649B"/>
    <w:rsid w:val="001B4B14"/>
    <w:rsid w:val="001D7129"/>
    <w:rsid w:val="00214111"/>
    <w:rsid w:val="00215F59"/>
    <w:rsid w:val="00281DB3"/>
    <w:rsid w:val="0028284A"/>
    <w:rsid w:val="002874D5"/>
    <w:rsid w:val="00313F5C"/>
    <w:rsid w:val="00324CEA"/>
    <w:rsid w:val="00330B1D"/>
    <w:rsid w:val="00333730"/>
    <w:rsid w:val="00334F64"/>
    <w:rsid w:val="00352AFA"/>
    <w:rsid w:val="00361F4D"/>
    <w:rsid w:val="00393F0B"/>
    <w:rsid w:val="003A6EAC"/>
    <w:rsid w:val="003B5152"/>
    <w:rsid w:val="003D7E46"/>
    <w:rsid w:val="00441C50"/>
    <w:rsid w:val="0045562A"/>
    <w:rsid w:val="00462783"/>
    <w:rsid w:val="00496873"/>
    <w:rsid w:val="0049781A"/>
    <w:rsid w:val="004A1DE1"/>
    <w:rsid w:val="004F60C3"/>
    <w:rsid w:val="004F61A1"/>
    <w:rsid w:val="00542407"/>
    <w:rsid w:val="00552D1F"/>
    <w:rsid w:val="00553C3D"/>
    <w:rsid w:val="00564B7E"/>
    <w:rsid w:val="00576463"/>
    <w:rsid w:val="005B5B45"/>
    <w:rsid w:val="00621AF8"/>
    <w:rsid w:val="00666A4F"/>
    <w:rsid w:val="006874E1"/>
    <w:rsid w:val="0069517E"/>
    <w:rsid w:val="006C2852"/>
    <w:rsid w:val="006E0B47"/>
    <w:rsid w:val="0071221C"/>
    <w:rsid w:val="00716DB4"/>
    <w:rsid w:val="007238B4"/>
    <w:rsid w:val="00745C10"/>
    <w:rsid w:val="007868B5"/>
    <w:rsid w:val="007C34D6"/>
    <w:rsid w:val="007D7E0D"/>
    <w:rsid w:val="00812B47"/>
    <w:rsid w:val="00830F18"/>
    <w:rsid w:val="00892AB9"/>
    <w:rsid w:val="00894685"/>
    <w:rsid w:val="008967C8"/>
    <w:rsid w:val="008B064C"/>
    <w:rsid w:val="008B6B99"/>
    <w:rsid w:val="008D606E"/>
    <w:rsid w:val="009A6D1A"/>
    <w:rsid w:val="009D4E43"/>
    <w:rsid w:val="009E3402"/>
    <w:rsid w:val="009E41D6"/>
    <w:rsid w:val="009F1022"/>
    <w:rsid w:val="009F55BD"/>
    <w:rsid w:val="00A02943"/>
    <w:rsid w:val="00A16BF9"/>
    <w:rsid w:val="00A23655"/>
    <w:rsid w:val="00A4360C"/>
    <w:rsid w:val="00A81A34"/>
    <w:rsid w:val="00A91894"/>
    <w:rsid w:val="00A97547"/>
    <w:rsid w:val="00AD7A93"/>
    <w:rsid w:val="00AE3AFD"/>
    <w:rsid w:val="00B00160"/>
    <w:rsid w:val="00B009EF"/>
    <w:rsid w:val="00B43CB6"/>
    <w:rsid w:val="00B446D7"/>
    <w:rsid w:val="00B73D42"/>
    <w:rsid w:val="00B955E7"/>
    <w:rsid w:val="00BC1B7E"/>
    <w:rsid w:val="00CA48CD"/>
    <w:rsid w:val="00CB036E"/>
    <w:rsid w:val="00CD5151"/>
    <w:rsid w:val="00D070AC"/>
    <w:rsid w:val="00D0777A"/>
    <w:rsid w:val="00D15C83"/>
    <w:rsid w:val="00D379DE"/>
    <w:rsid w:val="00D71A86"/>
    <w:rsid w:val="00D94D17"/>
    <w:rsid w:val="00DB6B7F"/>
    <w:rsid w:val="00DF2D09"/>
    <w:rsid w:val="00DF66AB"/>
    <w:rsid w:val="00E01DB4"/>
    <w:rsid w:val="00E409F2"/>
    <w:rsid w:val="00E543F2"/>
    <w:rsid w:val="00EA2946"/>
    <w:rsid w:val="00EB7651"/>
    <w:rsid w:val="00F724E8"/>
    <w:rsid w:val="00F75010"/>
    <w:rsid w:val="00FA0585"/>
    <w:rsid w:val="00FE1B4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DF66AB"/>
    <w:pPr>
      <w:numPr>
        <w:numId w:val="0"/>
      </w:numPr>
      <w:kinsoku w:val="0"/>
      <w:ind w:left="1006" w:hanging="36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66AB"/>
    <w:pPr>
      <w:keepNext/>
      <w:keepLines/>
      <w:numPr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7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DF66AB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F59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3373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3337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333730"/>
    <w:rPr>
      <w:i/>
      <w:iCs/>
      <w:color w:val="808080" w:themeColor="text1" w:themeTint="7F"/>
    </w:rPr>
  </w:style>
  <w:style w:type="character" w:styleId="a7">
    <w:name w:val="Placeholder Text"/>
    <w:basedOn w:val="a0"/>
    <w:uiPriority w:val="99"/>
    <w:semiHidden/>
    <w:rsid w:val="000933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933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33F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E01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2874D5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DF66AB"/>
    <w:pPr>
      <w:numPr>
        <w:numId w:val="0"/>
      </w:numPr>
      <w:kinsoku w:val="0"/>
      <w:ind w:left="1006" w:hanging="36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F66AB"/>
    <w:pPr>
      <w:keepNext/>
      <w:keepLines/>
      <w:numPr>
        <w:numId w:val="3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37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DF66AB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F59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333730"/>
    <w:rPr>
      <w:rFonts w:asciiTheme="majorHAnsi" w:eastAsiaTheme="majorEastAsia" w:hAnsiTheme="majorHAnsi" w:cstheme="majorBidi"/>
      <w:b/>
      <w:bCs/>
      <w:color w:val="4F81BD" w:themeColor="accent1"/>
      <w:sz w:val="24"/>
      <w:lang w:eastAsia="en-US"/>
    </w:rPr>
  </w:style>
  <w:style w:type="paragraph" w:styleId="a4">
    <w:name w:val="Title"/>
    <w:basedOn w:val="a"/>
    <w:next w:val="a"/>
    <w:link w:val="a5"/>
    <w:uiPriority w:val="10"/>
    <w:qFormat/>
    <w:rsid w:val="003337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337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a6">
    <w:name w:val="Subtle Emphasis"/>
    <w:basedOn w:val="a0"/>
    <w:uiPriority w:val="19"/>
    <w:qFormat/>
    <w:rsid w:val="00333730"/>
    <w:rPr>
      <w:i/>
      <w:iCs/>
      <w:color w:val="808080" w:themeColor="text1" w:themeTint="7F"/>
    </w:rPr>
  </w:style>
  <w:style w:type="character" w:styleId="a7">
    <w:name w:val="Placeholder Text"/>
    <w:basedOn w:val="a0"/>
    <w:uiPriority w:val="99"/>
    <w:semiHidden/>
    <w:rsid w:val="000933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933F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33FB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E01D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uiPriority w:val="35"/>
    <w:unhideWhenUsed/>
    <w:qFormat/>
    <w:rsid w:val="002874D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7D7B8-D634-4DE8-AB17-84FB37924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114</cp:revision>
  <cp:lastPrinted>2024-05-19T13:10:00Z</cp:lastPrinted>
  <dcterms:created xsi:type="dcterms:W3CDTF">2024-05-19T09:53:00Z</dcterms:created>
  <dcterms:modified xsi:type="dcterms:W3CDTF">2024-05-19T13:10:00Z</dcterms:modified>
</cp:coreProperties>
</file>