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8A5D89" w:rsidP="008A5D89">
      <w:pPr>
        <w:pStyle w:val="1"/>
      </w:pPr>
      <w:bookmarkStart w:id="0" w:name="_GoBack"/>
      <w:bookmarkEnd w:id="0"/>
      <w:r>
        <w:t>Силовая установка</w:t>
      </w:r>
    </w:p>
    <w:p w:rsidR="008A5D89" w:rsidRDefault="008A5D89" w:rsidP="008A5D89">
      <w:pPr>
        <w:pStyle w:val="11"/>
      </w:pPr>
      <w:r>
        <w:t xml:space="preserve">Выбор </w:t>
      </w:r>
      <w:r w:rsidR="00B54F08">
        <w:t>воздушного винта</w:t>
      </w:r>
    </w:p>
    <w:p w:rsidR="008A5D89" w:rsidRDefault="008A5D89" w:rsidP="008A5D89">
      <w:pPr>
        <w:rPr>
          <w:lang w:val="ru-RU"/>
        </w:rPr>
      </w:pPr>
      <w:r>
        <w:rPr>
          <w:lang w:val="ru-RU"/>
        </w:rPr>
        <w:t xml:space="preserve">Подход к выбору формы и размера пропеллера основан на экспериментальных данных, полученных при испытании </w:t>
      </w:r>
      <w:r w:rsidR="001D0AB7">
        <w:rPr>
          <w:lang w:val="ru-RU"/>
        </w:rPr>
        <w:t>воздушных винтов</w:t>
      </w:r>
      <w:r>
        <w:rPr>
          <w:lang w:val="ru-RU"/>
        </w:rPr>
        <w:t xml:space="preserve"> в аэродинамической трубе </w:t>
      </w:r>
      <w:r w:rsidRPr="008A5D89">
        <w:rPr>
          <w:lang w:val="ru-RU"/>
        </w:rPr>
        <w:t xml:space="preserve">[1]. </w:t>
      </w:r>
      <w:r>
        <w:rPr>
          <w:lang w:val="ru-RU"/>
        </w:rPr>
        <w:t>Согласно теории</w:t>
      </w:r>
      <w:r w:rsidRPr="008A5D89">
        <w:rPr>
          <w:lang w:val="ru-RU"/>
        </w:rPr>
        <w:t xml:space="preserve"> [2 </w:t>
      </w:r>
      <w:r>
        <w:rPr>
          <w:lang w:val="ru-RU"/>
        </w:rPr>
        <w:t>стр. 52</w:t>
      </w:r>
      <w:r w:rsidRPr="008A5D89">
        <w:rPr>
          <w:lang w:val="ru-RU"/>
        </w:rPr>
        <w:t>]</w:t>
      </w:r>
      <w:r>
        <w:rPr>
          <w:lang w:val="ru-RU"/>
        </w:rPr>
        <w:t xml:space="preserve">, разработанной для оценки тяги и механического момента </w:t>
      </w:r>
      <w:r w:rsidR="001D0AB7">
        <w:rPr>
          <w:lang w:val="ru-RU"/>
        </w:rPr>
        <w:t>винта</w:t>
      </w:r>
      <w:r>
        <w:rPr>
          <w:lang w:val="ru-RU"/>
        </w:rPr>
        <w:t>, их выражения имеют следующий вид: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8A5D89" w:rsidTr="008A5D89">
        <w:tc>
          <w:tcPr>
            <w:tcW w:w="500" w:type="pct"/>
          </w:tcPr>
          <w:p w:rsidR="008A5D89" w:rsidRDefault="008A5D89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8A5D89" w:rsidRPr="001D0AB7" w:rsidRDefault="001D0AB7" w:rsidP="001D0AB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A5D89" w:rsidRDefault="008A5D89" w:rsidP="008A5D8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  <w:tr w:rsidR="001D0AB7" w:rsidTr="001D0AB7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EE3AFF" w:rsidP="00F96086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1D0AB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:rsidR="008A5D89" w:rsidRPr="001D0AB7" w:rsidRDefault="001D0AB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Безразмерные коэффициенты тяги и момента винта могут быть разложены в ряд по степеням поступи винта </w:t>
      </w:r>
      <m:oMath>
        <m:r>
          <w:rPr>
            <w:rFonts w:ascii="Cambria Math" w:hAnsi="Cambria Math"/>
            <w:lang w:val="ru-RU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</m:t>
            </m:r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6B5D3E">
        <w:rPr>
          <w:rFonts w:eastAsiaTheme="minorEastAsia"/>
          <w:lang w:val="ru-RU"/>
        </w:rPr>
        <w:t xml:space="preserve"> (рисунок 1)</w:t>
      </w:r>
      <w:r w:rsidRPr="001D0AB7">
        <w:rPr>
          <w:rFonts w:eastAsiaTheme="minorEastAsia"/>
          <w:lang w:val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D0AB7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EE3AFF" w:rsidP="001D0AB7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3</w:t>
            </w:r>
            <w:r>
              <w:rPr>
                <w:lang w:val="ru-RU"/>
              </w:rPr>
              <w:t>)</w:t>
            </w:r>
          </w:p>
        </w:tc>
      </w:tr>
      <w:tr w:rsidR="001D0AB7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EE3AFF" w:rsidP="001D0AB7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4</w:t>
            </w:r>
            <w:r>
              <w:rPr>
                <w:lang w:val="ru-RU"/>
              </w:rPr>
              <w:t>)</w:t>
            </w:r>
          </w:p>
        </w:tc>
      </w:tr>
    </w:tbl>
    <w:p w:rsidR="001D0AB7" w:rsidRDefault="00126C6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Для оценки потребной тяги при горизонтальном полете со скоростью </w:t>
      </w:r>
      <m:oMath>
        <m:r>
          <w:rPr>
            <w:rFonts w:ascii="Cambria Math" w:hAnsi="Cambria Math"/>
            <w:lang w:val="ru-RU"/>
          </w:rPr>
          <m:t>17 м/</m:t>
        </m:r>
        <w:proofErr w:type="gramStart"/>
        <m:r>
          <w:rPr>
            <w:rFonts w:ascii="Cambria Math" w:hAnsi="Cambria Math"/>
            <w:lang w:val="ru-RU"/>
          </w:rPr>
          <m:t>сек</m:t>
        </m:r>
      </m:oMath>
      <w:proofErr w:type="gramEnd"/>
      <w:r>
        <w:rPr>
          <w:rFonts w:eastAsiaTheme="minorEastAsia"/>
          <w:lang w:val="ru-RU"/>
        </w:rPr>
        <w:t xml:space="preserve"> воспользуемся формулой согласно </w:t>
      </w:r>
      <w:r>
        <w:rPr>
          <w:rFonts w:eastAsiaTheme="minorEastAsia"/>
        </w:rPr>
        <w:t xml:space="preserve">[3 </w:t>
      </w:r>
      <w:r>
        <w:rPr>
          <w:rFonts w:eastAsiaTheme="minorEastAsia"/>
          <w:lang w:val="ru-RU"/>
        </w:rPr>
        <w:t xml:space="preserve">стр. </w:t>
      </w:r>
      <w:r>
        <w:rPr>
          <w:rFonts w:eastAsiaTheme="minorEastAsia"/>
        </w:rPr>
        <w:t>]</w:t>
      </w:r>
      <w:r>
        <w:rPr>
          <w:rFonts w:eastAsiaTheme="minorEastAsia"/>
          <w:lang w:val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26C67" w:rsidTr="00126C67">
        <w:tc>
          <w:tcPr>
            <w:tcW w:w="500" w:type="pct"/>
          </w:tcPr>
          <w:p w:rsidR="00126C67" w:rsidRDefault="00126C67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26C67" w:rsidRPr="00126C67" w:rsidRDefault="00126C67" w:rsidP="00126C6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=3.5</m:t>
                </m:r>
                <m:r>
                  <w:rPr>
                    <w:rFonts w:ascii="Cambria Math" w:hAnsi="Cambria Math"/>
                    <w:lang w:val="ru-RU"/>
                  </w:rPr>
                  <m:t xml:space="preserve"> Н</m:t>
                </m:r>
              </m:oMath>
            </m:oMathPara>
          </w:p>
        </w:tc>
        <w:tc>
          <w:tcPr>
            <w:tcW w:w="500" w:type="pct"/>
            <w:vAlign w:val="center"/>
          </w:tcPr>
          <w:p w:rsidR="00126C67" w:rsidRDefault="00126C67" w:rsidP="00126C6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</w:tbl>
    <w:p w:rsidR="00126C67" w:rsidRDefault="00126C67" w:rsidP="008A5D89">
      <w:pPr>
        <w:rPr>
          <w:lang w:val="ru-RU"/>
        </w:rPr>
      </w:pPr>
      <w:r>
        <w:rPr>
          <w:lang w:val="ru-RU"/>
        </w:rPr>
        <w:t xml:space="preserve">В ходе анализа различных воздушных винтов, удовлетворяющих требованиям потребной тяги, был выбран винт </w:t>
      </w:r>
      <w:r>
        <w:t>APC</w:t>
      </w:r>
      <w:r w:rsidRPr="00126C67">
        <w:rPr>
          <w:lang w:val="ru-RU"/>
        </w:rPr>
        <w:t xml:space="preserve"> </w:t>
      </w:r>
      <w:r>
        <w:t>Thin</w:t>
      </w:r>
      <w:r w:rsidRPr="00126C67">
        <w:rPr>
          <w:lang w:val="ru-RU"/>
        </w:rPr>
        <w:t xml:space="preserve"> </w:t>
      </w:r>
      <w:r>
        <w:t>Electric</w:t>
      </w:r>
      <w:r w:rsidRPr="00126C67">
        <w:rPr>
          <w:lang w:val="ru-RU"/>
        </w:rPr>
        <w:t xml:space="preserve"> 11</w:t>
      </w:r>
      <w:r>
        <w:t>x</w:t>
      </w:r>
      <w:r>
        <w:rPr>
          <w:lang w:val="ru-RU"/>
        </w:rPr>
        <w:t>7</w:t>
      </w:r>
      <w:r w:rsidRPr="00126C67">
        <w:rPr>
          <w:lang w:val="ru-RU"/>
        </w:rPr>
        <w:t xml:space="preserve"> </w:t>
      </w:r>
      <w:r w:rsidR="00A17D82">
        <w:rPr>
          <w:lang w:val="ru-RU"/>
        </w:rPr>
        <w:t>(р</w:t>
      </w:r>
      <w:r w:rsidR="006B5D3E">
        <w:rPr>
          <w:lang w:val="ru-RU"/>
        </w:rPr>
        <w:t>исунок 2</w:t>
      </w:r>
      <w:r>
        <w:rPr>
          <w:lang w:val="ru-RU"/>
        </w:rPr>
        <w:t>)</w:t>
      </w:r>
    </w:p>
    <w:p w:rsidR="002833C7" w:rsidRDefault="002833C7" w:rsidP="002833C7">
      <w:pPr>
        <w:keepNext/>
        <w:ind w:firstLine="0"/>
      </w:pPr>
      <w:r>
        <w:rPr>
          <w:noProof/>
        </w:rPr>
        <w:drawing>
          <wp:inline distT="0" distB="0" distL="0" distR="0" wp14:anchorId="611CCD11" wp14:editId="28F3F040">
            <wp:extent cx="6108204" cy="256032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ТягиМомен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04" cy="25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27" w:rsidRPr="002833C7" w:rsidRDefault="002833C7" w:rsidP="002833C7">
      <w:pPr>
        <w:pStyle w:val="ac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Рисунок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fldChar w:fldCharType="begin"/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SEQ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Figure</w:instrText>
      </w:r>
      <w:r w:rsidRPr="002833C7">
        <w:rPr>
          <w:color w:val="000000" w:themeColor="text1"/>
          <w:sz w:val="24"/>
          <w:lang w:val="ru-RU"/>
        </w:rPr>
        <w:instrText xml:space="preserve"> \* </w:instrText>
      </w:r>
      <w:r w:rsidRPr="002833C7">
        <w:rPr>
          <w:color w:val="000000" w:themeColor="text1"/>
          <w:sz w:val="24"/>
        </w:rPr>
        <w:instrText>ARABIC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fldChar w:fldCharType="separate"/>
      </w:r>
      <w:r w:rsidR="00EE3AFF" w:rsidRPr="00EE3AFF">
        <w:rPr>
          <w:noProof/>
          <w:color w:val="000000" w:themeColor="text1"/>
          <w:sz w:val="24"/>
          <w:lang w:val="ru-RU"/>
        </w:rPr>
        <w:t>1</w:t>
      </w:r>
      <w:r w:rsidRPr="002833C7">
        <w:rPr>
          <w:color w:val="000000" w:themeColor="text1"/>
          <w:sz w:val="24"/>
        </w:rPr>
        <w:fldChar w:fldCharType="end"/>
      </w:r>
      <w:r w:rsidRPr="002833C7">
        <w:rPr>
          <w:color w:val="000000" w:themeColor="text1"/>
          <w:sz w:val="24"/>
          <w:lang w:val="ru-RU"/>
        </w:rPr>
        <w:t xml:space="preserve"> – Коэффициент тяги а) и момента б) винта </w:t>
      </w:r>
      <w:r w:rsidRPr="002833C7">
        <w:rPr>
          <w:color w:val="000000" w:themeColor="text1"/>
          <w:sz w:val="24"/>
        </w:rPr>
        <w:t>APC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t>Thin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t>Electric</w:t>
      </w:r>
      <w:r w:rsidRPr="002833C7">
        <w:rPr>
          <w:color w:val="000000" w:themeColor="text1"/>
          <w:sz w:val="24"/>
          <w:lang w:val="ru-RU"/>
        </w:rPr>
        <w:t xml:space="preserve"> 11</w:t>
      </w:r>
      <w:r w:rsidRPr="002833C7">
        <w:rPr>
          <w:color w:val="000000" w:themeColor="text1"/>
          <w:sz w:val="24"/>
        </w:rPr>
        <w:t>x</w:t>
      </w:r>
      <w:r w:rsidRPr="002833C7">
        <w:rPr>
          <w:color w:val="000000" w:themeColor="text1"/>
          <w:sz w:val="24"/>
          <w:lang w:val="ru-RU"/>
        </w:rPr>
        <w:t>7</w:t>
      </w:r>
    </w:p>
    <w:p w:rsidR="002833C7" w:rsidRPr="002833C7" w:rsidRDefault="002833C7" w:rsidP="002833C7">
      <w:pPr>
        <w:rPr>
          <w:lang w:val="ru-RU"/>
        </w:rPr>
      </w:pPr>
    </w:p>
    <w:p w:rsidR="002833C7" w:rsidRDefault="002833C7" w:rsidP="002833C7">
      <w:pPr>
        <w:keepNext/>
      </w:pPr>
      <w:r>
        <w:rPr>
          <w:noProof/>
        </w:rPr>
        <w:drawing>
          <wp:inline distT="0" distB="0" distL="0" distR="0" wp14:anchorId="4AEB6F69" wp14:editId="451DE649">
            <wp:extent cx="6151880" cy="80200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ce_11x7-fro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C7" w:rsidRPr="002833C7" w:rsidRDefault="002833C7" w:rsidP="002833C7">
      <w:pPr>
        <w:pStyle w:val="ac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Рисунок</w:t>
      </w:r>
      <w:r w:rsidRPr="002833C7">
        <w:rPr>
          <w:color w:val="000000" w:themeColor="text1"/>
          <w:sz w:val="24"/>
          <w:szCs w:val="24"/>
        </w:rPr>
        <w:t xml:space="preserve"> </w:t>
      </w:r>
      <w:r w:rsidRPr="002833C7">
        <w:rPr>
          <w:color w:val="000000" w:themeColor="text1"/>
          <w:sz w:val="24"/>
          <w:szCs w:val="24"/>
        </w:rPr>
        <w:fldChar w:fldCharType="begin"/>
      </w:r>
      <w:r w:rsidRPr="002833C7">
        <w:rPr>
          <w:color w:val="000000" w:themeColor="text1"/>
          <w:sz w:val="24"/>
          <w:szCs w:val="24"/>
        </w:rPr>
        <w:instrText xml:space="preserve"> SEQ Figure \* ARABIC </w:instrText>
      </w:r>
      <w:r w:rsidRPr="002833C7">
        <w:rPr>
          <w:color w:val="000000" w:themeColor="text1"/>
          <w:sz w:val="24"/>
          <w:szCs w:val="24"/>
        </w:rPr>
        <w:fldChar w:fldCharType="separate"/>
      </w:r>
      <w:r w:rsidR="00EE3AFF">
        <w:rPr>
          <w:noProof/>
          <w:color w:val="000000" w:themeColor="text1"/>
          <w:sz w:val="24"/>
          <w:szCs w:val="24"/>
        </w:rPr>
        <w:t>2</w:t>
      </w:r>
      <w:r w:rsidRPr="002833C7">
        <w:rPr>
          <w:color w:val="000000" w:themeColor="text1"/>
          <w:sz w:val="24"/>
          <w:szCs w:val="24"/>
        </w:rPr>
        <w:fldChar w:fldCharType="end"/>
      </w:r>
      <w:r w:rsidRPr="002833C7">
        <w:rPr>
          <w:color w:val="000000" w:themeColor="text1"/>
          <w:sz w:val="24"/>
          <w:szCs w:val="24"/>
        </w:rPr>
        <w:t xml:space="preserve"> – </w:t>
      </w:r>
      <w:r w:rsidRPr="002833C7">
        <w:rPr>
          <w:color w:val="000000" w:themeColor="text1"/>
          <w:sz w:val="24"/>
          <w:szCs w:val="24"/>
          <w:lang w:val="ru-RU"/>
        </w:rPr>
        <w:t>Воздушный</w:t>
      </w:r>
      <w:r w:rsidRPr="002833C7">
        <w:rPr>
          <w:color w:val="000000" w:themeColor="text1"/>
          <w:sz w:val="24"/>
          <w:szCs w:val="24"/>
        </w:rPr>
        <w:t xml:space="preserve"> </w:t>
      </w:r>
      <w:r w:rsidRPr="002833C7">
        <w:rPr>
          <w:color w:val="000000" w:themeColor="text1"/>
          <w:sz w:val="24"/>
          <w:szCs w:val="24"/>
          <w:lang w:val="ru-RU"/>
        </w:rPr>
        <w:t>винт</w:t>
      </w:r>
      <w:r w:rsidRPr="002833C7">
        <w:rPr>
          <w:color w:val="000000" w:themeColor="text1"/>
          <w:sz w:val="24"/>
          <w:szCs w:val="24"/>
        </w:rPr>
        <w:t xml:space="preserve"> APC Thin Electric 11x7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74"/>
        <w:gridCol w:w="4730"/>
      </w:tblGrid>
      <w:tr w:rsidR="00BA2DFD" w:rsidTr="002833C7">
        <w:tc>
          <w:tcPr>
            <w:tcW w:w="5174" w:type="dxa"/>
          </w:tcPr>
          <w:p w:rsidR="00BA2DFD" w:rsidRDefault="00BA2DFD" w:rsidP="00BA2DFD">
            <w:pPr>
              <w:keepNext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0C4DBE" wp14:editId="450F632A">
                  <wp:extent cx="3148589" cy="482499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борМотор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89" cy="482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DFD" w:rsidRPr="00B9681E" w:rsidRDefault="00B9681E" w:rsidP="0098629D">
            <w:pPr>
              <w:pStyle w:val="ac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lang w:val="ru-RU"/>
              </w:rPr>
              <w:t>Рисунок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fldChar w:fldCharType="begin"/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instrText xml:space="preserve"> </w:instrTex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instrText>SEQ</w:instrTex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instrText xml:space="preserve"> </w:instrTex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instrText>Figure</w:instrTex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instrText xml:space="preserve"> \* </w:instrTex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instrText>ARABIC</w:instrTex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instrText xml:space="preserve"> </w:instrTex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fldChar w:fldCharType="separate"/>
            </w:r>
            <w:r w:rsidR="00EE3AFF" w:rsidRPr="00EE3AFF">
              <w:rPr>
                <w:rFonts w:cs="Times New Roman"/>
                <w:noProof/>
                <w:color w:val="000000" w:themeColor="text1"/>
                <w:sz w:val="24"/>
                <w:lang w:val="ru-RU"/>
              </w:rPr>
              <w:t>3</w: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fldChar w:fldCharType="end"/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Выбор оптимальных параметров мотора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AT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2814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и винта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APC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Thin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Electric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11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x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7 при горизонтальном полете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 xml:space="preserve">=17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м</m:t>
              </m:r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/с</m:t>
              </m:r>
            </m:oMath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. 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а)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–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пересечение кривых моментов винта и мотора. б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кривые эффективности мотора и винта. в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</w:t>
            </w:r>
            <w:r w:rsidR="00940097">
              <w:rPr>
                <w:rFonts w:cs="Times New Roman"/>
                <w:color w:val="000000" w:themeColor="text1"/>
                <w:sz w:val="24"/>
                <w:lang w:val="ru-RU"/>
              </w:rPr>
              <w:t xml:space="preserve"> кривые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тяги винта</w:t>
            </w:r>
            <w:r w:rsidR="00301D47">
              <w:rPr>
                <w:rFonts w:cs="Times New Roman"/>
                <w:color w:val="000000" w:themeColor="text1"/>
                <w:sz w:val="24"/>
                <w:lang w:val="ru-RU"/>
              </w:rPr>
              <w:t>. Вертикальная пунктирная линия указывает рабочую частоту вращения</w:t>
            </w:r>
          </w:p>
        </w:tc>
        <w:tc>
          <w:tcPr>
            <w:tcW w:w="4730" w:type="dxa"/>
          </w:tcPr>
          <w:p w:rsidR="00BA2DFD" w:rsidRDefault="00931501" w:rsidP="00931501">
            <w:pPr>
              <w:pStyle w:val="11"/>
            </w:pPr>
            <w:r>
              <w:t>Выбор мотора</w:t>
            </w:r>
          </w:p>
          <w:p w:rsidR="00931501" w:rsidRDefault="00D439F5" w:rsidP="009E0A44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анализа ряда моторов был выбран </w:t>
            </w:r>
            <w:r w:rsidR="00995DA6">
              <w:t>T</w:t>
            </w:r>
            <w:r w:rsidR="00995DA6" w:rsidRPr="00995DA6">
              <w:rPr>
                <w:lang w:val="ru-RU"/>
              </w:rPr>
              <w:t>-</w:t>
            </w:r>
            <w:r w:rsidR="00995DA6">
              <w:t>Motor</w:t>
            </w:r>
            <w:r w:rsidR="00995DA6" w:rsidRPr="00995DA6">
              <w:rPr>
                <w:lang w:val="ru-RU"/>
              </w:rPr>
              <w:t xml:space="preserve"> </w:t>
            </w:r>
            <w:r w:rsidR="00995DA6">
              <w:t>AT</w:t>
            </w:r>
            <w:r w:rsidR="00995DA6" w:rsidRPr="00995DA6">
              <w:rPr>
                <w:lang w:val="ru-RU"/>
              </w:rPr>
              <w:t>2814 900</w:t>
            </w:r>
            <w:r w:rsidR="00911441" w:rsidRPr="00911441">
              <w:rPr>
                <w:lang w:val="ru-RU"/>
              </w:rPr>
              <w:t xml:space="preserve"> </w:t>
            </w:r>
            <w:proofErr w:type="spellStart"/>
            <w:r w:rsidR="00995DA6">
              <w:t>kv</w:t>
            </w:r>
            <w:proofErr w:type="spellEnd"/>
            <w:r w:rsidR="00995DA6" w:rsidRPr="00995DA6">
              <w:rPr>
                <w:lang w:val="ru-RU"/>
              </w:rPr>
              <w:t xml:space="preserve">. </w:t>
            </w:r>
            <w:r w:rsidR="00995DA6">
              <w:rPr>
                <w:lang w:val="ru-RU"/>
              </w:rPr>
              <w:t xml:space="preserve">Согласно </w:t>
            </w:r>
            <w:r w:rsidR="00995DA6" w:rsidRPr="00940097">
              <w:rPr>
                <w:lang w:val="ru-RU"/>
              </w:rPr>
              <w:t>[2</w:t>
            </w:r>
            <w:r w:rsidR="00995DA6">
              <w:rPr>
                <w:lang w:val="ru-RU"/>
              </w:rPr>
              <w:t xml:space="preserve"> стр. 53</w:t>
            </w:r>
            <w:r w:rsidR="00995DA6" w:rsidRPr="00940097">
              <w:rPr>
                <w:lang w:val="ru-RU"/>
              </w:rPr>
              <w:t>]</w:t>
            </w:r>
            <w:r w:rsidR="00940097">
              <w:rPr>
                <w:lang w:val="ru-RU"/>
              </w:rPr>
              <w:t xml:space="preserve"> из равенства механических моментов винта и мотора была найдена</w:t>
            </w:r>
            <w:r w:rsidR="002B6C40">
              <w:rPr>
                <w:lang w:val="ru-RU"/>
              </w:rPr>
              <w:t xml:space="preserve"> точка пересечения кривых моментов винта и мотора (</w:t>
            </w:r>
            <w:r w:rsidR="00BF5D5D">
              <w:rPr>
                <w:lang w:val="ru-RU"/>
              </w:rPr>
              <w:t>р</w:t>
            </w:r>
            <w:r w:rsidR="002B6C40">
              <w:rPr>
                <w:lang w:val="ru-RU"/>
              </w:rPr>
              <w:t>исунок 3а)</w:t>
            </w:r>
            <w:r w:rsidR="002E5928">
              <w:rPr>
                <w:lang w:val="ru-RU"/>
              </w:rPr>
              <w:t>, соответствующая угловой скорости вращения</w:t>
            </w:r>
            <w:r w:rsidR="009E0A44" w:rsidRPr="009E0A44">
              <w:rPr>
                <w:lang w:val="ru-RU"/>
              </w:rPr>
              <w:t xml:space="preserve"> </w:t>
            </w:r>
            <w:r w:rsidR="009E0A44">
              <w:rPr>
                <w:lang w:val="ru-RU"/>
              </w:rPr>
              <w:t>6200</w:t>
            </w:r>
            <w:r w:rsidR="009E0A44" w:rsidRPr="009E0A44">
              <w:rPr>
                <w:lang w:val="ru-RU"/>
              </w:rPr>
              <w:t xml:space="preserve"> </w:t>
            </w:r>
            <w:r w:rsidR="009E0A44">
              <w:rPr>
                <w:lang w:val="ru-RU"/>
              </w:rPr>
              <w:t>мин</w:t>
            </w:r>
            <w:r w:rsidR="009E0A44" w:rsidRPr="009E0A44">
              <w:rPr>
                <w:vertAlign w:val="superscript"/>
                <w:lang w:val="ru-RU"/>
              </w:rPr>
              <w:t>-1</w:t>
            </w:r>
            <w:r w:rsidR="00037EF8" w:rsidRPr="00037EF8">
              <w:rPr>
                <w:lang w:val="ru-RU"/>
              </w:rPr>
              <w:t>.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6A439F" w:rsidRPr="00EE3AFF" w:rsidTr="007116DE">
              <w:tc>
                <w:tcPr>
                  <w:tcW w:w="4449" w:type="pct"/>
                </w:tcPr>
                <w:p w:rsidR="006A439F" w:rsidRDefault="00EE3AFF" w:rsidP="006A439F">
                  <w:pPr>
                    <w:ind w:firstLine="0"/>
                    <w:rPr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6A439F" w:rsidRPr="00DD1756" w:rsidRDefault="006A439F" w:rsidP="006A439F">
                  <w:pPr>
                    <w:ind w:firstLine="0"/>
                    <w:jc w:val="right"/>
                    <w:rPr>
                      <w:lang w:val="ru-RU"/>
                    </w:rPr>
                  </w:pPr>
                  <w:r w:rsidRPr="00DD1756">
                    <w:rPr>
                      <w:lang w:val="ru-RU"/>
                    </w:rPr>
                    <w:t>(6)</w:t>
                  </w:r>
                </w:p>
              </w:tc>
            </w:tr>
          </w:tbl>
          <w:p w:rsidR="00037EF8" w:rsidRPr="007116DE" w:rsidRDefault="00037EF8" w:rsidP="006A439F">
            <w:pPr>
              <w:rPr>
                <w:lang w:val="ru-RU"/>
              </w:rPr>
            </w:pPr>
            <w:r>
              <w:rPr>
                <w:lang w:val="ru-RU"/>
              </w:rPr>
              <w:t>Также были построены кривые КПД мотора и винта на рисунке 3б, чтобы убедиться в оптимальном режиме работы ВМГ в выбранном диапазоне угловых частот вращения. Как видно на рисунке 3б, и мотор, и винт на частоте 6200</w:t>
            </w:r>
            <w:r w:rsidRPr="009E0A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</w:t>
            </w:r>
            <w:r w:rsidRPr="009E0A44">
              <w:rPr>
                <w:vertAlign w:val="superscript"/>
                <w:lang w:val="ru-RU"/>
              </w:rPr>
              <w:t>-1</w:t>
            </w:r>
            <w:r>
              <w:rPr>
                <w:lang w:val="ru-RU"/>
              </w:rPr>
              <w:t xml:space="preserve"> имеет КПД близки</w:t>
            </w:r>
            <w:r w:rsidR="00502CC0">
              <w:rPr>
                <w:lang w:val="ru-RU"/>
              </w:rPr>
              <w:t>й к максимальному</w:t>
            </w:r>
            <w:r w:rsidR="00223647" w:rsidRPr="00223647">
              <w:rPr>
                <w:lang w:val="ru-RU"/>
              </w:rPr>
              <w:t xml:space="preserve"> </w:t>
            </w:r>
            <w:r w:rsidR="00223647">
              <w:rPr>
                <w:lang w:val="ru-RU"/>
              </w:rPr>
              <w:t xml:space="preserve">для выбранной скорости воздушного полета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=17 м/с</m:t>
              </m:r>
            </m:oMath>
            <w:r w:rsidR="00223647" w:rsidRPr="00223647">
              <w:rPr>
                <w:rFonts w:eastAsiaTheme="minorEastAsia"/>
                <w:lang w:val="ru-RU"/>
              </w:rPr>
              <w:t xml:space="preserve"> </w:t>
            </w:r>
            <w:r w:rsidR="00223647">
              <w:rPr>
                <w:rFonts w:eastAsiaTheme="minorEastAsia"/>
                <w:lang w:val="ru-RU"/>
              </w:rPr>
              <w:t xml:space="preserve">и напряжения на моторе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= 7.9 В</m:t>
              </m:r>
            </m:oMath>
            <w:r w:rsidR="00502CC0">
              <w:rPr>
                <w:lang w:val="ru-RU"/>
              </w:rPr>
              <w:t>.</w:t>
            </w:r>
            <w:r w:rsidR="007116DE" w:rsidRPr="007116DE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0.71,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=0.78</m:t>
              </m:r>
            </m:oMath>
          </w:p>
          <w:p w:rsidR="00502CC0" w:rsidRDefault="006A439F" w:rsidP="00827117">
            <w:pPr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>На рисунке</w:t>
            </w:r>
            <w:r w:rsidR="00D6302D">
              <w:rPr>
                <w:lang w:val="ru-RU"/>
              </w:rPr>
              <w:t xml:space="preserve"> 3в представлены кривые тяги винта в зависимости от частоты вращения для двух разных скоростей </w:t>
            </w:r>
            <w:r w:rsidR="00827117">
              <w:rPr>
                <w:lang w:val="ru-RU"/>
              </w:rPr>
              <w:t xml:space="preserve">воздушного потока. При выбранной скорости 17 м/с винт создает достаточную тягу </w:t>
            </w:r>
            <m:oMath>
              <m:r>
                <w:rPr>
                  <w:rFonts w:ascii="Cambria Math" w:hAnsi="Cambria Math"/>
                  <w:lang w:val="ru-RU"/>
                </w:rPr>
                <m:t>T=3.5 Н</m:t>
              </m:r>
            </m:oMath>
            <w:r w:rsidR="00827117">
              <w:rPr>
                <w:rFonts w:eastAsiaTheme="minorEastAsia"/>
                <w:lang w:val="ru-RU"/>
              </w:rPr>
              <w:t xml:space="preserve"> для поддержания установившегося горизонтального полета.</w:t>
            </w:r>
          </w:p>
          <w:p w:rsidR="00E331EF" w:rsidRPr="007F7C83" w:rsidRDefault="00E331EF" w:rsidP="00E331E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Согласно выражению (6</w:t>
            </w:r>
            <w:r w:rsidR="00482B97">
              <w:rPr>
                <w:rFonts w:eastAsiaTheme="minorEastAsia"/>
                <w:lang w:val="ru-RU"/>
              </w:rPr>
              <w:t>) и рисунку 3а можем оценить мощность, потребляемую</w:t>
            </w:r>
            <w:r>
              <w:rPr>
                <w:rFonts w:eastAsiaTheme="minorEastAsia"/>
                <w:lang w:val="ru-RU"/>
              </w:rPr>
              <w:t xml:space="preserve"> ВМГ</w:t>
            </w:r>
            <w:r w:rsidR="00482B97">
              <w:rPr>
                <w:rFonts w:eastAsiaTheme="minorEastAsia"/>
                <w:lang w:val="ru-RU"/>
              </w:rPr>
              <w:t xml:space="preserve">, с учетом эффективности регулятора оборотов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≈0.85</m:t>
              </m:r>
            </m:oMath>
            <w:r w:rsidR="007F7C83" w:rsidRPr="007F7C83">
              <w:rPr>
                <w:rFonts w:eastAsiaTheme="minorEastAsia"/>
                <w:lang w:val="ru-RU"/>
              </w:rPr>
              <w:t>: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E331EF" w:rsidTr="00135C30">
              <w:tc>
                <w:tcPr>
                  <w:tcW w:w="4449" w:type="pct"/>
                </w:tcPr>
                <w:p w:rsidR="00E331EF" w:rsidRPr="00482B97" w:rsidRDefault="00482B97" w:rsidP="00482B97">
                  <w:pPr>
                    <w:ind w:firstLine="0"/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ESC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=114 ВТ </m:t>
                      </m:r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E331EF" w:rsidRDefault="00E331EF" w:rsidP="00E331EF">
                  <w:pPr>
                    <w:ind w:firstLine="0"/>
                    <w:jc w:val="right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(7)</w:t>
                  </w:r>
                </w:p>
              </w:tc>
            </w:tr>
          </w:tbl>
          <w:p w:rsidR="00DD1756" w:rsidRPr="00482B97" w:rsidRDefault="00DD1756" w:rsidP="007B7FED">
            <w:pPr>
              <w:ind w:firstLine="0"/>
              <w:rPr>
                <w:lang w:val="ru-RU"/>
              </w:rPr>
            </w:pPr>
          </w:p>
        </w:tc>
      </w:tr>
    </w:tbl>
    <w:p w:rsidR="004D09DB" w:rsidRPr="00141C07" w:rsidRDefault="004D09DB" w:rsidP="00BA2DFD">
      <w:pPr>
        <w:ind w:firstLine="0"/>
        <w:rPr>
          <w:lang w:val="ru-RU"/>
        </w:rPr>
      </w:pPr>
    </w:p>
    <w:sectPr w:rsidR="004D09DB" w:rsidRPr="00141C07" w:rsidSect="004D09DB"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29BC88EA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05"/>
    <w:rsid w:val="00037EF8"/>
    <w:rsid w:val="00055E03"/>
    <w:rsid w:val="000903D3"/>
    <w:rsid w:val="00126C67"/>
    <w:rsid w:val="00135C30"/>
    <w:rsid w:val="00141C07"/>
    <w:rsid w:val="001B3627"/>
    <w:rsid w:val="001D0AB7"/>
    <w:rsid w:val="00215F59"/>
    <w:rsid w:val="00223647"/>
    <w:rsid w:val="00233691"/>
    <w:rsid w:val="002833C7"/>
    <w:rsid w:val="002B6C40"/>
    <w:rsid w:val="002E5928"/>
    <w:rsid w:val="00301D47"/>
    <w:rsid w:val="00330C00"/>
    <w:rsid w:val="00334F64"/>
    <w:rsid w:val="003D7E46"/>
    <w:rsid w:val="0045562A"/>
    <w:rsid w:val="00475AAE"/>
    <w:rsid w:val="00482B97"/>
    <w:rsid w:val="004D09DB"/>
    <w:rsid w:val="00502CC0"/>
    <w:rsid w:val="0054560A"/>
    <w:rsid w:val="00636BC1"/>
    <w:rsid w:val="006866A6"/>
    <w:rsid w:val="006A439F"/>
    <w:rsid w:val="006B5D3E"/>
    <w:rsid w:val="007116DE"/>
    <w:rsid w:val="00771F86"/>
    <w:rsid w:val="007B7FED"/>
    <w:rsid w:val="007C1721"/>
    <w:rsid w:val="007C630E"/>
    <w:rsid w:val="007F7C83"/>
    <w:rsid w:val="00827117"/>
    <w:rsid w:val="0082769E"/>
    <w:rsid w:val="008A5D89"/>
    <w:rsid w:val="00911441"/>
    <w:rsid w:val="00931501"/>
    <w:rsid w:val="00940097"/>
    <w:rsid w:val="0098629D"/>
    <w:rsid w:val="00995DA6"/>
    <w:rsid w:val="009D51C7"/>
    <w:rsid w:val="009E0A44"/>
    <w:rsid w:val="00A17D82"/>
    <w:rsid w:val="00B10279"/>
    <w:rsid w:val="00B42A17"/>
    <w:rsid w:val="00B532EF"/>
    <w:rsid w:val="00B54F08"/>
    <w:rsid w:val="00B64E56"/>
    <w:rsid w:val="00B955E7"/>
    <w:rsid w:val="00B9681E"/>
    <w:rsid w:val="00BA044F"/>
    <w:rsid w:val="00BA2DFD"/>
    <w:rsid w:val="00BC1B7E"/>
    <w:rsid w:val="00BE7891"/>
    <w:rsid w:val="00BF151B"/>
    <w:rsid w:val="00BF5D5D"/>
    <w:rsid w:val="00C04788"/>
    <w:rsid w:val="00C0574B"/>
    <w:rsid w:val="00C5342A"/>
    <w:rsid w:val="00CD20F0"/>
    <w:rsid w:val="00CE1C8B"/>
    <w:rsid w:val="00D379DE"/>
    <w:rsid w:val="00D439F5"/>
    <w:rsid w:val="00D6302D"/>
    <w:rsid w:val="00D65B75"/>
    <w:rsid w:val="00DD1756"/>
    <w:rsid w:val="00DD6367"/>
    <w:rsid w:val="00DF66AB"/>
    <w:rsid w:val="00E11667"/>
    <w:rsid w:val="00E1271A"/>
    <w:rsid w:val="00E331EF"/>
    <w:rsid w:val="00E46618"/>
    <w:rsid w:val="00EB0EE2"/>
    <w:rsid w:val="00EE3AFF"/>
    <w:rsid w:val="00FA20BC"/>
    <w:rsid w:val="00FB2005"/>
    <w:rsid w:val="00FE0F69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C0574B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C0574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qFormat/>
    <w:rsid w:val="00C0574B"/>
    <w:pPr>
      <w:numPr>
        <w:ilvl w:val="1"/>
        <w:numId w:val="32"/>
      </w:numPr>
      <w:spacing w:before="0" w:beforeAutospacing="0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C0574B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C0574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qFormat/>
    <w:rsid w:val="00C0574B"/>
    <w:pPr>
      <w:numPr>
        <w:ilvl w:val="1"/>
        <w:numId w:val="32"/>
      </w:numPr>
      <w:spacing w:before="0" w:beforeAutospacing="0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8DE18-6F3B-40AB-847B-D14BCA4C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65</cp:revision>
  <cp:lastPrinted>2025-03-29T07:15:00Z</cp:lastPrinted>
  <dcterms:created xsi:type="dcterms:W3CDTF">2025-03-26T22:17:00Z</dcterms:created>
  <dcterms:modified xsi:type="dcterms:W3CDTF">2025-03-29T07:15:00Z</dcterms:modified>
</cp:coreProperties>
</file>