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82663E">
      <w:pPr>
        <w:keepNext w:val="0"/>
        <w:keepLines w:val="0"/>
        <w:pageBreakBefore w:val="0"/>
        <w:widowControl/>
        <w:kinsoku/>
        <w:wordWrap/>
        <w:overflowPunct/>
        <w:topLinePunct w:val="0"/>
        <w:autoSpaceDE/>
        <w:autoSpaceDN/>
        <w:bidi w:val="0"/>
        <w:adjustRightInd/>
        <w:snapToGrid/>
        <w:spacing w:before="1800" w:line="260" w:lineRule="auto"/>
        <w:jc w:val="center"/>
        <w:textAlignment w:val="auto"/>
      </w:pPr>
      <w:r>
        <w:rPr>
          <w:rFonts w:ascii="Aptos Display" w:hAnsi="Aptos Display"/>
          <w:b/>
          <w:color w:val="1F4E79"/>
          <w:sz w:val="48"/>
        </w:rPr>
        <w:t>CRM STATE-ESTIMATION ARCHITECTURE</w:t>
      </w:r>
    </w:p>
    <w:p w14:paraId="188C1F23">
      <w:pPr>
        <w:jc w:val="center"/>
      </w:pPr>
      <w:r>
        <w:rPr>
          <w:b/>
          <w:sz w:val="34"/>
        </w:rPr>
        <w:t>Linear Kalman Filter vs Unscented Kalman Filter</w:t>
      </w:r>
    </w:p>
    <w:p w14:paraId="559FC540">
      <w:pPr>
        <w:jc w:val="center"/>
      </w:pPr>
      <w:r>
        <w:rPr>
          <w:i/>
          <w:sz w:val="26"/>
        </w:rPr>
        <w:t>Independent Mathematical and Modeling Review</w:t>
      </w:r>
    </w:p>
    <w:p w14:paraId="4FEA652D"/>
    <w:tbl>
      <w:tblPr>
        <w:tblStyle w:val="12"/>
        <w:tblW w:w="0" w:type="auto"/>
        <w:jc w:val="center"/>
        <w:tblLayout w:type="autofit"/>
        <w:tblCellMar>
          <w:top w:w="0" w:type="dxa"/>
          <w:left w:w="108" w:type="dxa"/>
          <w:bottom w:w="0" w:type="dxa"/>
          <w:right w:w="108" w:type="dxa"/>
        </w:tblCellMar>
      </w:tblPr>
      <w:tblGrid>
        <w:gridCol w:w="10080"/>
      </w:tblGrid>
      <w:tr w14:paraId="575936F8">
        <w:tblPrEx>
          <w:tblCellMar>
            <w:top w:w="0" w:type="dxa"/>
            <w:left w:w="108" w:type="dxa"/>
            <w:bottom w:w="0" w:type="dxa"/>
            <w:right w:w="108" w:type="dxa"/>
          </w:tblCellMar>
        </w:tblPrEx>
        <w:trPr>
          <w:jc w:val="center"/>
        </w:trPr>
        <w:tc>
          <w:tcPr>
            <w:tcW w:w="10080" w:type="dxa"/>
            <w:shd w:val="clear" w:color="auto" w:fill="F3F6F9"/>
            <w:tcMar>
              <w:top w:w="120" w:type="dxa"/>
              <w:left w:w="140" w:type="dxa"/>
              <w:bottom w:w="120" w:type="dxa"/>
              <w:right w:w="140" w:type="dxa"/>
            </w:tcMar>
            <w:vAlign w:val="center"/>
          </w:tcPr>
          <w:p w14:paraId="7D55ACE4">
            <w:pPr>
              <w:spacing w:after="40" w:line="240" w:lineRule="auto"/>
              <w:jc w:val="left"/>
            </w:pPr>
            <w:r>
              <w:rPr>
                <w:b/>
                <w:sz w:val="18"/>
              </w:rPr>
              <w:t>Primary recommendation: use a time-varying Linear Kalman Filter in logit-transformed state space as the baseline. Retain a UKF only if historical CRM data demonstrate a meaningful nonlinearity in the uncertain state or observation model that the linear model cannot adequately represent.</w:t>
            </w:r>
          </w:p>
        </w:tc>
      </w:tr>
    </w:tbl>
    <w:p w14:paraId="47225AF3">
      <w:pPr>
        <w:spacing w:before="560"/>
        <w:jc w:val="center"/>
      </w:pPr>
      <w:r>
        <w:rPr>
          <w:b/>
          <w:sz w:val="22"/>
        </w:rPr>
        <w:t>Project focus: state estimation and decision support — not sale-outcome guarantees</w:t>
      </w:r>
    </w:p>
    <w:p w14:paraId="26D3E28E">
      <w:r>
        <w:br w:type="page"/>
      </w:r>
    </w:p>
    <w:p w14:paraId="3185ED88">
      <w:pPr>
        <w:pStyle w:val="2"/>
      </w:pPr>
      <w:r>
        <w:t>Executive Technical Conclusion</w:t>
      </w:r>
    </w:p>
    <w:p w14:paraId="51D560D0">
      <w:pPr>
        <w:keepNext w:val="0"/>
        <w:keepLines w:val="0"/>
        <w:pageBreakBefore w:val="0"/>
        <w:widowControl/>
        <w:kinsoku/>
        <w:wordWrap/>
        <w:overflowPunct/>
        <w:topLinePunct w:val="0"/>
        <w:autoSpaceDE/>
        <w:autoSpaceDN/>
        <w:bidi w:val="0"/>
        <w:adjustRightInd/>
        <w:snapToGrid/>
        <w:spacing w:line="260" w:lineRule="auto"/>
        <w:textAlignment w:val="auto"/>
      </w:pPr>
      <w:r>
        <w:t>The revised project brief correctly identifies the unresolved structural issues: bounded states, the meaning and estimation of Q and R, the role of stage progression, and—most importantly—the absence of a fully defined transition model g(·) and measurement model h(·). Until those functions are defined and supported by data, the UKF is mathematically possible but not empirically justified over a simpler Kalman formulation.</w:t>
      </w:r>
    </w:p>
    <w:tbl>
      <w:tblPr>
        <w:tblStyle w:val="12"/>
        <w:tblW w:w="0" w:type="auto"/>
        <w:jc w:val="center"/>
        <w:tblLayout w:type="autofit"/>
        <w:tblCellMar>
          <w:top w:w="0" w:type="dxa"/>
          <w:left w:w="108" w:type="dxa"/>
          <w:bottom w:w="0" w:type="dxa"/>
          <w:right w:w="108" w:type="dxa"/>
        </w:tblCellMar>
      </w:tblPr>
      <w:tblGrid>
        <w:gridCol w:w="10080"/>
      </w:tblGrid>
      <w:tr w14:paraId="50D5828D">
        <w:tblPrEx>
          <w:tblCellMar>
            <w:top w:w="0" w:type="dxa"/>
            <w:left w:w="108" w:type="dxa"/>
            <w:bottom w:w="0" w:type="dxa"/>
            <w:right w:w="108" w:type="dxa"/>
          </w:tblCellMar>
        </w:tblPrEx>
        <w:trPr>
          <w:jc w:val="center"/>
        </w:trPr>
        <w:tc>
          <w:tcPr>
            <w:tcW w:w="10080" w:type="dxa"/>
            <w:shd w:val="clear" w:color="auto" w:fill="F3F6F9"/>
            <w:tcMar>
              <w:top w:w="120" w:type="dxa"/>
              <w:left w:w="140" w:type="dxa"/>
              <w:bottom w:w="120" w:type="dxa"/>
              <w:right w:w="140" w:type="dxa"/>
            </w:tcMar>
            <w:vAlign w:val="center"/>
          </w:tcPr>
          <w:p w14:paraId="162392A2">
            <w:pPr>
              <w:spacing w:after="40" w:line="240" w:lineRule="auto"/>
              <w:jc w:val="left"/>
              <w:rPr>
                <w:b/>
                <w:sz w:val="18"/>
              </w:rPr>
            </w:pPr>
            <w:r>
              <w:rPr>
                <w:b/>
                <w:sz w:val="18"/>
              </w:rPr>
              <w:t>Recommended baseline: a time-varying Linear Kalman Filter (KF) operating on logit-transformed latent states. A UKF becomes justified only if the uncertain latent state itself enters g(·) or h(·) nonlinearly and that nonlinearity is supported by CRM data.</w:t>
            </w:r>
          </w:p>
        </w:tc>
      </w:tr>
    </w:tbl>
    <w:p w14:paraId="5EF60BBC">
      <w:r>
        <w:t>A crucial distinction is that nonlinearity in known elapsed time or in a preprocessed known input does not by itself require a UKF. If A_k is allowed to depend on the known Δt_k, and nonlinear transforms of activity are calculated before filtering, the model can remain linear in the uncertain state and use an ordinary time-varying KF.</w:t>
      </w:r>
    </w:p>
    <w:p w14:paraId="162A0750">
      <w:pPr>
        <w:pStyle w:val="2"/>
      </w:pPr>
      <w:r>
        <w:t>Part A — Solving the Bounded [0,1] State Problem</w:t>
      </w:r>
    </w:p>
    <w:p w14:paraId="24AA97A3">
      <w:r>
        <w:t>The intended latent opportunity state is:</w:t>
      </w:r>
    </w:p>
    <w:p w14:paraId="5D0646D0">
      <w:pPr>
        <w:spacing w:before="60" w:after="120"/>
        <w:jc w:val="center"/>
      </w:pPr>
      <w:r>
        <w:rPr>
          <w:rFonts w:ascii="Cambria Math" w:hAnsi="Cambria Math"/>
          <w:sz w:val="22"/>
        </w:rPr>
        <w:t>x_k = [ I_k, U_k, F_k ]ᵀ,    0 &lt; I_k, U_k, F_k &lt; 1</w:t>
      </w:r>
    </w:p>
    <w:p w14:paraId="67B07E59">
      <w:r>
        <w:t>where I denotes lead interest, U product understandin</w:t>
      </w:r>
      <w:r>
        <w:rPr>
          <w:rFonts w:hint="default"/>
          <w:lang w:val="en-US"/>
        </w:rPr>
        <w:t>g</w:t>
      </w:r>
      <w:bookmarkStart w:id="0" w:name="_GoBack"/>
      <w:bookmarkEnd w:id="0"/>
      <w:r>
        <w:t>, and F perceived product usefulness. A conventional Gaussian KF or UKF does not automatically enforce these hard bounds. A Gaussian state distribution has unbounded support, so direct filtering on the raw 0–1 variables can produce sigma points, predicted means, or corrected means outside the permitted range.</w:t>
      </w:r>
    </w:p>
    <w:p w14:paraId="0FEAF13D">
      <w:pPr>
        <w:pStyle w:val="3"/>
      </w:pPr>
      <w:r>
        <w:t>Option 1 — Logit Transformation</w:t>
      </w:r>
    </w:p>
    <w:p w14:paraId="22A7FA55">
      <w:r>
        <w:t>This is the recommended solution. Instead of filtering the bounded quantities directly, define an unconstrained internal state:</w:t>
      </w:r>
    </w:p>
    <w:p w14:paraId="358715A5">
      <w:pPr>
        <w:spacing w:before="60" w:after="120"/>
        <w:jc w:val="center"/>
      </w:pPr>
      <w:r>
        <w:rPr>
          <w:rFonts w:ascii="Cambria Math" w:hAnsi="Cambria Math"/>
          <w:sz w:val="22"/>
        </w:rPr>
        <w:t>y_k = [ y_I,k, y_U,k, y_F,k ]ᵀ</w:t>
      </w:r>
    </w:p>
    <w:p w14:paraId="7F2899B2">
      <w:pPr>
        <w:spacing w:before="60" w:after="120"/>
        <w:jc w:val="center"/>
      </w:pPr>
      <w:r>
        <w:rPr>
          <w:rFonts w:ascii="Cambria Math" w:hAnsi="Cambria Math"/>
          <w:sz w:val="22"/>
        </w:rPr>
        <w:t>y = log( x / (1 − x) )</w:t>
      </w:r>
    </w:p>
    <w:p w14:paraId="427D78D6">
      <w:pPr>
        <w:spacing w:before="60" w:after="120"/>
        <w:jc w:val="center"/>
      </w:pPr>
      <w:r>
        <w:rPr>
          <w:rFonts w:ascii="Cambria Math" w:hAnsi="Cambria Math"/>
          <w:sz w:val="22"/>
        </w:rPr>
        <w:t>x = σ(y) = 1 / (1 + e^(−y))</w:t>
      </w:r>
    </w:p>
    <w:p w14:paraId="0D5B5A85">
      <w:r>
        <w:t>The filter therefore operates in y-space, while the CRM-facing values displayed to a manager are obtained by applying the sigmoid transformation back to the 0–1 scale.</w:t>
      </w:r>
    </w:p>
    <w:p w14:paraId="2FDF81D8">
      <w:pPr>
        <w:pStyle w:val="4"/>
      </w:pPr>
      <w:r>
        <w:t>How the covariance changes</w:t>
      </w:r>
    </w:p>
    <w:p w14:paraId="2A264F91">
      <w:r>
        <w:t>The covariance P_k now represents uncertainty in logit space, not directly on the original 0–1 scale. This is mathematically legitimate as long as the project states it explicitly. For a first-order approximation on the original scale:</w:t>
      </w:r>
    </w:p>
    <w:p w14:paraId="4B428C5C">
      <w:pPr>
        <w:spacing w:before="60" w:after="120"/>
        <w:jc w:val="center"/>
      </w:pPr>
      <w:r>
        <w:rPr>
          <w:rFonts w:ascii="Cambria Math" w:hAnsi="Cambria Math"/>
          <w:sz w:val="22"/>
        </w:rPr>
        <w:t>P_x ≈ J P_y Jᵀ</w:t>
      </w:r>
    </w:p>
    <w:p w14:paraId="2951703E">
      <w:pPr>
        <w:spacing w:before="60" w:after="120"/>
        <w:jc w:val="center"/>
      </w:pPr>
      <w:r>
        <w:rPr>
          <w:rFonts w:ascii="Cambria Math" w:hAnsi="Cambria Math"/>
          <w:sz w:val="22"/>
        </w:rPr>
        <w:t>J = diag( I(1−I), U(1−U), F(1−F) )</w:t>
      </w:r>
    </w:p>
    <w:p w14:paraId="44C9850B">
      <w:r>
        <w:t>For reporting marginal uncertainty, an even clearer college-level approach is to transform interval endpoints. If y_i has mean μ_i and standard deviation s_i, form the approximate 95% interval μ_i ± 1.96s_i in logit space and transform the two endpoints through σ(·). The reported interval then remains inside (0,1).</w:t>
      </w:r>
    </w:p>
    <w:p w14:paraId="7302CFCC">
      <w:pPr>
        <w:pStyle w:val="4"/>
      </w:pPr>
      <w:r>
        <w:t>How observations are incorporated</w:t>
      </w:r>
    </w:p>
    <w:p w14:paraId="79A0F1D0">
      <w:r>
        <w:t>Suppose an observed interest rating has been normalized to I_obs = 0.8. Transform it before the measurement update:</w:t>
      </w:r>
    </w:p>
    <w:p w14:paraId="216B0BB9">
      <w:pPr>
        <w:spacing w:before="60" w:after="120"/>
        <w:jc w:val="center"/>
      </w:pPr>
      <w:r>
        <w:rPr>
          <w:rFonts w:ascii="Cambria Math" w:hAnsi="Cambria Math"/>
          <w:sz w:val="22"/>
        </w:rPr>
        <w:t>r_I = log(0.8 / 0.2)</w:t>
      </w:r>
    </w:p>
    <w:p w14:paraId="7FB5C8BF">
      <w:r>
        <w:t>For direct measurements of the three latent constructs, the transformed observation model can then be linear:</w:t>
      </w:r>
    </w:p>
    <w:p w14:paraId="4CD51F91">
      <w:pPr>
        <w:spacing w:before="60" w:after="120"/>
        <w:jc w:val="center"/>
      </w:pPr>
      <w:r>
        <w:rPr>
          <w:rFonts w:ascii="Cambria Math" w:hAnsi="Cambria Math"/>
          <w:sz w:val="22"/>
        </w:rPr>
        <w:t>r_k = H y_k + v_k,    H = I₃</w:t>
      </w:r>
    </w:p>
    <w:p w14:paraId="57582152">
      <w:r>
        <w:t>This is important: solving the bounded-state problem does not force the project to use a UKF. A standard KF can operate in logit space.</w:t>
      </w:r>
    </w:p>
    <w:p w14:paraId="694B7657">
      <w:pPr>
        <w:pStyle w:val="4"/>
      </w:pPr>
      <w:r>
        <w:t>Exact 0 and 1 values</w:t>
      </w:r>
    </w:p>
    <w:p w14:paraId="10843C19">
      <w:r>
        <w:t>The logit is undefined at exact 0 and 1. Therefore a rating scale should not be encoded so that its endpoints become mathematically exact 0 and 1 unless a documented endpoint correction is applied. For example, a 1–5 rating can be mapped to the open interval by:</w:t>
      </w:r>
    </w:p>
    <w:p w14:paraId="4028910B">
      <w:pPr>
        <w:spacing w:before="60" w:after="120"/>
        <w:jc w:val="center"/>
      </w:pPr>
      <w:r>
        <w:rPr>
          <w:rFonts w:ascii="Cambria Math" w:hAnsi="Cambria Math"/>
          <w:sz w:val="22"/>
        </w:rPr>
        <w:t>x* = (r − 0.5) / 5</w:t>
      </w:r>
    </w:p>
    <w:p w14:paraId="41CB7854">
      <w:r>
        <w:t>which yields 0.1, 0.3, 0.5, 0.7 and 0.9. If data already arrive on a continuous 0–1 scale, exact endpoints can be replaced by a small documented epsilon adjustment.</w:t>
      </w:r>
    </w:p>
    <w:p w14:paraId="49FDC0D7">
      <w:pPr>
        <w:pStyle w:val="3"/>
      </w:pPr>
      <w:r>
        <w:t>Option 2 — Explicit Clipping</w:t>
      </w:r>
    </w:p>
    <w:p w14:paraId="3B466958">
      <w:r>
        <w:t>A simple implementation could run the Gaussian filter normally and then force each reported state into [0,1]:</w:t>
      </w:r>
    </w:p>
    <w:p w14:paraId="4B188789">
      <w:pPr>
        <w:spacing w:before="60" w:after="120"/>
        <w:jc w:val="center"/>
      </w:pPr>
      <w:r>
        <w:rPr>
          <w:rFonts w:ascii="Cambria Math" w:hAnsi="Cambria Math"/>
          <w:sz w:val="22"/>
        </w:rPr>
        <w:t>x_i ← min(1, max(0, x_i))</w:t>
      </w:r>
    </w:p>
    <w:p w14:paraId="78C0DB4F">
      <w:r>
        <w:t>This is easy but not mathematically clean. If the filter estimates I = 1.07 with a nonzero covariance and the mean is then clipped to 1.00, the covariance still describes the original unconstrained Gaussian approximation. The reported mean and covariance no longer describe the same distribution. Repeated clipping can also introduce boundary bias.</w:t>
      </w:r>
    </w:p>
    <w:p w14:paraId="429BE9D0">
      <w:r>
        <w:t>Verdict: clipping is acceptable as a final UI safety check for tiny numerical excursions, but it should not be the principal mathematical treatment of bounded states.</w:t>
      </w:r>
    </w:p>
    <w:p w14:paraId="363732AA">
      <w:pPr>
        <w:pStyle w:val="3"/>
      </w:pPr>
      <w:r>
        <w:t>Option 3 — Explicit Constrained Filtering</w:t>
      </w:r>
    </w:p>
    <w:p w14:paraId="15AB4506">
      <w:r>
        <w:t>Constrained KF/UKF variants exist and can project or otherwise enforce bounds consistently. They are mathematically legitimate, but they add machinery that is unnecessary for this project because the logit transformation solves the specific 0–1 problem cleanly.</w:t>
      </w:r>
    </w:p>
    <w:tbl>
      <w:tblPr>
        <w:tblStyle w:val="12"/>
        <w:tblW w:w="0" w:type="auto"/>
        <w:jc w:val="center"/>
        <w:tblLayout w:type="autofit"/>
        <w:tblCellMar>
          <w:top w:w="0" w:type="dxa"/>
          <w:left w:w="108" w:type="dxa"/>
          <w:bottom w:w="0" w:type="dxa"/>
          <w:right w:w="108" w:type="dxa"/>
        </w:tblCellMar>
      </w:tblPr>
      <w:tblGrid>
        <w:gridCol w:w="10080"/>
      </w:tblGrid>
      <w:tr w14:paraId="5EF20D6F">
        <w:tblPrEx>
          <w:tblCellMar>
            <w:top w:w="0" w:type="dxa"/>
            <w:left w:w="108" w:type="dxa"/>
            <w:bottom w:w="0" w:type="dxa"/>
            <w:right w:w="108" w:type="dxa"/>
          </w:tblCellMar>
        </w:tblPrEx>
        <w:trPr>
          <w:jc w:val="center"/>
        </w:trPr>
        <w:tc>
          <w:tcPr>
            <w:tcW w:w="10080" w:type="dxa"/>
            <w:shd w:val="clear" w:color="auto" w:fill="F3F6F9"/>
            <w:tcMar>
              <w:top w:w="120" w:type="dxa"/>
              <w:left w:w="140" w:type="dxa"/>
              <w:bottom w:w="120" w:type="dxa"/>
              <w:right w:w="140" w:type="dxa"/>
            </w:tcMar>
            <w:vAlign w:val="center"/>
          </w:tcPr>
          <w:p w14:paraId="46714D89">
            <w:pPr>
              <w:spacing w:after="40" w:line="240" w:lineRule="auto"/>
              <w:jc w:val="left"/>
            </w:pPr>
            <w:r>
              <w:rPr>
                <w:b/>
                <w:sz w:val="18"/>
              </w:rPr>
              <w:t>Part A recommendation: use logit-transformed latent states. Do not rely on clipping as the core method.</w:t>
            </w:r>
          </w:p>
        </w:tc>
      </w:tr>
    </w:tbl>
    <w:p w14:paraId="0E8EC6AF">
      <w:pPr>
        <w:pStyle w:val="2"/>
      </w:pPr>
      <w:r>
        <w:t>Part B — Solving the Q and R Problem</w:t>
      </w:r>
    </w:p>
    <w:p w14:paraId="269B0757">
      <w:r>
        <w:t>Q and R are legitimate in CRM data even though there is no physical sensor. Their meaning is statistical rather than mechanical.</w:t>
      </w:r>
    </w:p>
    <w:p w14:paraId="3ACA0DDC">
      <w:pPr>
        <w:pStyle w:val="3"/>
      </w:pPr>
      <w:r>
        <w:t>What R means in this CRM model</w:t>
      </w:r>
    </w:p>
    <w:p w14:paraId="6C76C3F7">
      <w:pPr>
        <w:spacing w:before="60" w:after="120"/>
        <w:jc w:val="center"/>
      </w:pPr>
      <w:r>
        <w:rPr>
          <w:rFonts w:ascii="Cambria Math" w:hAnsi="Cambria Math"/>
          <w:sz w:val="22"/>
        </w:rPr>
        <w:t>R = Cov(v_k)</w:t>
      </w:r>
    </w:p>
    <w:p w14:paraId="27EA337C">
      <w:r>
        <w:t>R is the measurement-noise covariance. If r_I,k = y_I,k + v_I,k, then v_I,k represents error or unreliability in the recorded interest measurement. Sources can include salesperson subjectivity, ambiguous client responses, inconsistent scoring, incomplete information, memory effects, and data-entry variation.</w:t>
      </w:r>
    </w:p>
    <w:p w14:paraId="10015E91">
      <w:r>
        <w:t>A large R_II means the recorded interest rating is an imprecise observation of latent interest. It does not mean that customer interest itself is changing rapidly.</w:t>
      </w:r>
    </w:p>
    <w:p w14:paraId="771990F4">
      <w:pPr>
        <w:pStyle w:val="3"/>
      </w:pPr>
      <w:r>
        <w:t>What Q means in this CRM model</w:t>
      </w:r>
    </w:p>
    <w:p w14:paraId="11D02BC1">
      <w:pPr>
        <w:spacing w:before="60" w:after="120"/>
        <w:jc w:val="center"/>
      </w:pPr>
      <w:r>
        <w:rPr>
          <w:rFonts w:ascii="Cambria Math" w:hAnsi="Cambria Math"/>
          <w:sz w:val="22"/>
        </w:rPr>
        <w:t>Q = Cov(w_k)</w:t>
      </w:r>
    </w:p>
    <w:p w14:paraId="4E0D29FA">
      <w:r>
        <w:t>Q is the process/model-noise covariance. In y_k = g(y_{k−1},u_{k−1},Δt_k) + w_k, the disturbance w_k contains changes in the real opportunity that the deterministic transition model did not explain. Examples include competitor activity, internal client discussions, budget changes, a new decision-maker, market events, or simple deficiencies in g(·).</w:t>
      </w:r>
    </w:p>
    <w:p w14:paraId="745C8D34">
      <w:r>
        <w:t>A large Q_I therefore means that latent interest changes unpredictably even after the model accounts for previous state, known activity and elapsed time.</w:t>
      </w:r>
    </w:p>
    <w:p w14:paraId="3A51A0B0">
      <w:pPr>
        <w:pStyle w:val="3"/>
      </w:pPr>
      <w:r>
        <w:t>Why raw sample covariance is not Q or R</w:t>
      </w:r>
    </w:p>
    <w:p w14:paraId="1F2DA778">
      <w:r>
        <w:t>The variance of historical CRM ratings across different opportunities mixes several effects: genuine differences between customers, measurement noise, real temporal change, and omitted variables. Consequently, the cross-sectional sample covariance of raw ratings should not simply be copied into Q or R.</w:t>
      </w:r>
    </w:p>
    <w:p w14:paraId="554E8C4B">
      <w:pPr>
        <w:pStyle w:val="3"/>
      </w:pPr>
      <w:r>
        <w:t>Practical data-driven estimate of R</w:t>
      </w:r>
    </w:p>
    <w:p w14:paraId="5706AF1B">
      <w:r>
        <w:t>The cleanest simple design is repeated or parallel measurement of essentially the same latent state. If two independent raters score the same interaction:</w:t>
      </w:r>
    </w:p>
    <w:p w14:paraId="7079D1C3">
      <w:pPr>
        <w:spacing w:before="60" w:after="120"/>
        <w:jc w:val="center"/>
      </w:pPr>
      <w:r>
        <w:rPr>
          <w:rFonts w:ascii="Cambria Math" w:hAnsi="Cambria Math"/>
          <w:sz w:val="22"/>
        </w:rPr>
        <w:t>r_k^(1) = y_k + v_k^(1)</w:t>
      </w:r>
    </w:p>
    <w:p w14:paraId="0B613F98">
      <w:pPr>
        <w:spacing w:before="60" w:after="120"/>
        <w:jc w:val="center"/>
      </w:pPr>
      <w:r>
        <w:rPr>
          <w:rFonts w:ascii="Cambria Math" w:hAnsi="Cambria Math"/>
          <w:sz w:val="22"/>
        </w:rPr>
        <w:t>r_k^(2) = y_k + v_k^(2)</w:t>
      </w:r>
    </w:p>
    <w:p w14:paraId="6C4625AF">
      <w:pPr>
        <w:spacing w:before="60" w:after="120"/>
        <w:jc w:val="center"/>
      </w:pPr>
      <w:r>
        <w:rPr>
          <w:rFonts w:ascii="Cambria Math" w:hAnsi="Cambria Math"/>
          <w:sz w:val="22"/>
        </w:rPr>
        <w:t>d_k = r_k^(1) − r_k^(2) = v_k^(1) − v_k^(2)</w:t>
      </w:r>
    </w:p>
    <w:p w14:paraId="69661B3E">
      <w:r>
        <w:t>If the two raters have equal, independent measurement-noise covariance R:</w:t>
      </w:r>
    </w:p>
    <w:p w14:paraId="2E234F6C">
      <w:pPr>
        <w:spacing w:before="60" w:after="120"/>
        <w:jc w:val="center"/>
      </w:pPr>
      <w:r>
        <w:rPr>
          <w:rFonts w:ascii="Cambria Math" w:hAnsi="Cambria Math"/>
          <w:sz w:val="22"/>
        </w:rPr>
        <w:t>Cov(d) = 2R</w:t>
      </w:r>
    </w:p>
    <w:p w14:paraId="452102BA">
      <w:pPr>
        <w:spacing w:before="60" w:after="120"/>
        <w:jc w:val="center"/>
      </w:pPr>
      <w:r>
        <w:rPr>
          <w:rFonts w:ascii="Cambria Math" w:hAnsi="Cambria Math"/>
          <w:sz w:val="22"/>
        </w:rPr>
        <w:t>R̂ = ½ Cov(d)</w:t>
      </w:r>
    </w:p>
    <w:p w14:paraId="30D8E8DB">
      <w:r>
        <w:t>A small pilot in which two people independently score the same meetings can therefore give R a defensible empirical interpretation. Similar logic can be used with multiple independent items intended to measure the same latent construct.</w:t>
      </w:r>
    </w:p>
    <w:p w14:paraId="628D3137">
      <w:pPr>
        <w:pStyle w:val="3"/>
      </w:pPr>
      <w:r>
        <w:t>Practical data-driven estimate of Q</w:t>
      </w:r>
    </w:p>
    <w:p w14:paraId="41C12210">
      <w:r>
        <w:t>For the transformed linear baseline:</w:t>
      </w:r>
    </w:p>
    <w:p w14:paraId="382EB038">
      <w:pPr>
        <w:spacing w:before="60" w:after="120"/>
        <w:jc w:val="center"/>
      </w:pPr>
      <w:r>
        <w:rPr>
          <w:rFonts w:ascii="Cambria Math" w:hAnsi="Cambria Math"/>
          <w:sz w:val="22"/>
        </w:rPr>
        <w:t>y_k = A_k y_(k−1) + B u_(k−1) + c + w_k</w:t>
      </w:r>
    </w:p>
    <w:p w14:paraId="04B15E0B">
      <w:pPr>
        <w:spacing w:before="60" w:after="120"/>
        <w:jc w:val="center"/>
      </w:pPr>
      <w:r>
        <w:rPr>
          <w:rFonts w:ascii="Cambria Math" w:hAnsi="Cambria Math"/>
          <w:sz w:val="22"/>
        </w:rPr>
        <w:t>r_k = y_k + v_k</w:t>
      </w:r>
    </w:p>
    <w:p w14:paraId="560B8A6B">
      <w:r>
        <w:t>Define observable transition residuals:</w:t>
      </w:r>
    </w:p>
    <w:p w14:paraId="39489C64">
      <w:pPr>
        <w:spacing w:before="60" w:after="120"/>
        <w:jc w:val="center"/>
      </w:pPr>
      <w:r>
        <w:rPr>
          <w:rFonts w:ascii="Cambria Math" w:hAnsi="Cambria Math"/>
          <w:sz w:val="22"/>
        </w:rPr>
        <w:t>e_k = r_k − A_k r_(k−1) − B u_(k−1) − c</w:t>
      </w:r>
    </w:p>
    <w:p w14:paraId="5330A493">
      <w:r>
        <w:t>Substitution gives:</w:t>
      </w:r>
    </w:p>
    <w:p w14:paraId="3F475CA9">
      <w:pPr>
        <w:spacing w:before="60" w:after="120"/>
        <w:jc w:val="center"/>
      </w:pPr>
      <w:r>
        <w:rPr>
          <w:rFonts w:ascii="Cambria Math" w:hAnsi="Cambria Math"/>
          <w:sz w:val="22"/>
        </w:rPr>
        <w:t>e_k = w_k + v_k − A_k v_(k−1)</w:t>
      </w:r>
    </w:p>
    <w:p w14:paraId="0A7CEE8B">
      <w:r>
        <w:t>Under the simplifying assumption that the relevant disturbances are independent:</w:t>
      </w:r>
    </w:p>
    <w:p w14:paraId="0018DE6C">
      <w:pPr>
        <w:spacing w:before="60" w:after="120"/>
        <w:jc w:val="center"/>
      </w:pPr>
      <w:r>
        <w:rPr>
          <w:rFonts w:ascii="Cambria Math" w:hAnsi="Cambria Math"/>
          <w:sz w:val="22"/>
        </w:rPr>
        <w:t>Cov(e_k) = Q_k + R_k + A_k R_(k−1) A_kᵀ</w:t>
      </w:r>
    </w:p>
    <w:p w14:paraId="28171EDD">
      <w:r>
        <w:t>Therefore, after R has been independently estimated, an approximate initial Q is:</w:t>
      </w:r>
    </w:p>
    <w:p w14:paraId="086D072F">
      <w:pPr>
        <w:spacing w:before="60" w:after="120"/>
        <w:jc w:val="center"/>
      </w:pPr>
      <w:r>
        <w:rPr>
          <w:rFonts w:ascii="Cambria Math" w:hAnsi="Cambria Math"/>
          <w:sz w:val="22"/>
        </w:rPr>
        <w:t>Q_k ≈ Cov(e_k) − R_k − A_k R_(k−1) A_kᵀ</w:t>
      </w:r>
    </w:p>
    <w:p w14:paraId="324A193E">
      <w:r>
        <w:t>This is a practical calibration formula, not a universal identification theorem. The resulting matrix should be checked for symmetry and positive semidefiniteness. In a small project, diagonal Q and R are reasonable starting restrictions unless there is enough data to support cross-covariances.</w:t>
      </w:r>
    </w:p>
    <w:p w14:paraId="7D172F84">
      <w:pPr>
        <w:pStyle w:val="3"/>
      </w:pPr>
      <w:r>
        <w:t>Maximum likelihood</w:t>
      </w:r>
    </w:p>
    <w:p w14:paraId="6111A538">
      <w:r>
        <w:t>State-space maximum likelihood can estimate or refine A, B, Q and R jointly by maximizing the likelihood generated by the Kalman recursion. This is statistically coherent, but with short and noisy CRM sequences the likelihood may not distinguish process variation from measurement variation well. Q and R can trade off: an observed jump can be interpreted either as real state movement or as noisy measurement.</w:t>
      </w:r>
    </w:p>
    <w:p w14:paraId="56D79103">
      <w:r>
        <w:t>For a college project, unrestricted joint maximum likelihood of every matrix entry should not be the first implementation. Begin with a restricted model and direct empirical information about R where possible.</w:t>
      </w:r>
    </w:p>
    <w:p w14:paraId="67F64FA3">
      <w:pPr>
        <w:pStyle w:val="3"/>
      </w:pPr>
      <w:r>
        <w:t>Practical Q/R recommendation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EC31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2078EB89">
            <w:pPr>
              <w:spacing w:after="40" w:line="240" w:lineRule="auto"/>
            </w:pPr>
            <w:r>
              <w:rPr>
                <w:b/>
                <w:sz w:val="18"/>
              </w:rPr>
              <w:t>Data situation</w:t>
            </w:r>
          </w:p>
        </w:tc>
        <w:tc>
          <w:tcPr>
            <w:tcW w:w="5040" w:type="dxa"/>
            <w:shd w:val="clear" w:color="auto" w:fill="D9EAF7"/>
            <w:vAlign w:val="center"/>
          </w:tcPr>
          <w:p w14:paraId="3DEF15F3">
            <w:pPr>
              <w:spacing w:after="40" w:line="240" w:lineRule="auto"/>
            </w:pPr>
            <w:r>
              <w:rPr>
                <w:b/>
                <w:sz w:val="18"/>
              </w:rPr>
              <w:t>Recommended treatment</w:t>
            </w:r>
          </w:p>
        </w:tc>
      </w:tr>
      <w:tr w14:paraId="4DDA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340958EA">
            <w:pPr>
              <w:spacing w:after="40" w:line="240" w:lineRule="auto"/>
            </w:pPr>
            <w:r>
              <w:rPr>
                <w:sz w:val="18"/>
              </w:rPr>
              <w:t>Repeated/parallel ratings available</w:t>
            </w:r>
          </w:p>
        </w:tc>
        <w:tc>
          <w:tcPr>
            <w:tcW w:w="5040" w:type="dxa"/>
            <w:tcMar>
              <w:top w:w="80" w:type="dxa"/>
              <w:left w:w="90" w:type="dxa"/>
              <w:bottom w:w="80" w:type="dxa"/>
              <w:right w:w="90" w:type="dxa"/>
            </w:tcMar>
            <w:vAlign w:val="center"/>
          </w:tcPr>
          <w:p w14:paraId="73CCBD3A">
            <w:pPr>
              <w:spacing w:after="40" w:line="240" w:lineRule="auto"/>
            </w:pPr>
            <w:r>
              <w:rPr>
                <w:sz w:val="18"/>
              </w:rPr>
              <w:t>Estimate R from repeated-rating disagreement.</w:t>
            </w:r>
          </w:p>
        </w:tc>
      </w:tr>
      <w:tr w14:paraId="695D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7B9164FE">
            <w:pPr>
              <w:spacing w:after="40" w:line="240" w:lineRule="auto"/>
            </w:pPr>
            <w:r>
              <w:rPr>
                <w:sz w:val="18"/>
              </w:rPr>
              <w:t>Good longitudinal sequences and plausible R</w:t>
            </w:r>
          </w:p>
        </w:tc>
        <w:tc>
          <w:tcPr>
            <w:tcW w:w="5040" w:type="dxa"/>
            <w:tcMar>
              <w:top w:w="80" w:type="dxa"/>
              <w:left w:w="90" w:type="dxa"/>
              <w:bottom w:w="80" w:type="dxa"/>
              <w:right w:w="90" w:type="dxa"/>
            </w:tcMar>
            <w:vAlign w:val="center"/>
          </w:tcPr>
          <w:p w14:paraId="07CF363F">
            <w:pPr>
              <w:spacing w:after="40" w:line="240" w:lineRule="auto"/>
            </w:pPr>
            <w:r>
              <w:rPr>
                <w:sz w:val="18"/>
              </w:rPr>
              <w:t>Estimate transition parameters; initialize Q from adjusted transition residuals.</w:t>
            </w:r>
          </w:p>
        </w:tc>
      </w:tr>
      <w:tr w14:paraId="6713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7F75B1ED">
            <w:pPr>
              <w:spacing w:after="40" w:line="240" w:lineRule="auto"/>
            </w:pPr>
            <w:r>
              <w:rPr>
                <w:sz w:val="18"/>
              </w:rPr>
              <w:t>Substantial longitudinal data</w:t>
            </w:r>
          </w:p>
        </w:tc>
        <w:tc>
          <w:tcPr>
            <w:tcW w:w="5040" w:type="dxa"/>
            <w:tcMar>
              <w:top w:w="80" w:type="dxa"/>
              <w:left w:w="90" w:type="dxa"/>
              <w:bottom w:w="80" w:type="dxa"/>
              <w:right w:w="90" w:type="dxa"/>
            </w:tcMar>
            <w:vAlign w:val="center"/>
          </w:tcPr>
          <w:p w14:paraId="7B0E9281">
            <w:pPr>
              <w:spacing w:after="40" w:line="240" w:lineRule="auto"/>
            </w:pPr>
            <w:r>
              <w:rPr>
                <w:sz w:val="18"/>
              </w:rPr>
              <w:t>Optionally refine Q and R through state-space maximum likelihood.</w:t>
            </w:r>
          </w:p>
        </w:tc>
      </w:tr>
      <w:tr w14:paraId="75629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4820A867">
            <w:pPr>
              <w:spacing w:after="40" w:line="240" w:lineRule="auto"/>
            </w:pPr>
            <w:r>
              <w:rPr>
                <w:sz w:val="18"/>
              </w:rPr>
              <w:t>Very limited data</w:t>
            </w:r>
          </w:p>
        </w:tc>
        <w:tc>
          <w:tcPr>
            <w:tcW w:w="5040" w:type="dxa"/>
            <w:tcMar>
              <w:top w:w="80" w:type="dxa"/>
              <w:left w:w="90" w:type="dxa"/>
              <w:bottom w:w="80" w:type="dxa"/>
              <w:right w:w="90" w:type="dxa"/>
            </w:tcMar>
            <w:vAlign w:val="center"/>
          </w:tcPr>
          <w:p w14:paraId="19885B09">
            <w:pPr>
              <w:spacing w:after="40" w:line="240" w:lineRule="auto"/>
            </w:pPr>
            <w:r>
              <w:rPr>
                <w:sz w:val="18"/>
              </w:rPr>
              <w:t>Use diagonal provisional Q and R and perform sensitivity analysis.</w:t>
            </w:r>
          </w:p>
        </w:tc>
      </w:tr>
      <w:tr w14:paraId="0FA8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3EFA5FBC">
            <w:pPr>
              <w:spacing w:after="40" w:line="240" w:lineRule="auto"/>
            </w:pPr>
            <w:r>
              <w:rPr>
                <w:sz w:val="18"/>
              </w:rPr>
              <w:t>No empirical basis</w:t>
            </w:r>
          </w:p>
        </w:tc>
        <w:tc>
          <w:tcPr>
            <w:tcW w:w="5040" w:type="dxa"/>
            <w:tcMar>
              <w:top w:w="80" w:type="dxa"/>
              <w:left w:w="90" w:type="dxa"/>
              <w:bottom w:w="80" w:type="dxa"/>
              <w:right w:w="90" w:type="dxa"/>
            </w:tcMar>
            <w:vAlign w:val="center"/>
          </w:tcPr>
          <w:p w14:paraId="5E490F5A">
            <w:pPr>
              <w:spacing w:after="40" w:line="240" w:lineRule="auto"/>
            </w:pPr>
            <w:r>
              <w:rPr>
                <w:sz w:val="18"/>
              </w:rPr>
              <w:t>Call Q and R design assumptions or simulation parameters — not objectively measured noise.</w:t>
            </w:r>
          </w:p>
        </w:tc>
      </w:tr>
    </w:tbl>
    <w:p w14:paraId="56B1D041">
      <w:r>
        <w:t>A defensible limitation statement is:</w:t>
      </w:r>
    </w:p>
    <w:tbl>
      <w:tblPr>
        <w:tblStyle w:val="12"/>
        <w:tblW w:w="0" w:type="auto"/>
        <w:jc w:val="center"/>
        <w:tblLayout w:type="autofit"/>
        <w:tblCellMar>
          <w:top w:w="0" w:type="dxa"/>
          <w:left w:w="108" w:type="dxa"/>
          <w:bottom w:w="0" w:type="dxa"/>
          <w:right w:w="108" w:type="dxa"/>
        </w:tblCellMar>
      </w:tblPr>
      <w:tblGrid>
        <w:gridCol w:w="10080"/>
      </w:tblGrid>
      <w:tr w14:paraId="1165651A">
        <w:tblPrEx>
          <w:tblCellMar>
            <w:top w:w="0" w:type="dxa"/>
            <w:left w:w="108" w:type="dxa"/>
            <w:bottom w:w="0" w:type="dxa"/>
            <w:right w:w="108" w:type="dxa"/>
          </w:tblCellMar>
        </w:tblPrEx>
        <w:trPr>
          <w:jc w:val="center"/>
        </w:trPr>
        <w:tc>
          <w:tcPr>
            <w:tcW w:w="10080" w:type="dxa"/>
            <w:shd w:val="clear" w:color="auto" w:fill="F3F6F9"/>
            <w:tcMar>
              <w:top w:w="120" w:type="dxa"/>
              <w:left w:w="140" w:type="dxa"/>
              <w:bottom w:w="120" w:type="dxa"/>
              <w:right w:w="140" w:type="dxa"/>
            </w:tcMar>
            <w:vAlign w:val="center"/>
          </w:tcPr>
          <w:p w14:paraId="7DA31050">
            <w:pPr>
              <w:spacing w:after="40" w:line="240" w:lineRule="auto"/>
              <w:jc w:val="left"/>
            </w:pPr>
            <w:r>
              <w:rPr>
                <w:b/>
                <w:sz w:val="18"/>
              </w:rPr>
              <w:t>Because the available dataset does not independently identify process and measurement variance, Q and R are initialized as diagonal sensitivity parameters. Results are therefore demonstrative rather than empirically calibrated.</w:t>
            </w:r>
          </w:p>
        </w:tc>
      </w:tr>
    </w:tbl>
    <w:p w14:paraId="37506EDE">
      <w:pPr>
        <w:pStyle w:val="3"/>
      </w:pPr>
      <w:r>
        <w:t>Minimum historical data</w:t>
      </w:r>
    </w:p>
    <w:p w14:paraId="407DEDC9">
      <w:r>
        <w:t>There is no universal minimum sample size. The critical requirement is longitudinal opportunity history with repeated interaction-level measurements, not merely a large one-row-per-opportunity table. Each adjacent pair of observations contributes information about a transition.</w:t>
      </w:r>
    </w:p>
    <w:p w14:paraId="4BE3676A">
      <w:r>
        <w:t>For a small restricted model, dozens of usable transitions are only preliminary. Around one hundred or more transitions across many opportunities makes initial estimation substantially more defensible; several hundred are preferable if the project begins estimating cross-state effects and multiple input coefficients. These are practical heuristics rather than statistical guarantees.</w:t>
      </w:r>
    </w:p>
    <w:p w14:paraId="196D99D3">
      <w:pPr>
        <w:pStyle w:val="2"/>
      </w:pPr>
      <w:r>
        <w:t>Part C — Resolving the Role of Stage Progression</w:t>
      </w:r>
    </w:p>
    <w:p w14:paraId="74A8400C">
      <w:pPr>
        <w:pStyle w:val="3"/>
      </w:pPr>
      <w:r>
        <w:t>Alternative 1 — Stage as an Input u_k</w:t>
      </w:r>
    </w:p>
    <w:p w14:paraId="562CCAD9">
      <w:r>
        <w:t>A KF equation can mathematically include lagged stage as a known covariate. However, calling stage a control is misleading. A control-like variable is something the salesperson or organization does, such as making a follow-up, conducting a demo, or offering a proposal. Stage is usually assigned because the opportunity has already reached a certain condition.</w:t>
      </w:r>
    </w:p>
    <w:p w14:paraId="07F12DFB">
      <w:pPr>
        <w:spacing w:before="60" w:after="120"/>
        <w:jc w:val="center"/>
      </w:pPr>
      <w:r>
        <w:rPr>
          <w:rFonts w:ascii="Cambria Math" w:hAnsi="Cambria Math"/>
          <w:sz w:val="22"/>
        </w:rPr>
        <w:t>sales action → opportunity changes → observed stage changes</w:t>
      </w:r>
    </w:p>
    <w:p w14:paraId="10BF8C41">
      <w:r>
        <w:t>If lagged stage is ever included as a predictor, describe it as a known contextual covariate rather than a managerial control. Never use a stage value that was not yet known at the prediction time.</w:t>
      </w:r>
    </w:p>
    <w:p w14:paraId="158D293C">
      <w:pPr>
        <w:pStyle w:val="3"/>
      </w:pPr>
      <w:r>
        <w:t>Alternative 2 — Stage as a Fourth State</w:t>
      </w:r>
    </w:p>
    <w:p w14:paraId="308FF68B">
      <w:pPr>
        <w:spacing w:before="60" w:after="120"/>
        <w:jc w:val="center"/>
      </w:pPr>
      <w:r>
        <w:rPr>
          <w:rFonts w:ascii="Cambria Math" w:hAnsi="Cambria Math"/>
          <w:sz w:val="22"/>
        </w:rPr>
        <w:t>x_k = [ I, U, F, S ]ᵀ</w:t>
      </w:r>
    </w:p>
    <w:p w14:paraId="4608F63A">
      <w:r>
        <w:t>This is not recommended. CRM sales stages are normally ordinal/categorical. Coding Qualification, Presentation, Proposal and Negotiation as 1, 2, 3 and 4 creates numerical distances that do not necessarily correspond to meaningful equal increments. Treating stage as a Gaussian continuous latent state therefore creates an unnecessary modeling problem.</w:t>
      </w:r>
    </w:p>
    <w:p w14:paraId="3B83637E">
      <w:pPr>
        <w:pStyle w:val="3"/>
      </w:pPr>
      <w:r>
        <w:t>Alternative 3 — Stage as a Measurement</w:t>
      </w:r>
    </w:p>
    <w:p w14:paraId="64349790">
      <w:r>
        <w:t>Semantically, measurement is the closest of the three classifications because stage is something observed after the opportunity has reached a certain condition. However, raw ordinal stage should not simply be inserted into a Gaussian measurement equation z = Hx + v as if it were a continuous interval-scale observation.</w:t>
      </w:r>
    </w:p>
    <w:tbl>
      <w:tblPr>
        <w:tblStyle w:val="12"/>
        <w:tblW w:w="0" w:type="auto"/>
        <w:jc w:val="center"/>
        <w:tblLayout w:type="autofit"/>
        <w:tblCellMar>
          <w:top w:w="0" w:type="dxa"/>
          <w:left w:w="108" w:type="dxa"/>
          <w:bottom w:w="0" w:type="dxa"/>
          <w:right w:w="108" w:type="dxa"/>
        </w:tblCellMar>
      </w:tblPr>
      <w:tblGrid>
        <w:gridCol w:w="10080"/>
      </w:tblGrid>
      <w:tr w14:paraId="7AD72F98">
        <w:tblPrEx>
          <w:tblCellMar>
            <w:top w:w="0" w:type="dxa"/>
            <w:left w:w="108" w:type="dxa"/>
            <w:bottom w:w="0" w:type="dxa"/>
            <w:right w:w="108" w:type="dxa"/>
          </w:tblCellMar>
        </w:tblPrEx>
        <w:trPr>
          <w:jc w:val="center"/>
        </w:trPr>
        <w:tc>
          <w:tcPr>
            <w:tcW w:w="10080" w:type="dxa"/>
            <w:shd w:val="clear" w:color="auto" w:fill="F3F6F9"/>
            <w:tcMar>
              <w:top w:w="120" w:type="dxa"/>
              <w:left w:w="140" w:type="dxa"/>
              <w:bottom w:w="120" w:type="dxa"/>
              <w:right w:w="140" w:type="dxa"/>
            </w:tcMar>
            <w:vAlign w:val="center"/>
          </w:tcPr>
          <w:p w14:paraId="10FAAFC5">
            <w:pPr>
              <w:spacing w:after="40" w:line="240" w:lineRule="auto"/>
              <w:jc w:val="left"/>
            </w:pPr>
            <w:r>
              <w:rPr>
                <w:b/>
                <w:sz w:val="18"/>
              </w:rPr>
              <w:t>Part C recommendation: keep stage outside the core continuous filter as an auxiliary observed/context variable. Use it for interpretation, validation, trajectory comparison, or later as a lagged contextual covariate if justified. Among the three proposed labels, “measurement” is semantically closest, but raw stage should not enter the first Gaussian correction equation.</w:t>
            </w:r>
          </w:p>
        </w:tc>
      </w:tr>
    </w:tbl>
    <w:p w14:paraId="2C56ADB6">
      <w:pPr>
        <w:pStyle w:val="2"/>
      </w:pPr>
      <w:r>
        <w:t>Part D — Defining the State-Transition Model g(·)</w:t>
      </w:r>
    </w:p>
    <w:p w14:paraId="2EB3116F">
      <w:r>
        <w:t>This section determines whether the project truly needs a UKF. The transition must encode plausible CRM dynamics without inventing coefficients and presenting them as facts.</w:t>
      </w:r>
    </w:p>
    <w:p w14:paraId="6944D23D">
      <w:pPr>
        <w:pStyle w:val="3"/>
      </w:pPr>
      <w:r>
        <w:t>Recommended baseline transition in logit space</w:t>
      </w:r>
    </w:p>
    <w:p w14:paraId="511251E6">
      <w:pPr>
        <w:spacing w:before="60" w:after="120"/>
        <w:jc w:val="center"/>
      </w:pPr>
      <w:r>
        <w:rPr>
          <w:rFonts w:ascii="Cambria Math" w:hAnsi="Cambria Math"/>
          <w:sz w:val="22"/>
        </w:rPr>
        <w:t>y_k = m + D(Δt_k)(y_(k−1) − m) + B φ(u_(k−1)) + w_k</w:t>
      </w:r>
    </w:p>
    <w:p w14:paraId="3F68E762">
      <w:pPr>
        <w:spacing w:before="60" w:after="120"/>
        <w:jc w:val="center"/>
      </w:pPr>
      <w:r>
        <w:rPr>
          <w:rFonts w:ascii="Cambria Math" w:hAnsi="Cambria Math"/>
          <w:sz w:val="22"/>
        </w:rPr>
        <w:t>D(Δt_k) = diag( e^(−λ_I Δt_k), e^(−λ_U Δt_k), e^(−λ_F Δt_k) )</w:t>
      </w:r>
    </w:p>
    <w:p w14:paraId="5AD0CAA8">
      <w:r>
        <w:t>Interpretation: m is a baseline or equilibrium vector; λ_I, λ_U and λ_F control how each latent dimension changes with elapsed time; B contains estimated relationships between CRM activities and state movement; and φ(u) contains preprocessed known activities such as log(1 + calls) when diminishing marginal effect is plausible.</w:t>
      </w:r>
    </w:p>
    <w:p w14:paraId="0D028B3F">
      <w:pPr>
        <w:pStyle w:val="3"/>
      </w:pPr>
      <w:r>
        <w:t>Why this can still be a Linear KF</w:t>
      </w:r>
    </w:p>
    <w:p w14:paraId="37A62834">
      <w:r>
        <w:t>The expression log(1 + calls) is nonlinear in the observed call count, but calls are known rather than uncertain states. The transformation can be calculated before filtering. Likewise e^(−λΔt) is nonlinear in time, but Δt is known, so D(Δt_k) is simply a known time-varying transition matrix at step k.</w:t>
      </w:r>
    </w:p>
    <w:tbl>
      <w:tblPr>
        <w:tblStyle w:val="12"/>
        <w:tblW w:w="0" w:type="auto"/>
        <w:jc w:val="center"/>
        <w:tblLayout w:type="autofit"/>
        <w:tblCellMar>
          <w:top w:w="0" w:type="dxa"/>
          <w:left w:w="108" w:type="dxa"/>
          <w:bottom w:w="0" w:type="dxa"/>
          <w:right w:w="108" w:type="dxa"/>
        </w:tblCellMar>
      </w:tblPr>
      <w:tblGrid>
        <w:gridCol w:w="10080"/>
      </w:tblGrid>
      <w:tr w14:paraId="066751B2">
        <w:tblPrEx>
          <w:tblCellMar>
            <w:top w:w="0" w:type="dxa"/>
            <w:left w:w="108" w:type="dxa"/>
            <w:bottom w:w="0" w:type="dxa"/>
            <w:right w:w="108" w:type="dxa"/>
          </w:tblCellMar>
        </w:tblPrEx>
        <w:trPr>
          <w:jc w:val="center"/>
        </w:trPr>
        <w:tc>
          <w:tcPr>
            <w:tcW w:w="10080" w:type="dxa"/>
            <w:shd w:val="clear" w:color="auto" w:fill="F3F6F9"/>
            <w:tcMar>
              <w:top w:w="120" w:type="dxa"/>
              <w:left w:w="140" w:type="dxa"/>
              <w:bottom w:w="120" w:type="dxa"/>
              <w:right w:w="140" w:type="dxa"/>
            </w:tcMar>
            <w:vAlign w:val="center"/>
          </w:tcPr>
          <w:p w14:paraId="5EF81E2A">
            <w:pPr>
              <w:spacing w:after="40" w:line="240" w:lineRule="auto"/>
              <w:jc w:val="left"/>
            </w:pPr>
            <w:r>
              <w:rPr>
                <w:b/>
                <w:sz w:val="18"/>
              </w:rPr>
              <w:t>Nonlinearity in known time or known inputs does not automatically require a UKF. What matters is whether the uncertain state itself enters g(·) or h(·) nonlinearly.</w:t>
            </w:r>
          </w:p>
        </w:tc>
      </w:tr>
    </w:tbl>
    <w:p w14:paraId="6AC307BB">
      <w:pPr>
        <w:pStyle w:val="3"/>
      </w:pPr>
      <w:r>
        <w:t>Different behavior of I, U and F</w:t>
      </w:r>
    </w:p>
    <w:p w14:paraId="480D1EAF">
      <w:r>
        <w:t>The structure allows each latent dimension to respond differently without asserting those differences in advance. λ_I, λ_U and λ_F may differ, and each row of B can have a different activity response. Historical CRM data should estimate these parameters. The project should not claim, for example, that interest decays faster than usefulness unless the data support that conclusion.</w:t>
      </w:r>
    </w:p>
    <w:p w14:paraId="6D4712A6">
      <w:pPr>
        <w:pStyle w:val="3"/>
      </w:pPr>
      <w:r>
        <w:t>Small numerical example — illustrative only</w:t>
      </w:r>
    </w:p>
    <w:p w14:paraId="5A650A77">
      <w:r>
        <w:t>Assume, purely for illustration:</w:t>
      </w:r>
    </w:p>
    <w:p w14:paraId="0790D104">
      <w:pPr>
        <w:spacing w:before="60" w:after="120"/>
        <w:jc w:val="center"/>
      </w:pPr>
      <w:r>
        <w:rPr>
          <w:rFonts w:ascii="Cambria Math" w:hAnsi="Cambria Math"/>
          <w:sz w:val="22"/>
        </w:rPr>
        <w:t>I_(k−1)=0.70,    U_(k−1)=0.60,    F_(k−1)=0.80</w:t>
      </w:r>
    </w:p>
    <w:p w14:paraId="4FEBFC7B">
      <w:pPr>
        <w:spacing w:before="60" w:after="120"/>
        <w:jc w:val="center"/>
      </w:pPr>
      <w:r>
        <w:rPr>
          <w:rFonts w:ascii="Cambria Math" w:hAnsi="Cambria Math"/>
          <w:sz w:val="22"/>
        </w:rPr>
        <w:t>y_(k−1) ≈ [ 0.847, 0.405, 1.386 ]ᵀ</w:t>
      </w:r>
    </w:p>
    <w:p w14:paraId="67BE6C14">
      <w:r>
        <w:t>Suppose ten days pass and illustrative decay parameters are λ = [0.02, 0.005, 0.002] per day, with m = 0. Then:</w:t>
      </w:r>
    </w:p>
    <w:p w14:paraId="761CBAEF">
      <w:pPr>
        <w:spacing w:before="60" w:after="120"/>
        <w:jc w:val="center"/>
      </w:pPr>
      <w:r>
        <w:rPr>
          <w:rFonts w:ascii="Cambria Math" w:hAnsi="Cambria Math"/>
          <w:sz w:val="22"/>
        </w:rPr>
        <w:t>D(10) ≈ diag(0.819, 0.951, 0.980)</w:t>
      </w:r>
    </w:p>
    <w:p w14:paraId="5DDCF57C">
      <w:pPr>
        <w:spacing w:before="60" w:after="120"/>
        <w:jc w:val="center"/>
      </w:pPr>
      <w:r>
        <w:rPr>
          <w:rFonts w:ascii="Cambria Math" w:hAnsi="Cambria Math"/>
          <w:sz w:val="22"/>
        </w:rPr>
        <w:t>D(10)y_(k−1) ≈ [ 0.694, 0.385, 1.359 ]ᵀ</w:t>
      </w:r>
    </w:p>
    <w:p w14:paraId="4E625CD8">
      <w:r>
        <w:t>If a presentation occurred and the illustrative fitted input contribution were:</w:t>
      </w:r>
    </w:p>
    <w:p w14:paraId="09CC4A11">
      <w:pPr>
        <w:spacing w:before="60" w:after="120"/>
        <w:jc w:val="center"/>
      </w:pPr>
      <w:r>
        <w:rPr>
          <w:rFonts w:ascii="Cambria Math" w:hAnsi="Cambria Math"/>
          <w:sz w:val="22"/>
        </w:rPr>
        <w:t>Bφ(u) = [ 0.30, 0.50, 0.20 ]ᵀ</w:t>
      </w:r>
    </w:p>
    <w:p w14:paraId="51097EB9">
      <w:r>
        <w:t>then the deterministic predicted logit state would be:</w:t>
      </w:r>
    </w:p>
    <w:p w14:paraId="55197757">
      <w:pPr>
        <w:spacing w:before="60" w:after="120"/>
        <w:jc w:val="center"/>
      </w:pPr>
      <w:r>
        <w:rPr>
          <w:rFonts w:ascii="Cambria Math" w:hAnsi="Cambria Math"/>
          <w:sz w:val="22"/>
        </w:rPr>
        <w:t>ŷ_k ≈ [ 0.994, 0.885, 1.559 ]ᵀ</w:t>
      </w:r>
    </w:p>
    <w:p w14:paraId="233CDE15">
      <w:r>
        <w:t>Transforming back to the 0–1 scale gives approximately:</w:t>
      </w:r>
    </w:p>
    <w:p w14:paraId="32FA9B4E">
      <w:pPr>
        <w:spacing w:before="60" w:after="120"/>
        <w:jc w:val="center"/>
      </w:pPr>
      <w:r>
        <w:rPr>
          <w:rFonts w:ascii="Cambria Math" w:hAnsi="Cambria Math"/>
          <w:sz w:val="22"/>
        </w:rPr>
        <w:t>x̂_k ≈ [ 0.730, 0.708, 0.826 ]ᵀ</w:t>
      </w:r>
    </w:p>
    <w:p w14:paraId="13AE8EE5">
      <w:r>
        <w:t>These coefficients are not factual claims about sales behavior. They only demonstrate how empirically estimated coefficients would enter the transition.</w:t>
      </w:r>
    </w:p>
    <w:p w14:paraId="58979A77">
      <w:pPr>
        <w:pStyle w:val="3"/>
      </w:pPr>
      <w:r>
        <w:t>A transition that genuinely justifies UKF</w:t>
      </w:r>
    </w:p>
    <w:p w14:paraId="6617A7CC">
      <w:r>
        <w:t>A UKF becomes defensible if the effect of an input depends nonlinearly on the uncertain state itself. For example:</w:t>
      </w:r>
    </w:p>
    <w:p w14:paraId="492DC2B3">
      <w:pPr>
        <w:spacing w:before="60" w:after="120"/>
        <w:jc w:val="center"/>
      </w:pPr>
      <w:r>
        <w:rPr>
          <w:rFonts w:ascii="Cambria Math" w:hAnsi="Cambria Math"/>
          <w:sz w:val="22"/>
        </w:rPr>
        <w:t>y_I,k = m_I + ρ_I(Δt)(y_I,k−1 − m_I) + β_Iᵀφ(u) + γ_I a_k x_I,k−1(1−x_I,k−1) + w_I,k</w:t>
      </w:r>
    </w:p>
    <w:p w14:paraId="28A8C954">
      <w:pPr>
        <w:spacing w:before="60" w:after="120"/>
        <w:jc w:val="center"/>
      </w:pPr>
      <w:r>
        <w:rPr>
          <w:rFonts w:ascii="Cambria Math" w:hAnsi="Cambria Math"/>
          <w:sz w:val="22"/>
        </w:rPr>
        <w:t>x_I,k−1 = σ(y_I,k−1)</w:t>
      </w:r>
    </w:p>
    <w:p w14:paraId="7FFDDFE4">
      <w:r>
        <w:t>The factor x(1−x) makes the action effect state-dependent, representing a possible ceiling/floor phenomenon. Another genuinely nonlinear example would include interactions such as γ a_k U_(k−1)F_(k−1). These terms should not be inserted merely to justify a UKF; they should be supported by residual patterns, theory, or held-out predictive improvement.</w:t>
      </w:r>
    </w:p>
    <w:p w14:paraId="5D7109C8">
      <w:pPr>
        <w:pStyle w:val="2"/>
      </w:pPr>
      <w:r>
        <w:t>Part E — Defining the Measurement Model h(·)</w:t>
      </w:r>
    </w:p>
    <w:p w14:paraId="57C21DFF">
      <w:r>
        <w:t>For direct measurements of interest, understanding and usefulness, the simplest model is likely the most defensible.</w:t>
      </w:r>
    </w:p>
    <w:p w14:paraId="30BD6158">
      <w:pPr>
        <w:spacing w:before="60" w:after="120"/>
        <w:jc w:val="center"/>
      </w:pPr>
      <w:r>
        <w:rPr>
          <w:rFonts w:ascii="Cambria Math" w:hAnsi="Cambria Math"/>
          <w:sz w:val="22"/>
        </w:rPr>
        <w:t>r_k = [ logit(I_obs), logit(U_obs), logit(F_obs) ]ᵀ</w:t>
      </w:r>
    </w:p>
    <w:p w14:paraId="3E46D114">
      <w:pPr>
        <w:spacing w:before="60" w:after="120"/>
        <w:jc w:val="center"/>
      </w:pPr>
      <w:r>
        <w:rPr>
          <w:rFonts w:ascii="Cambria Math" w:hAnsi="Cambria Math"/>
          <w:sz w:val="22"/>
        </w:rPr>
        <w:t>r_k = H y_k + v_k,    H = I₃</w:t>
      </w:r>
    </w:p>
    <w:p w14:paraId="7763190D">
      <w:pPr>
        <w:spacing w:before="60" w:after="120"/>
        <w:jc w:val="center"/>
      </w:pPr>
      <w:r>
        <w:rPr>
          <w:rFonts w:ascii="Cambria Math" w:hAnsi="Cambria Math"/>
          <w:sz w:val="22"/>
        </w:rPr>
        <w:t>h(y) = y</w:t>
      </w:r>
    </w:p>
    <w:p w14:paraId="51324534">
      <w:r>
        <w:t>A complicated observation function is not required simply because a UKF is available. If measurements are transformed into the same logit space as the state, a direct identity observation model is clear and interpretable.</w:t>
      </w:r>
    </w:p>
    <w:p w14:paraId="5C3250C3">
      <w:pPr>
        <w:pStyle w:val="3"/>
      </w:pPr>
      <w:r>
        <w:t>How to classify presentation rating</w:t>
      </w:r>
    </w:p>
    <w:p w14:paraId="1C5FF9E2">
      <w:pPr>
        <w:pStyle w:val="23"/>
      </w:pPr>
      <w:r>
        <w:t>If “presentation rating” means how well the salesperson or presentation was delivered, it describes the sales action and is better treated as an input/covariate.</w:t>
      </w:r>
    </w:p>
    <w:p w14:paraId="7F9272CD">
      <w:pPr>
        <w:pStyle w:val="23"/>
      </w:pPr>
      <w:r>
        <w:t>If it means a measured client reaction, engagement or comprehension during the presentation, it can be an observation.</w:t>
      </w:r>
    </w:p>
    <w:p w14:paraId="347C57B6">
      <w:r>
        <w:t>If a presentation-response score is eventually modeled as a combination of several latent dimensions, the coefficients must be estimated rather than invented.</w:t>
      </w:r>
    </w:p>
    <w:p w14:paraId="37E316FF">
      <w:pPr>
        <w:pStyle w:val="3"/>
      </w:pPr>
      <w:r>
        <w:t>Would nonlinear h(·) make sense?</w:t>
      </w:r>
    </w:p>
    <w:p w14:paraId="14361F8B">
      <w:r>
        <w:t>It is mathematically possible to keep observations on the raw 0–1 scale and write:</w:t>
      </w:r>
    </w:p>
    <w:p w14:paraId="349B6532">
      <w:pPr>
        <w:spacing w:before="60" w:after="120"/>
        <w:jc w:val="center"/>
      </w:pPr>
      <w:r>
        <w:rPr>
          <w:rFonts w:ascii="Cambria Math" w:hAnsi="Cambria Math"/>
          <w:sz w:val="22"/>
        </w:rPr>
        <w:t>z_k = σ(y_k) + v_k</w:t>
      </w:r>
    </w:p>
    <w:p w14:paraId="4B1A6740">
      <w:r>
        <w:t>This gives a nonlinear measurement function h(y) = σ(y) and a UKF could propagate sigma points through it. However, transforming the observations into logit space avoids that extra complexity. Therefore the current data specification does not provide a strong empirical reason for a nonlinear measurement model.</w:t>
      </w:r>
    </w:p>
    <w:p w14:paraId="21B341CC">
      <w:pPr>
        <w:pStyle w:val="2"/>
      </w:pPr>
      <w:r>
        <w:t>Part F — Linear KF vs UKF for This CRM Architecture</w:t>
      </w:r>
    </w:p>
    <w:p w14:paraId="55E29AF8">
      <w:r>
        <w:t>The relevant distinction is not whether CRM behavior is “complex.” The relevant question is whether an uncertain state enters the transition or observation equation nonlinearly.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CA1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9EAF7"/>
            <w:vAlign w:val="center"/>
          </w:tcPr>
          <w:p w14:paraId="429DC08A">
            <w:pPr>
              <w:spacing w:after="40" w:line="240" w:lineRule="auto"/>
            </w:pPr>
            <w:r>
              <w:rPr>
                <w:b/>
                <w:sz w:val="18"/>
              </w:rPr>
              <w:t>Criterion</w:t>
            </w:r>
          </w:p>
        </w:tc>
        <w:tc>
          <w:tcPr>
            <w:tcW w:w="3360" w:type="dxa"/>
            <w:shd w:val="clear" w:color="auto" w:fill="D9EAF7"/>
            <w:vAlign w:val="center"/>
          </w:tcPr>
          <w:p w14:paraId="02E00E99">
            <w:pPr>
              <w:spacing w:after="40" w:line="240" w:lineRule="auto"/>
            </w:pPr>
            <w:r>
              <w:rPr>
                <w:b/>
                <w:sz w:val="18"/>
              </w:rPr>
              <w:t>Time-varying Linear KF</w:t>
            </w:r>
          </w:p>
        </w:tc>
        <w:tc>
          <w:tcPr>
            <w:tcW w:w="3360" w:type="dxa"/>
            <w:shd w:val="clear" w:color="auto" w:fill="D9EAF7"/>
            <w:vAlign w:val="center"/>
          </w:tcPr>
          <w:p w14:paraId="349DF746">
            <w:pPr>
              <w:spacing w:after="40" w:line="240" w:lineRule="auto"/>
            </w:pPr>
            <w:r>
              <w:rPr>
                <w:b/>
                <w:sz w:val="18"/>
              </w:rPr>
              <w:t>UKF</w:t>
            </w:r>
          </w:p>
        </w:tc>
      </w:tr>
      <w:tr w14:paraId="4D84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0B8C6DFD">
            <w:pPr>
              <w:spacing w:after="40" w:line="240" w:lineRule="auto"/>
            </w:pPr>
            <w:r>
              <w:rPr>
                <w:sz w:val="18"/>
              </w:rPr>
              <w:t>Latent I, U, F</w:t>
            </w:r>
          </w:p>
        </w:tc>
        <w:tc>
          <w:tcPr>
            <w:tcW w:w="3360" w:type="dxa"/>
            <w:tcMar>
              <w:top w:w="80" w:type="dxa"/>
              <w:left w:w="90" w:type="dxa"/>
              <w:bottom w:w="80" w:type="dxa"/>
              <w:right w:w="90" w:type="dxa"/>
            </w:tcMar>
            <w:vAlign w:val="center"/>
          </w:tcPr>
          <w:p w14:paraId="39A2621E">
            <w:pPr>
              <w:spacing w:after="40" w:line="240" w:lineRule="auto"/>
            </w:pPr>
            <w:r>
              <w:rPr>
                <w:sz w:val="18"/>
              </w:rPr>
              <w:t>Yes</w:t>
            </w:r>
          </w:p>
        </w:tc>
        <w:tc>
          <w:tcPr>
            <w:tcW w:w="3360" w:type="dxa"/>
            <w:tcMar>
              <w:top w:w="80" w:type="dxa"/>
              <w:left w:w="90" w:type="dxa"/>
              <w:bottom w:w="80" w:type="dxa"/>
              <w:right w:w="90" w:type="dxa"/>
            </w:tcMar>
            <w:vAlign w:val="center"/>
          </w:tcPr>
          <w:p w14:paraId="1C132A36">
            <w:pPr>
              <w:spacing w:after="40" w:line="240" w:lineRule="auto"/>
            </w:pPr>
            <w:r>
              <w:rPr>
                <w:sz w:val="18"/>
              </w:rPr>
              <w:t>Yes</w:t>
            </w:r>
          </w:p>
        </w:tc>
      </w:tr>
      <w:tr w14:paraId="424CC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3B7F300E">
            <w:pPr>
              <w:spacing w:after="40" w:line="240" w:lineRule="auto"/>
            </w:pPr>
            <w:r>
              <w:rPr>
                <w:sz w:val="18"/>
              </w:rPr>
              <w:t>Logit bounded-state handling</w:t>
            </w:r>
          </w:p>
        </w:tc>
        <w:tc>
          <w:tcPr>
            <w:tcW w:w="3360" w:type="dxa"/>
            <w:tcMar>
              <w:top w:w="80" w:type="dxa"/>
              <w:left w:w="90" w:type="dxa"/>
              <w:bottom w:w="80" w:type="dxa"/>
              <w:right w:w="90" w:type="dxa"/>
            </w:tcMar>
            <w:vAlign w:val="center"/>
          </w:tcPr>
          <w:p w14:paraId="5C81921D">
            <w:pPr>
              <w:spacing w:after="40" w:line="240" w:lineRule="auto"/>
            </w:pPr>
            <w:r>
              <w:rPr>
                <w:sz w:val="18"/>
              </w:rPr>
              <w:t>Yes</w:t>
            </w:r>
          </w:p>
        </w:tc>
        <w:tc>
          <w:tcPr>
            <w:tcW w:w="3360" w:type="dxa"/>
            <w:tcMar>
              <w:top w:w="80" w:type="dxa"/>
              <w:left w:w="90" w:type="dxa"/>
              <w:bottom w:w="80" w:type="dxa"/>
              <w:right w:w="90" w:type="dxa"/>
            </w:tcMar>
            <w:vAlign w:val="center"/>
          </w:tcPr>
          <w:p w14:paraId="04C23EE0">
            <w:pPr>
              <w:spacing w:after="40" w:line="240" w:lineRule="auto"/>
            </w:pPr>
            <w:r>
              <w:rPr>
                <w:sz w:val="18"/>
              </w:rPr>
              <w:t>Yes</w:t>
            </w:r>
          </w:p>
        </w:tc>
      </w:tr>
      <w:tr w14:paraId="75261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6EAECB71">
            <w:pPr>
              <w:spacing w:after="40" w:line="240" w:lineRule="auto"/>
            </w:pPr>
            <w:r>
              <w:rPr>
                <w:sz w:val="18"/>
              </w:rPr>
              <w:t>Irregular Δt</w:t>
            </w:r>
          </w:p>
        </w:tc>
        <w:tc>
          <w:tcPr>
            <w:tcW w:w="3360" w:type="dxa"/>
            <w:tcMar>
              <w:top w:w="80" w:type="dxa"/>
              <w:left w:w="90" w:type="dxa"/>
              <w:bottom w:w="80" w:type="dxa"/>
              <w:right w:w="90" w:type="dxa"/>
            </w:tcMar>
            <w:vAlign w:val="center"/>
          </w:tcPr>
          <w:p w14:paraId="1E3031DB">
            <w:pPr>
              <w:spacing w:after="40" w:line="240" w:lineRule="auto"/>
            </w:pPr>
            <w:r>
              <w:rPr>
                <w:sz w:val="18"/>
              </w:rPr>
              <w:t>Yes, through A_k</w:t>
            </w:r>
          </w:p>
        </w:tc>
        <w:tc>
          <w:tcPr>
            <w:tcW w:w="3360" w:type="dxa"/>
            <w:tcMar>
              <w:top w:w="80" w:type="dxa"/>
              <w:left w:w="90" w:type="dxa"/>
              <w:bottom w:w="80" w:type="dxa"/>
              <w:right w:w="90" w:type="dxa"/>
            </w:tcMar>
            <w:vAlign w:val="center"/>
          </w:tcPr>
          <w:p w14:paraId="0C47FF58">
            <w:pPr>
              <w:spacing w:after="40" w:line="240" w:lineRule="auto"/>
            </w:pPr>
            <w:r>
              <w:rPr>
                <w:sz w:val="18"/>
              </w:rPr>
              <w:t>Yes</w:t>
            </w:r>
          </w:p>
        </w:tc>
      </w:tr>
      <w:tr w14:paraId="52AB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48739674">
            <w:pPr>
              <w:spacing w:after="40" w:line="240" w:lineRule="auto"/>
            </w:pPr>
            <w:r>
              <w:rPr>
                <w:sz w:val="18"/>
              </w:rPr>
              <w:t>Exponential function of known Δt</w:t>
            </w:r>
          </w:p>
        </w:tc>
        <w:tc>
          <w:tcPr>
            <w:tcW w:w="3360" w:type="dxa"/>
            <w:tcMar>
              <w:top w:w="80" w:type="dxa"/>
              <w:left w:w="90" w:type="dxa"/>
              <w:bottom w:w="80" w:type="dxa"/>
              <w:right w:w="90" w:type="dxa"/>
            </w:tcMar>
            <w:vAlign w:val="center"/>
          </w:tcPr>
          <w:p w14:paraId="542EA3A9">
            <w:pPr>
              <w:spacing w:after="40" w:line="240" w:lineRule="auto"/>
            </w:pPr>
            <w:r>
              <w:rPr>
                <w:sz w:val="18"/>
              </w:rPr>
              <w:t>Yes</w:t>
            </w:r>
          </w:p>
        </w:tc>
        <w:tc>
          <w:tcPr>
            <w:tcW w:w="3360" w:type="dxa"/>
            <w:tcMar>
              <w:top w:w="80" w:type="dxa"/>
              <w:left w:w="90" w:type="dxa"/>
              <w:bottom w:w="80" w:type="dxa"/>
              <w:right w:w="90" w:type="dxa"/>
            </w:tcMar>
            <w:vAlign w:val="center"/>
          </w:tcPr>
          <w:p w14:paraId="4F9E89E7">
            <w:pPr>
              <w:spacing w:after="40" w:line="240" w:lineRule="auto"/>
            </w:pPr>
            <w:r>
              <w:rPr>
                <w:sz w:val="18"/>
              </w:rPr>
              <w:t>Yes</w:t>
            </w:r>
          </w:p>
        </w:tc>
      </w:tr>
      <w:tr w14:paraId="1E4A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6E0196E0">
            <w:pPr>
              <w:spacing w:after="40" w:line="240" w:lineRule="auto"/>
            </w:pPr>
            <w:r>
              <w:rPr>
                <w:sz w:val="18"/>
              </w:rPr>
              <w:t>Saturating transform of known activity</w:t>
            </w:r>
          </w:p>
        </w:tc>
        <w:tc>
          <w:tcPr>
            <w:tcW w:w="3360" w:type="dxa"/>
            <w:tcMar>
              <w:top w:w="80" w:type="dxa"/>
              <w:left w:w="90" w:type="dxa"/>
              <w:bottom w:w="80" w:type="dxa"/>
              <w:right w:w="90" w:type="dxa"/>
            </w:tcMar>
            <w:vAlign w:val="center"/>
          </w:tcPr>
          <w:p w14:paraId="1C90382E">
            <w:pPr>
              <w:spacing w:after="40" w:line="240" w:lineRule="auto"/>
            </w:pPr>
            <w:r>
              <w:rPr>
                <w:sz w:val="18"/>
              </w:rPr>
              <w:t>Yes</w:t>
            </w:r>
          </w:p>
        </w:tc>
        <w:tc>
          <w:tcPr>
            <w:tcW w:w="3360" w:type="dxa"/>
            <w:tcMar>
              <w:top w:w="80" w:type="dxa"/>
              <w:left w:w="90" w:type="dxa"/>
              <w:bottom w:w="80" w:type="dxa"/>
              <w:right w:w="90" w:type="dxa"/>
            </w:tcMar>
            <w:vAlign w:val="center"/>
          </w:tcPr>
          <w:p w14:paraId="674A15FE">
            <w:pPr>
              <w:spacing w:after="40" w:line="240" w:lineRule="auto"/>
            </w:pPr>
            <w:r>
              <w:rPr>
                <w:sz w:val="18"/>
              </w:rPr>
              <w:t>Yes</w:t>
            </w:r>
          </w:p>
        </w:tc>
      </w:tr>
      <w:tr w14:paraId="650D3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78571598">
            <w:pPr>
              <w:spacing w:after="40" w:line="240" w:lineRule="auto"/>
            </w:pPr>
            <w:r>
              <w:rPr>
                <w:sz w:val="18"/>
              </w:rPr>
              <w:t>State-dependent action effect</w:t>
            </w:r>
          </w:p>
        </w:tc>
        <w:tc>
          <w:tcPr>
            <w:tcW w:w="3360" w:type="dxa"/>
            <w:tcMar>
              <w:top w:w="80" w:type="dxa"/>
              <w:left w:w="90" w:type="dxa"/>
              <w:bottom w:w="80" w:type="dxa"/>
              <w:right w:w="90" w:type="dxa"/>
            </w:tcMar>
            <w:vAlign w:val="center"/>
          </w:tcPr>
          <w:p w14:paraId="1D831695">
            <w:pPr>
              <w:spacing w:after="40" w:line="240" w:lineRule="auto"/>
            </w:pPr>
            <w:r>
              <w:rPr>
                <w:sz w:val="18"/>
              </w:rPr>
              <w:t>Not as a linear state equation</w:t>
            </w:r>
          </w:p>
        </w:tc>
        <w:tc>
          <w:tcPr>
            <w:tcW w:w="3360" w:type="dxa"/>
            <w:tcMar>
              <w:top w:w="80" w:type="dxa"/>
              <w:left w:w="90" w:type="dxa"/>
              <w:bottom w:w="80" w:type="dxa"/>
              <w:right w:w="90" w:type="dxa"/>
            </w:tcMar>
            <w:vAlign w:val="center"/>
          </w:tcPr>
          <w:p w14:paraId="470A9A3A">
            <w:pPr>
              <w:spacing w:after="40" w:line="240" w:lineRule="auto"/>
            </w:pPr>
            <w:r>
              <w:rPr>
                <w:sz w:val="18"/>
              </w:rPr>
              <w:t>Yes</w:t>
            </w:r>
          </w:p>
        </w:tc>
      </w:tr>
      <w:tr w14:paraId="24C0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275E5AD1">
            <w:pPr>
              <w:spacing w:after="40" w:line="240" w:lineRule="auto"/>
            </w:pPr>
            <w:r>
              <w:rPr>
                <w:sz w:val="18"/>
              </w:rPr>
              <w:t>Nonlinear interaction between uncertain states</w:t>
            </w:r>
          </w:p>
        </w:tc>
        <w:tc>
          <w:tcPr>
            <w:tcW w:w="3360" w:type="dxa"/>
            <w:tcMar>
              <w:top w:w="80" w:type="dxa"/>
              <w:left w:w="90" w:type="dxa"/>
              <w:bottom w:w="80" w:type="dxa"/>
              <w:right w:w="90" w:type="dxa"/>
            </w:tcMar>
            <w:vAlign w:val="center"/>
          </w:tcPr>
          <w:p w14:paraId="6B26B20B">
            <w:pPr>
              <w:spacing w:after="40" w:line="240" w:lineRule="auto"/>
            </w:pPr>
            <w:r>
              <w:rPr>
                <w:sz w:val="18"/>
              </w:rPr>
              <w:t>No</w:t>
            </w:r>
          </w:p>
        </w:tc>
        <w:tc>
          <w:tcPr>
            <w:tcW w:w="3360" w:type="dxa"/>
            <w:tcMar>
              <w:top w:w="80" w:type="dxa"/>
              <w:left w:w="90" w:type="dxa"/>
              <w:bottom w:w="80" w:type="dxa"/>
              <w:right w:w="90" w:type="dxa"/>
            </w:tcMar>
            <w:vAlign w:val="center"/>
          </w:tcPr>
          <w:p w14:paraId="43C11476">
            <w:pPr>
              <w:spacing w:after="40" w:line="240" w:lineRule="auto"/>
            </w:pPr>
            <w:r>
              <w:rPr>
                <w:sz w:val="18"/>
              </w:rPr>
              <w:t>Yes</w:t>
            </w:r>
          </w:p>
        </w:tc>
      </w:tr>
      <w:tr w14:paraId="661E9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4662EC68">
            <w:pPr>
              <w:spacing w:after="40" w:line="240" w:lineRule="auto"/>
            </w:pPr>
            <w:r>
              <w:rPr>
                <w:sz w:val="18"/>
              </w:rPr>
              <w:t>h(y)=y</w:t>
            </w:r>
          </w:p>
        </w:tc>
        <w:tc>
          <w:tcPr>
            <w:tcW w:w="3360" w:type="dxa"/>
            <w:tcMar>
              <w:top w:w="80" w:type="dxa"/>
              <w:left w:w="90" w:type="dxa"/>
              <w:bottom w:w="80" w:type="dxa"/>
              <w:right w:w="90" w:type="dxa"/>
            </w:tcMar>
            <w:vAlign w:val="center"/>
          </w:tcPr>
          <w:p w14:paraId="38B62812">
            <w:pPr>
              <w:spacing w:after="40" w:line="240" w:lineRule="auto"/>
            </w:pPr>
            <w:r>
              <w:rPr>
                <w:sz w:val="18"/>
              </w:rPr>
              <w:t>Ideal</w:t>
            </w:r>
          </w:p>
        </w:tc>
        <w:tc>
          <w:tcPr>
            <w:tcW w:w="3360" w:type="dxa"/>
            <w:tcMar>
              <w:top w:w="80" w:type="dxa"/>
              <w:left w:w="90" w:type="dxa"/>
              <w:bottom w:w="80" w:type="dxa"/>
              <w:right w:w="90" w:type="dxa"/>
            </w:tcMar>
            <w:vAlign w:val="center"/>
          </w:tcPr>
          <w:p w14:paraId="0F4C17A4">
            <w:pPr>
              <w:spacing w:after="40" w:line="240" w:lineRule="auto"/>
            </w:pPr>
            <w:r>
              <w:rPr>
                <w:sz w:val="18"/>
              </w:rPr>
              <w:t>UKF unnecessary for measurement</w:t>
            </w:r>
          </w:p>
        </w:tc>
      </w:tr>
      <w:tr w14:paraId="5B680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49E24093">
            <w:pPr>
              <w:spacing w:after="40" w:line="240" w:lineRule="auto"/>
            </w:pPr>
            <w:r>
              <w:rPr>
                <w:sz w:val="18"/>
              </w:rPr>
              <w:t>h(y)=σ(y)</w:t>
            </w:r>
          </w:p>
        </w:tc>
        <w:tc>
          <w:tcPr>
            <w:tcW w:w="3360" w:type="dxa"/>
            <w:tcMar>
              <w:top w:w="80" w:type="dxa"/>
              <w:left w:w="90" w:type="dxa"/>
              <w:bottom w:w="80" w:type="dxa"/>
              <w:right w:w="90" w:type="dxa"/>
            </w:tcMar>
            <w:vAlign w:val="center"/>
          </w:tcPr>
          <w:p w14:paraId="508452E1">
            <w:pPr>
              <w:spacing w:after="40" w:line="240" w:lineRule="auto"/>
            </w:pPr>
            <w:r>
              <w:rPr>
                <w:sz w:val="18"/>
              </w:rPr>
              <w:t>Nonlinear</w:t>
            </w:r>
          </w:p>
        </w:tc>
        <w:tc>
          <w:tcPr>
            <w:tcW w:w="3360" w:type="dxa"/>
            <w:tcMar>
              <w:top w:w="80" w:type="dxa"/>
              <w:left w:w="90" w:type="dxa"/>
              <w:bottom w:w="80" w:type="dxa"/>
              <w:right w:w="90" w:type="dxa"/>
            </w:tcMar>
            <w:vAlign w:val="center"/>
          </w:tcPr>
          <w:p w14:paraId="1C1C079F">
            <w:pPr>
              <w:spacing w:after="40" w:line="240" w:lineRule="auto"/>
            </w:pPr>
            <w:r>
              <w:rPr>
                <w:sz w:val="18"/>
              </w:rPr>
              <w:t>Appropriate</w:t>
            </w:r>
          </w:p>
        </w:tc>
      </w:tr>
      <w:tr w14:paraId="741B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3DF4B4B7">
            <w:pPr>
              <w:spacing w:after="40" w:line="240" w:lineRule="auto"/>
            </w:pPr>
            <w:r>
              <w:rPr>
                <w:sz w:val="18"/>
              </w:rPr>
              <w:t>Data requirements</w:t>
            </w:r>
          </w:p>
        </w:tc>
        <w:tc>
          <w:tcPr>
            <w:tcW w:w="3360" w:type="dxa"/>
            <w:tcMar>
              <w:top w:w="80" w:type="dxa"/>
              <w:left w:w="90" w:type="dxa"/>
              <w:bottom w:w="80" w:type="dxa"/>
              <w:right w:w="90" w:type="dxa"/>
            </w:tcMar>
            <w:vAlign w:val="center"/>
          </w:tcPr>
          <w:p w14:paraId="01070EAA">
            <w:pPr>
              <w:spacing w:after="40" w:line="240" w:lineRule="auto"/>
            </w:pPr>
            <w:r>
              <w:rPr>
                <w:sz w:val="18"/>
              </w:rPr>
              <w:t>Lower</w:t>
            </w:r>
          </w:p>
        </w:tc>
        <w:tc>
          <w:tcPr>
            <w:tcW w:w="3360" w:type="dxa"/>
            <w:tcMar>
              <w:top w:w="80" w:type="dxa"/>
              <w:left w:w="90" w:type="dxa"/>
              <w:bottom w:w="80" w:type="dxa"/>
              <w:right w:w="90" w:type="dxa"/>
            </w:tcMar>
            <w:vAlign w:val="center"/>
          </w:tcPr>
          <w:p w14:paraId="08A0F475">
            <w:pPr>
              <w:spacing w:after="40" w:line="240" w:lineRule="auto"/>
            </w:pPr>
            <w:r>
              <w:rPr>
                <w:sz w:val="18"/>
              </w:rPr>
              <w:t>Usually higher</w:t>
            </w:r>
          </w:p>
        </w:tc>
      </w:tr>
      <w:tr w14:paraId="3C67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7C071A92">
            <w:pPr>
              <w:spacing w:after="40" w:line="240" w:lineRule="auto"/>
            </w:pPr>
            <w:r>
              <w:rPr>
                <w:sz w:val="18"/>
              </w:rPr>
              <w:t>Parameter estimation difficulty</w:t>
            </w:r>
          </w:p>
        </w:tc>
        <w:tc>
          <w:tcPr>
            <w:tcW w:w="3360" w:type="dxa"/>
            <w:tcMar>
              <w:top w:w="80" w:type="dxa"/>
              <w:left w:w="90" w:type="dxa"/>
              <w:bottom w:w="80" w:type="dxa"/>
              <w:right w:w="90" w:type="dxa"/>
            </w:tcMar>
            <w:vAlign w:val="center"/>
          </w:tcPr>
          <w:p w14:paraId="1AA5A6F3">
            <w:pPr>
              <w:spacing w:after="40" w:line="240" w:lineRule="auto"/>
            </w:pPr>
            <w:r>
              <w:rPr>
                <w:sz w:val="18"/>
              </w:rPr>
              <w:t>Lower</w:t>
            </w:r>
          </w:p>
        </w:tc>
        <w:tc>
          <w:tcPr>
            <w:tcW w:w="3360" w:type="dxa"/>
            <w:tcMar>
              <w:top w:w="80" w:type="dxa"/>
              <w:left w:w="90" w:type="dxa"/>
              <w:bottom w:w="80" w:type="dxa"/>
              <w:right w:w="90" w:type="dxa"/>
            </w:tcMar>
            <w:vAlign w:val="center"/>
          </w:tcPr>
          <w:p w14:paraId="26B7593A">
            <w:pPr>
              <w:spacing w:after="40" w:line="240" w:lineRule="auto"/>
            </w:pPr>
            <w:r>
              <w:rPr>
                <w:sz w:val="18"/>
              </w:rPr>
              <w:t>Higher</w:t>
            </w:r>
          </w:p>
        </w:tc>
      </w:tr>
      <w:tr w14:paraId="6B8ED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62AA8672">
            <w:pPr>
              <w:spacing w:after="40" w:line="240" w:lineRule="auto"/>
            </w:pPr>
            <w:r>
              <w:rPr>
                <w:sz w:val="18"/>
              </w:rPr>
              <w:t>Interpretability</w:t>
            </w:r>
          </w:p>
        </w:tc>
        <w:tc>
          <w:tcPr>
            <w:tcW w:w="3360" w:type="dxa"/>
            <w:tcMar>
              <w:top w:w="80" w:type="dxa"/>
              <w:left w:w="90" w:type="dxa"/>
              <w:bottom w:w="80" w:type="dxa"/>
              <w:right w:w="90" w:type="dxa"/>
            </w:tcMar>
            <w:vAlign w:val="center"/>
          </w:tcPr>
          <w:p w14:paraId="20D6069E">
            <w:pPr>
              <w:spacing w:after="40" w:line="240" w:lineRule="auto"/>
            </w:pPr>
            <w:r>
              <w:rPr>
                <w:sz w:val="18"/>
              </w:rPr>
              <w:t>Higher</w:t>
            </w:r>
          </w:p>
        </w:tc>
        <w:tc>
          <w:tcPr>
            <w:tcW w:w="3360" w:type="dxa"/>
            <w:tcMar>
              <w:top w:w="80" w:type="dxa"/>
              <w:left w:w="90" w:type="dxa"/>
              <w:bottom w:w="80" w:type="dxa"/>
              <w:right w:w="90" w:type="dxa"/>
            </w:tcMar>
            <w:vAlign w:val="center"/>
          </w:tcPr>
          <w:p w14:paraId="5B7FCFF6">
            <w:pPr>
              <w:spacing w:after="40" w:line="240" w:lineRule="auto"/>
            </w:pPr>
            <w:r>
              <w:rPr>
                <w:sz w:val="18"/>
              </w:rPr>
              <w:t>Lower</w:t>
            </w:r>
          </w:p>
        </w:tc>
      </w:tr>
      <w:tr w14:paraId="131C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025F5CAE">
            <w:pPr>
              <w:spacing w:after="40" w:line="240" w:lineRule="auto"/>
            </w:pPr>
            <w:r>
              <w:rPr>
                <w:sz w:val="18"/>
              </w:rPr>
              <w:t>Implementation/debugging complexity</w:t>
            </w:r>
          </w:p>
        </w:tc>
        <w:tc>
          <w:tcPr>
            <w:tcW w:w="3360" w:type="dxa"/>
            <w:tcMar>
              <w:top w:w="80" w:type="dxa"/>
              <w:left w:w="90" w:type="dxa"/>
              <w:bottom w:w="80" w:type="dxa"/>
              <w:right w:w="90" w:type="dxa"/>
            </w:tcMar>
            <w:vAlign w:val="center"/>
          </w:tcPr>
          <w:p w14:paraId="64564E82">
            <w:pPr>
              <w:spacing w:after="40" w:line="240" w:lineRule="auto"/>
            </w:pPr>
            <w:r>
              <w:rPr>
                <w:sz w:val="18"/>
              </w:rPr>
              <w:t>Lower</w:t>
            </w:r>
          </w:p>
        </w:tc>
        <w:tc>
          <w:tcPr>
            <w:tcW w:w="3360" w:type="dxa"/>
            <w:tcMar>
              <w:top w:w="80" w:type="dxa"/>
              <w:left w:w="90" w:type="dxa"/>
              <w:bottom w:w="80" w:type="dxa"/>
              <w:right w:w="90" w:type="dxa"/>
            </w:tcMar>
            <w:vAlign w:val="center"/>
          </w:tcPr>
          <w:p w14:paraId="3381A03E">
            <w:pPr>
              <w:spacing w:after="40" w:line="240" w:lineRule="auto"/>
            </w:pPr>
            <w:r>
              <w:rPr>
                <w:sz w:val="18"/>
              </w:rPr>
              <w:t>Higher</w:t>
            </w:r>
          </w:p>
        </w:tc>
      </w:tr>
      <w:tr w14:paraId="352BF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5A210D69">
            <w:pPr>
              <w:spacing w:after="40" w:line="240" w:lineRule="auto"/>
            </w:pPr>
            <w:r>
              <w:rPr>
                <w:sz w:val="18"/>
              </w:rPr>
              <w:t>Risk of unnecessary complexity</w:t>
            </w:r>
          </w:p>
        </w:tc>
        <w:tc>
          <w:tcPr>
            <w:tcW w:w="3360" w:type="dxa"/>
            <w:tcMar>
              <w:top w:w="80" w:type="dxa"/>
              <w:left w:w="90" w:type="dxa"/>
              <w:bottom w:w="80" w:type="dxa"/>
              <w:right w:w="90" w:type="dxa"/>
            </w:tcMar>
            <w:vAlign w:val="center"/>
          </w:tcPr>
          <w:p w14:paraId="12B4D6A2">
            <w:pPr>
              <w:spacing w:after="40" w:line="240" w:lineRule="auto"/>
            </w:pPr>
            <w:r>
              <w:rPr>
                <w:sz w:val="18"/>
              </w:rPr>
              <w:t>Low</w:t>
            </w:r>
          </w:p>
        </w:tc>
        <w:tc>
          <w:tcPr>
            <w:tcW w:w="3360" w:type="dxa"/>
            <w:tcMar>
              <w:top w:w="80" w:type="dxa"/>
              <w:left w:w="90" w:type="dxa"/>
              <w:bottom w:w="80" w:type="dxa"/>
              <w:right w:w="90" w:type="dxa"/>
            </w:tcMar>
            <w:vAlign w:val="center"/>
          </w:tcPr>
          <w:p w14:paraId="06BC1DCA">
            <w:pPr>
              <w:spacing w:after="40" w:line="240" w:lineRule="auto"/>
            </w:pPr>
            <w:r>
              <w:rPr>
                <w:sz w:val="18"/>
              </w:rPr>
              <w:t>Significant</w:t>
            </w:r>
          </w:p>
        </w:tc>
      </w:tr>
      <w:tr w14:paraId="7328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Mar>
              <w:top w:w="80" w:type="dxa"/>
              <w:left w:w="90" w:type="dxa"/>
              <w:bottom w:w="80" w:type="dxa"/>
              <w:right w:w="90" w:type="dxa"/>
            </w:tcMar>
            <w:vAlign w:val="center"/>
          </w:tcPr>
          <w:p w14:paraId="28AD4943">
            <w:pPr>
              <w:spacing w:after="40" w:line="240" w:lineRule="auto"/>
            </w:pPr>
            <w:r>
              <w:rPr>
                <w:sz w:val="18"/>
              </w:rPr>
              <w:t>Current empirical justification</w:t>
            </w:r>
          </w:p>
        </w:tc>
        <w:tc>
          <w:tcPr>
            <w:tcW w:w="3360" w:type="dxa"/>
            <w:tcMar>
              <w:top w:w="80" w:type="dxa"/>
              <w:left w:w="90" w:type="dxa"/>
              <w:bottom w:w="80" w:type="dxa"/>
              <w:right w:w="90" w:type="dxa"/>
            </w:tcMar>
            <w:vAlign w:val="center"/>
          </w:tcPr>
          <w:p w14:paraId="3CF11141">
            <w:pPr>
              <w:spacing w:after="40" w:line="240" w:lineRule="auto"/>
            </w:pPr>
            <w:r>
              <w:rPr>
                <w:sz w:val="18"/>
              </w:rPr>
              <w:t>Stronger</w:t>
            </w:r>
          </w:p>
        </w:tc>
        <w:tc>
          <w:tcPr>
            <w:tcW w:w="3360" w:type="dxa"/>
            <w:tcMar>
              <w:top w:w="80" w:type="dxa"/>
              <w:left w:w="90" w:type="dxa"/>
              <w:bottom w:w="80" w:type="dxa"/>
              <w:right w:w="90" w:type="dxa"/>
            </w:tcMar>
            <w:vAlign w:val="center"/>
          </w:tcPr>
          <w:p w14:paraId="786E4AA8">
            <w:pPr>
              <w:spacing w:after="40" w:line="240" w:lineRule="auto"/>
            </w:pPr>
            <w:r>
              <w:rPr>
                <w:sz w:val="18"/>
              </w:rPr>
              <w:t>Not yet established</w:t>
            </w:r>
          </w:p>
        </w:tc>
      </w:tr>
    </w:tbl>
    <w:p w14:paraId="5A7D0248">
      <w:pPr>
        <w:pStyle w:val="3"/>
      </w:pPr>
      <w:r>
        <w:t>Specific conditions under which UKF adds value</w:t>
      </w:r>
    </w:p>
    <w:p w14:paraId="60AA1707">
      <w:r>
        <w:t>Known-input nonlinearity alone is not enough. For example, if u* = log(1 + calls), then the model can still be linear in the uncertain state:</w:t>
      </w:r>
    </w:p>
    <w:p w14:paraId="7160A3E2">
      <w:pPr>
        <w:spacing w:before="60" w:after="120"/>
        <w:jc w:val="center"/>
      </w:pPr>
      <w:r>
        <w:rPr>
          <w:rFonts w:ascii="Cambria Math" w:hAnsi="Cambria Math"/>
          <w:sz w:val="22"/>
        </w:rPr>
        <w:t>y_k = A_k y_(k−1) + B u* + w_k</w:t>
      </w:r>
    </w:p>
    <w:p w14:paraId="7087D599">
      <w:r>
        <w:t>Likewise, if A_k = diag(e^(−λ₁Δt), e^(−λ₂Δt), e^(−λ₃Δt)), then A_k is a known time-varying matrix once Δt is known. A UKF becomes materially useful when the uncertain state appears inside nonlinear terms, for example:</w:t>
      </w:r>
    </w:p>
    <w:p w14:paraId="4AA305B2">
      <w:pPr>
        <w:spacing w:before="60" w:after="120"/>
        <w:jc w:val="center"/>
      </w:pPr>
      <w:r>
        <w:rPr>
          <w:rFonts w:ascii="Cambria Math" w:hAnsi="Cambria Math"/>
          <w:sz w:val="22"/>
        </w:rPr>
        <w:t>y_I,k = a y_I,k−1 + b u_k σ(y_I,k−1) + …</w:t>
      </w:r>
    </w:p>
    <w:p w14:paraId="09AFBFBE">
      <w:r>
        <w:t>or when the observation model itself is nonlinear in the uncertain state and that formulation is required by the measurement process.</w:t>
      </w:r>
    </w:p>
    <w:p w14:paraId="275BDC7E">
      <w:pPr>
        <w:pStyle w:val="3"/>
      </w:pPr>
      <w:r>
        <w:t>What evidence should justify moving from KF to UKF?</w:t>
      </w:r>
    </w:p>
    <w:p w14:paraId="48EBABC6">
      <w:r>
        <w:t>Fit and validate the simpler model first. On held-out opportunity sequences, examine one-step-ahead innovations:</w:t>
      </w:r>
    </w:p>
    <w:p w14:paraId="1A53F276">
      <w:pPr>
        <w:spacing w:before="60" w:after="120"/>
        <w:jc w:val="center"/>
      </w:pPr>
      <w:r>
        <w:rPr>
          <w:rFonts w:ascii="Cambria Math" w:hAnsi="Cambria Math"/>
          <w:sz w:val="22"/>
        </w:rPr>
        <w:t>ν_k = z_k − ẑ_(k|k−1)</w:t>
      </w:r>
    </w:p>
    <w:p w14:paraId="3027303A">
      <w:r>
        <w:t>If the linear model leaves systematic residual structure—for example, predictable under-response near the middle of the state range and over-response near the boundaries—and an explicitly state-dependent nonlinear transition removes that structure on held-out data, then UKF has earned its extra complexity.</w:t>
      </w:r>
    </w:p>
    <w:p w14:paraId="15A886DC">
      <w:pPr>
        <w:pStyle w:val="23"/>
      </w:pPr>
      <w:r>
        <w:t>Compare one-step-ahead measurement prediction error.</w:t>
      </w:r>
    </w:p>
    <w:p w14:paraId="76A31563">
      <w:pPr>
        <w:pStyle w:val="23"/>
      </w:pPr>
      <w:r>
        <w:t>Check whether innovations show systematic bias or autocorrelation.</w:t>
      </w:r>
    </w:p>
    <w:p w14:paraId="52C4B4DA">
      <w:pPr>
        <w:pStyle w:val="23"/>
      </w:pPr>
      <w:r>
        <w:t>Compare held-out state-space likelihood where practical.</w:t>
      </w:r>
    </w:p>
    <w:p w14:paraId="4E91EBBE">
      <w:pPr>
        <w:pStyle w:val="23"/>
      </w:pPr>
      <w:r>
        <w:t>Check stability and sensitivity of the uncertainty estimates.</w:t>
      </w:r>
    </w:p>
    <w:p w14:paraId="3A75AEE5">
      <w:r>
        <w:t>Because the current project is state estimation rather than conversion classification, sale-conversion accuracy should not be the principal justification for switching filters.</w:t>
      </w:r>
    </w:p>
    <w:p w14:paraId="095969B1">
      <w:pPr>
        <w:pStyle w:val="2"/>
      </w:pPr>
      <w:r>
        <w:t>Part G — Two Final Architectures</w:t>
      </w:r>
    </w:p>
    <w:p w14:paraId="6A4BA1E5">
      <w:pPr>
        <w:pStyle w:val="3"/>
      </w:pPr>
      <w:r>
        <w:t>Architecture A — Conservative / Time-varying Linear KF</w:t>
      </w:r>
    </w:p>
    <w:p w14:paraId="5C8A8554">
      <w:pPr>
        <w:spacing w:before="60" w:after="120"/>
        <w:jc w:val="center"/>
      </w:pPr>
      <w:r>
        <w:rPr>
          <w:rFonts w:ascii="Cambria Math" w:hAnsi="Cambria Math"/>
          <w:sz w:val="22"/>
        </w:rPr>
        <w:t>CRM records → normalize/transform → state initialization → KF prediction → new ratings → KF correction → updated latent state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1F69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2C432BBF">
            <w:pPr>
              <w:spacing w:after="40" w:line="240" w:lineRule="auto"/>
            </w:pPr>
            <w:r>
              <w:rPr>
                <w:b/>
                <w:sz w:val="18"/>
              </w:rPr>
              <w:t>Component</w:t>
            </w:r>
          </w:p>
        </w:tc>
        <w:tc>
          <w:tcPr>
            <w:tcW w:w="5040" w:type="dxa"/>
            <w:shd w:val="clear" w:color="auto" w:fill="D9EAF7"/>
            <w:vAlign w:val="center"/>
          </w:tcPr>
          <w:p w14:paraId="1F802A8E">
            <w:pPr>
              <w:spacing w:after="40" w:line="240" w:lineRule="auto"/>
            </w:pPr>
            <w:r>
              <w:rPr>
                <w:b/>
                <w:sz w:val="18"/>
              </w:rPr>
              <w:t>Recommended specification</w:t>
            </w:r>
          </w:p>
        </w:tc>
      </w:tr>
      <w:tr w14:paraId="6FD40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1598A836">
            <w:pPr>
              <w:spacing w:after="40" w:line="240" w:lineRule="auto"/>
            </w:pPr>
            <w:r>
              <w:rPr>
                <w:sz w:val="18"/>
              </w:rPr>
              <w:t>Internal state</w:t>
            </w:r>
          </w:p>
        </w:tc>
        <w:tc>
          <w:tcPr>
            <w:tcW w:w="5040" w:type="dxa"/>
            <w:tcMar>
              <w:top w:w="80" w:type="dxa"/>
              <w:left w:w="90" w:type="dxa"/>
              <w:bottom w:w="80" w:type="dxa"/>
              <w:right w:w="90" w:type="dxa"/>
            </w:tcMar>
            <w:vAlign w:val="center"/>
          </w:tcPr>
          <w:p w14:paraId="7AFA30A5">
            <w:pPr>
              <w:spacing w:after="40" w:line="240" w:lineRule="auto"/>
            </w:pPr>
            <w:r>
              <w:rPr>
                <w:sz w:val="18"/>
              </w:rPr>
              <w:t>y_k = [logit(I_k), logit(U_k), logit(F_k)]ᵀ</w:t>
            </w:r>
          </w:p>
        </w:tc>
      </w:tr>
      <w:tr w14:paraId="2F27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74BAFCDF">
            <w:pPr>
              <w:spacing w:after="40" w:line="240" w:lineRule="auto"/>
            </w:pPr>
            <w:r>
              <w:rPr>
                <w:sz w:val="18"/>
              </w:rPr>
              <w:t>Displayed state</w:t>
            </w:r>
          </w:p>
        </w:tc>
        <w:tc>
          <w:tcPr>
            <w:tcW w:w="5040" w:type="dxa"/>
            <w:tcMar>
              <w:top w:w="80" w:type="dxa"/>
              <w:left w:w="90" w:type="dxa"/>
              <w:bottom w:w="80" w:type="dxa"/>
              <w:right w:w="90" w:type="dxa"/>
            </w:tcMar>
            <w:vAlign w:val="center"/>
          </w:tcPr>
          <w:p w14:paraId="43F91C13">
            <w:pPr>
              <w:spacing w:after="40" w:line="240" w:lineRule="auto"/>
            </w:pPr>
            <w:r>
              <w:rPr>
                <w:sz w:val="18"/>
              </w:rPr>
              <w:t>x_k = σ(y_k)</w:t>
            </w:r>
          </w:p>
        </w:tc>
      </w:tr>
      <w:tr w14:paraId="29658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5F3CD4E1">
            <w:pPr>
              <w:spacing w:after="40" w:line="240" w:lineRule="auto"/>
            </w:pPr>
            <w:r>
              <w:rPr>
                <w:sz w:val="18"/>
              </w:rPr>
              <w:t>Inputs/covariates</w:t>
            </w:r>
          </w:p>
        </w:tc>
        <w:tc>
          <w:tcPr>
            <w:tcW w:w="5040" w:type="dxa"/>
            <w:tcMar>
              <w:top w:w="80" w:type="dxa"/>
              <w:left w:w="90" w:type="dxa"/>
              <w:bottom w:w="80" w:type="dxa"/>
              <w:right w:w="90" w:type="dxa"/>
            </w:tcMar>
            <w:vAlign w:val="center"/>
          </w:tcPr>
          <w:p w14:paraId="746EC086">
            <w:pPr>
              <w:spacing w:after="40" w:line="240" w:lineRule="auto"/>
            </w:pPr>
            <w:r>
              <w:rPr>
                <w:sz w:val="18"/>
              </w:rPr>
              <w:t>Follow-up activity, contact activity, presentation/demo action, other known salesperson actions</w:t>
            </w:r>
          </w:p>
        </w:tc>
      </w:tr>
      <w:tr w14:paraId="132B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637615B7">
            <w:pPr>
              <w:spacing w:after="40" w:line="240" w:lineRule="auto"/>
            </w:pPr>
            <w:r>
              <w:rPr>
                <w:sz w:val="18"/>
              </w:rPr>
              <w:t>Measurements</w:t>
            </w:r>
          </w:p>
        </w:tc>
        <w:tc>
          <w:tcPr>
            <w:tcW w:w="5040" w:type="dxa"/>
            <w:tcMar>
              <w:top w:w="80" w:type="dxa"/>
              <w:left w:w="90" w:type="dxa"/>
              <w:bottom w:w="80" w:type="dxa"/>
              <w:right w:w="90" w:type="dxa"/>
            </w:tcMar>
            <w:vAlign w:val="center"/>
          </w:tcPr>
          <w:p w14:paraId="13FEF41A">
            <w:pPr>
              <w:spacing w:after="40" w:line="240" w:lineRule="auto"/>
            </w:pPr>
            <w:r>
              <w:rPr>
                <w:sz w:val="18"/>
              </w:rPr>
              <w:t>Logit-transformed observed interest, understanding and usefulness ratings</w:t>
            </w:r>
          </w:p>
        </w:tc>
      </w:tr>
      <w:tr w14:paraId="7080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2E1F04BE">
            <w:pPr>
              <w:spacing w:after="40" w:line="240" w:lineRule="auto"/>
            </w:pPr>
            <w:r>
              <w:rPr>
                <w:sz w:val="18"/>
              </w:rPr>
              <w:t>Transition</w:t>
            </w:r>
          </w:p>
        </w:tc>
        <w:tc>
          <w:tcPr>
            <w:tcW w:w="5040" w:type="dxa"/>
            <w:tcMar>
              <w:top w:w="80" w:type="dxa"/>
              <w:left w:w="90" w:type="dxa"/>
              <w:bottom w:w="80" w:type="dxa"/>
              <w:right w:w="90" w:type="dxa"/>
            </w:tcMar>
            <w:vAlign w:val="center"/>
          </w:tcPr>
          <w:p w14:paraId="4AC4260D">
            <w:pPr>
              <w:spacing w:after="40" w:line="240" w:lineRule="auto"/>
            </w:pPr>
            <w:r>
              <w:rPr>
                <w:sz w:val="18"/>
              </w:rPr>
              <w:t>y_k = m + D(Δt_k)(y_(k−1) − m) + Bφ(u_(k−1)) + w_k</w:t>
            </w:r>
          </w:p>
        </w:tc>
      </w:tr>
      <w:tr w14:paraId="4877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7EC07075">
            <w:pPr>
              <w:spacing w:after="40" w:line="240" w:lineRule="auto"/>
            </w:pPr>
            <w:r>
              <w:rPr>
                <w:sz w:val="18"/>
              </w:rPr>
              <w:t>Measurement model</w:t>
            </w:r>
          </w:p>
        </w:tc>
        <w:tc>
          <w:tcPr>
            <w:tcW w:w="5040" w:type="dxa"/>
            <w:tcMar>
              <w:top w:w="80" w:type="dxa"/>
              <w:left w:w="90" w:type="dxa"/>
              <w:bottom w:w="80" w:type="dxa"/>
              <w:right w:w="90" w:type="dxa"/>
            </w:tcMar>
            <w:vAlign w:val="center"/>
          </w:tcPr>
          <w:p w14:paraId="62363909">
            <w:pPr>
              <w:spacing w:after="40" w:line="240" w:lineRule="auto"/>
            </w:pPr>
            <w:r>
              <w:rPr>
                <w:sz w:val="18"/>
              </w:rPr>
              <w:t>r_k = H y_k + v_k, normally H = I</w:t>
            </w:r>
          </w:p>
        </w:tc>
      </w:tr>
      <w:tr w14:paraId="5123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34D76478">
            <w:pPr>
              <w:spacing w:after="40" w:line="240" w:lineRule="auto"/>
            </w:pPr>
            <w:r>
              <w:rPr>
                <w:sz w:val="18"/>
              </w:rPr>
              <w:t>Q</w:t>
            </w:r>
          </w:p>
        </w:tc>
        <w:tc>
          <w:tcPr>
            <w:tcW w:w="5040" w:type="dxa"/>
            <w:tcMar>
              <w:top w:w="80" w:type="dxa"/>
              <w:left w:w="90" w:type="dxa"/>
              <w:bottom w:w="80" w:type="dxa"/>
              <w:right w:w="90" w:type="dxa"/>
            </w:tcMar>
            <w:vAlign w:val="center"/>
          </w:tcPr>
          <w:p w14:paraId="62133390">
            <w:pPr>
              <w:spacing w:after="40" w:line="240" w:lineRule="auto"/>
            </w:pPr>
            <w:r>
              <w:rPr>
                <w:sz w:val="18"/>
              </w:rPr>
              <w:t>Estimate from longitudinal transition residuals after obtaining a plausible R; start restricted/diagonal</w:t>
            </w:r>
          </w:p>
        </w:tc>
      </w:tr>
      <w:tr w14:paraId="7956D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721E15A2">
            <w:pPr>
              <w:spacing w:after="40" w:line="240" w:lineRule="auto"/>
            </w:pPr>
            <w:r>
              <w:rPr>
                <w:sz w:val="18"/>
              </w:rPr>
              <w:t>R</w:t>
            </w:r>
          </w:p>
        </w:tc>
        <w:tc>
          <w:tcPr>
            <w:tcW w:w="5040" w:type="dxa"/>
            <w:tcMar>
              <w:top w:w="80" w:type="dxa"/>
              <w:left w:w="90" w:type="dxa"/>
              <w:bottom w:w="80" w:type="dxa"/>
              <w:right w:w="90" w:type="dxa"/>
            </w:tcMar>
            <w:vAlign w:val="center"/>
          </w:tcPr>
          <w:p w14:paraId="73B44198">
            <w:pPr>
              <w:spacing w:after="40" w:line="240" w:lineRule="auto"/>
            </w:pPr>
            <w:r>
              <w:rPr>
                <w:sz w:val="18"/>
              </w:rPr>
              <w:t>Estimate from repeated/parallel rating disagreement where possible</w:t>
            </w:r>
          </w:p>
        </w:tc>
      </w:tr>
      <w:tr w14:paraId="0EFB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24360D70">
            <w:pPr>
              <w:spacing w:after="40" w:line="240" w:lineRule="auto"/>
            </w:pPr>
            <w:r>
              <w:rPr>
                <w:sz w:val="18"/>
              </w:rPr>
              <w:t>Elapsed time</w:t>
            </w:r>
          </w:p>
        </w:tc>
        <w:tc>
          <w:tcPr>
            <w:tcW w:w="5040" w:type="dxa"/>
            <w:tcMar>
              <w:top w:w="80" w:type="dxa"/>
              <w:left w:w="90" w:type="dxa"/>
              <w:bottom w:w="80" w:type="dxa"/>
              <w:right w:w="90" w:type="dxa"/>
            </w:tcMar>
            <w:vAlign w:val="center"/>
          </w:tcPr>
          <w:p w14:paraId="74884691">
            <w:pPr>
              <w:spacing w:after="40" w:line="240" w:lineRule="auto"/>
            </w:pPr>
            <w:r>
              <w:rPr>
                <w:sz w:val="18"/>
              </w:rPr>
              <w:t>Use in D(Δt_k) and possibly Q(Δt_k); not as z_k</w:t>
            </w:r>
          </w:p>
        </w:tc>
      </w:tr>
      <w:tr w14:paraId="7AA1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23A50679">
            <w:pPr>
              <w:spacing w:after="40" w:line="240" w:lineRule="auto"/>
            </w:pPr>
            <w:r>
              <w:rPr>
                <w:sz w:val="18"/>
              </w:rPr>
              <w:t>[0,1] treatment</w:t>
            </w:r>
          </w:p>
        </w:tc>
        <w:tc>
          <w:tcPr>
            <w:tcW w:w="5040" w:type="dxa"/>
            <w:tcMar>
              <w:top w:w="80" w:type="dxa"/>
              <w:left w:w="90" w:type="dxa"/>
              <w:bottom w:w="80" w:type="dxa"/>
              <w:right w:w="90" w:type="dxa"/>
            </w:tcMar>
            <w:vAlign w:val="center"/>
          </w:tcPr>
          <w:p w14:paraId="49669CAC">
            <w:pPr>
              <w:spacing w:after="40" w:line="240" w:lineRule="auto"/>
            </w:pPr>
            <w:r>
              <w:rPr>
                <w:sz w:val="18"/>
              </w:rPr>
              <w:t>Logit transform; sigmoid for display</w:t>
            </w:r>
          </w:p>
        </w:tc>
      </w:tr>
      <w:tr w14:paraId="72DF2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203549E4">
            <w:pPr>
              <w:spacing w:after="40" w:line="240" w:lineRule="auto"/>
            </w:pPr>
            <w:r>
              <w:rPr>
                <w:sz w:val="18"/>
              </w:rPr>
              <w:t>Stage progression</w:t>
            </w:r>
          </w:p>
        </w:tc>
        <w:tc>
          <w:tcPr>
            <w:tcW w:w="5040" w:type="dxa"/>
            <w:tcMar>
              <w:top w:w="80" w:type="dxa"/>
              <w:left w:w="90" w:type="dxa"/>
              <w:bottom w:w="80" w:type="dxa"/>
              <w:right w:w="90" w:type="dxa"/>
            </w:tcMar>
            <w:vAlign w:val="center"/>
          </w:tcPr>
          <w:p w14:paraId="29DDA567">
            <w:pPr>
              <w:spacing w:after="40" w:line="240" w:lineRule="auto"/>
            </w:pPr>
            <w:r>
              <w:rPr>
                <w:sz w:val="18"/>
              </w:rPr>
              <w:t>Keep outside core filter as auxiliary observed/context information</w:t>
            </w:r>
          </w:p>
        </w:tc>
      </w:tr>
    </w:tbl>
    <w:p w14:paraId="7279ED07">
      <w:pPr>
        <w:pStyle w:val="3"/>
      </w:pPr>
      <w:r>
        <w:t>Architecture B — Nonlinear / UKF</w:t>
      </w:r>
    </w:p>
    <w:p w14:paraId="3B9FCCB7">
      <w:pPr>
        <w:spacing w:before="60" w:after="120"/>
        <w:jc w:val="center"/>
      </w:pPr>
      <w:r>
        <w:rPr>
          <w:rFonts w:ascii="Cambria Math" w:hAnsi="Cambria Math"/>
          <w:sz w:val="22"/>
        </w:rPr>
        <w:t>CRM records → normalize/transform → state initialization → UKF nonlinear prediction → new observations → UKF correction → updated latent state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833B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1A3F5702">
            <w:pPr>
              <w:spacing w:after="40" w:line="240" w:lineRule="auto"/>
            </w:pPr>
            <w:r>
              <w:rPr>
                <w:b/>
                <w:sz w:val="18"/>
              </w:rPr>
              <w:t>Component</w:t>
            </w:r>
          </w:p>
        </w:tc>
        <w:tc>
          <w:tcPr>
            <w:tcW w:w="5040" w:type="dxa"/>
            <w:shd w:val="clear" w:color="auto" w:fill="D9EAF7"/>
            <w:vAlign w:val="center"/>
          </w:tcPr>
          <w:p w14:paraId="771C2803">
            <w:pPr>
              <w:spacing w:after="40" w:line="240" w:lineRule="auto"/>
            </w:pPr>
            <w:r>
              <w:rPr>
                <w:b/>
                <w:sz w:val="18"/>
              </w:rPr>
              <w:t>Recommended specification if nonlinear evidence exists</w:t>
            </w:r>
          </w:p>
        </w:tc>
      </w:tr>
      <w:tr w14:paraId="01EE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4F071992">
            <w:pPr>
              <w:spacing w:after="40" w:line="240" w:lineRule="auto"/>
            </w:pPr>
            <w:r>
              <w:rPr>
                <w:sz w:val="18"/>
              </w:rPr>
              <w:t>Internal state</w:t>
            </w:r>
          </w:p>
        </w:tc>
        <w:tc>
          <w:tcPr>
            <w:tcW w:w="5040" w:type="dxa"/>
            <w:tcMar>
              <w:top w:w="80" w:type="dxa"/>
              <w:left w:w="90" w:type="dxa"/>
              <w:bottom w:w="80" w:type="dxa"/>
              <w:right w:w="90" w:type="dxa"/>
            </w:tcMar>
            <w:vAlign w:val="center"/>
          </w:tcPr>
          <w:p w14:paraId="7297525E">
            <w:pPr>
              <w:spacing w:after="40" w:line="240" w:lineRule="auto"/>
            </w:pPr>
            <w:r>
              <w:rPr>
                <w:sz w:val="18"/>
              </w:rPr>
              <w:t>Same transformed y = [y_I, y_U, y_F]ᵀ</w:t>
            </w:r>
          </w:p>
        </w:tc>
      </w:tr>
      <w:tr w14:paraId="51B9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350D15DB">
            <w:pPr>
              <w:spacing w:after="40" w:line="240" w:lineRule="auto"/>
            </w:pPr>
            <w:r>
              <w:rPr>
                <w:sz w:val="18"/>
              </w:rPr>
              <w:t>Inputs/covariates</w:t>
            </w:r>
          </w:p>
        </w:tc>
        <w:tc>
          <w:tcPr>
            <w:tcW w:w="5040" w:type="dxa"/>
            <w:tcMar>
              <w:top w:w="80" w:type="dxa"/>
              <w:left w:w="90" w:type="dxa"/>
              <w:bottom w:w="80" w:type="dxa"/>
              <w:right w:w="90" w:type="dxa"/>
            </w:tcMar>
            <w:vAlign w:val="center"/>
          </w:tcPr>
          <w:p w14:paraId="64524BED">
            <w:pPr>
              <w:spacing w:after="40" w:line="240" w:lineRule="auto"/>
            </w:pPr>
            <w:r>
              <w:rPr>
                <w:sz w:val="18"/>
              </w:rPr>
              <w:t>Same known operational inputs</w:t>
            </w:r>
          </w:p>
        </w:tc>
      </w:tr>
      <w:tr w14:paraId="6024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72D3C1A7">
            <w:pPr>
              <w:spacing w:after="40" w:line="240" w:lineRule="auto"/>
            </w:pPr>
            <w:r>
              <w:rPr>
                <w:sz w:val="18"/>
              </w:rPr>
              <w:t>Nonlinear transition</w:t>
            </w:r>
          </w:p>
        </w:tc>
        <w:tc>
          <w:tcPr>
            <w:tcW w:w="5040" w:type="dxa"/>
            <w:tcMar>
              <w:top w:w="80" w:type="dxa"/>
              <w:left w:w="90" w:type="dxa"/>
              <w:bottom w:w="80" w:type="dxa"/>
              <w:right w:w="90" w:type="dxa"/>
            </w:tcMar>
            <w:vAlign w:val="center"/>
          </w:tcPr>
          <w:p w14:paraId="63CBD06B">
            <w:pPr>
              <w:spacing w:after="40" w:line="240" w:lineRule="auto"/>
            </w:pPr>
            <w:r>
              <w:rPr>
                <w:sz w:val="18"/>
              </w:rPr>
              <w:t>Include state-dependent effects only if data support them, e.g. γ a_k σ(y)(1−σ(y))</w:t>
            </w:r>
          </w:p>
        </w:tc>
      </w:tr>
      <w:tr w14:paraId="0F933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02EB7314">
            <w:pPr>
              <w:spacing w:after="40" w:line="240" w:lineRule="auto"/>
            </w:pPr>
            <w:r>
              <w:rPr>
                <w:sz w:val="18"/>
              </w:rPr>
              <w:t>Measurement model</w:t>
            </w:r>
          </w:p>
        </w:tc>
        <w:tc>
          <w:tcPr>
            <w:tcW w:w="5040" w:type="dxa"/>
            <w:tcMar>
              <w:top w:w="80" w:type="dxa"/>
              <w:left w:w="90" w:type="dxa"/>
              <w:bottom w:w="80" w:type="dxa"/>
              <w:right w:w="90" w:type="dxa"/>
            </w:tcMar>
            <w:vAlign w:val="center"/>
          </w:tcPr>
          <w:p w14:paraId="730C9851">
            <w:pPr>
              <w:spacing w:after="40" w:line="240" w:lineRule="auto"/>
            </w:pPr>
            <w:r>
              <w:rPr>
                <w:sz w:val="18"/>
              </w:rPr>
              <w:t>Prefer transformed direct measurements h(y)=y unless a nonlinear h is empirically necessary</w:t>
            </w:r>
          </w:p>
        </w:tc>
      </w:tr>
      <w:tr w14:paraId="5E2F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1CA56E91">
            <w:pPr>
              <w:spacing w:after="40" w:line="240" w:lineRule="auto"/>
            </w:pPr>
            <w:r>
              <w:rPr>
                <w:sz w:val="18"/>
              </w:rPr>
              <w:t>Q and R</w:t>
            </w:r>
          </w:p>
        </w:tc>
        <w:tc>
          <w:tcPr>
            <w:tcW w:w="5040" w:type="dxa"/>
            <w:tcMar>
              <w:top w:w="80" w:type="dxa"/>
              <w:left w:w="90" w:type="dxa"/>
              <w:bottom w:w="80" w:type="dxa"/>
              <w:right w:w="90" w:type="dxa"/>
            </w:tcMar>
            <w:vAlign w:val="center"/>
          </w:tcPr>
          <w:p w14:paraId="68C4A197">
            <w:pPr>
              <w:spacing w:after="40" w:line="240" w:lineRule="auto"/>
            </w:pPr>
            <w:r>
              <w:rPr>
                <w:sz w:val="18"/>
              </w:rPr>
              <w:t>Same meanings as Architecture A; estimation is harder once g is nonlinear</w:t>
            </w:r>
          </w:p>
        </w:tc>
      </w:tr>
      <w:tr w14:paraId="33F9D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6E9961FF">
            <w:pPr>
              <w:spacing w:after="40" w:line="240" w:lineRule="auto"/>
            </w:pPr>
            <w:r>
              <w:rPr>
                <w:sz w:val="18"/>
              </w:rPr>
              <w:t>Elapsed time</w:t>
            </w:r>
          </w:p>
        </w:tc>
        <w:tc>
          <w:tcPr>
            <w:tcW w:w="5040" w:type="dxa"/>
            <w:tcMar>
              <w:top w:w="80" w:type="dxa"/>
              <w:left w:w="90" w:type="dxa"/>
              <w:bottom w:w="80" w:type="dxa"/>
              <w:right w:w="90" w:type="dxa"/>
            </w:tcMar>
            <w:vAlign w:val="center"/>
          </w:tcPr>
          <w:p w14:paraId="60CD2039">
            <w:pPr>
              <w:spacing w:after="40" w:line="240" w:lineRule="auto"/>
            </w:pPr>
            <w:r>
              <w:rPr>
                <w:sz w:val="18"/>
              </w:rPr>
              <w:t>Use inside g and possibly Q(Δt)</w:t>
            </w:r>
          </w:p>
        </w:tc>
      </w:tr>
      <w:tr w14:paraId="48DB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17868632">
            <w:pPr>
              <w:spacing w:after="40" w:line="240" w:lineRule="auto"/>
            </w:pPr>
            <w:r>
              <w:rPr>
                <w:sz w:val="18"/>
              </w:rPr>
              <w:t>[0,1] treatment</w:t>
            </w:r>
          </w:p>
        </w:tc>
        <w:tc>
          <w:tcPr>
            <w:tcW w:w="5040" w:type="dxa"/>
            <w:tcMar>
              <w:top w:w="80" w:type="dxa"/>
              <w:left w:w="90" w:type="dxa"/>
              <w:bottom w:w="80" w:type="dxa"/>
              <w:right w:w="90" w:type="dxa"/>
            </w:tcMar>
            <w:vAlign w:val="center"/>
          </w:tcPr>
          <w:p w14:paraId="3009FB29">
            <w:pPr>
              <w:spacing w:after="40" w:line="240" w:lineRule="auto"/>
            </w:pPr>
            <w:r>
              <w:rPr>
                <w:sz w:val="18"/>
              </w:rPr>
              <w:t>Logit transform remains appropriate</w:t>
            </w:r>
          </w:p>
        </w:tc>
      </w:tr>
      <w:tr w14:paraId="4664D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01AD8455">
            <w:pPr>
              <w:spacing w:after="40" w:line="240" w:lineRule="auto"/>
            </w:pPr>
            <w:r>
              <w:rPr>
                <w:sz w:val="18"/>
              </w:rPr>
              <w:t>Stage progression</w:t>
            </w:r>
          </w:p>
        </w:tc>
        <w:tc>
          <w:tcPr>
            <w:tcW w:w="5040" w:type="dxa"/>
            <w:tcMar>
              <w:top w:w="80" w:type="dxa"/>
              <w:left w:w="90" w:type="dxa"/>
              <w:bottom w:w="80" w:type="dxa"/>
              <w:right w:w="90" w:type="dxa"/>
            </w:tcMar>
            <w:vAlign w:val="center"/>
          </w:tcPr>
          <w:p w14:paraId="1F19E513">
            <w:pPr>
              <w:spacing w:after="40" w:line="240" w:lineRule="auto"/>
            </w:pPr>
            <w:r>
              <w:rPr>
                <w:sz w:val="18"/>
              </w:rPr>
              <w:t>Same auxiliary/context treatment as Architecture A</w:t>
            </w:r>
          </w:p>
        </w:tc>
      </w:tr>
    </w:tbl>
    <w:tbl>
      <w:tblPr>
        <w:tblStyle w:val="12"/>
        <w:tblW w:w="0" w:type="auto"/>
        <w:jc w:val="center"/>
        <w:tblLayout w:type="autofit"/>
        <w:tblCellMar>
          <w:top w:w="0" w:type="dxa"/>
          <w:left w:w="108" w:type="dxa"/>
          <w:bottom w:w="0" w:type="dxa"/>
          <w:right w:w="108" w:type="dxa"/>
        </w:tblCellMar>
      </w:tblPr>
      <w:tblGrid>
        <w:gridCol w:w="10080"/>
      </w:tblGrid>
      <w:tr w14:paraId="7503BA36">
        <w:tblPrEx>
          <w:tblCellMar>
            <w:top w:w="0" w:type="dxa"/>
            <w:left w:w="108" w:type="dxa"/>
            <w:bottom w:w="0" w:type="dxa"/>
            <w:right w:w="108" w:type="dxa"/>
          </w:tblCellMar>
        </w:tblPrEx>
        <w:trPr>
          <w:jc w:val="center"/>
        </w:trPr>
        <w:tc>
          <w:tcPr>
            <w:tcW w:w="10080" w:type="dxa"/>
            <w:shd w:val="clear" w:color="auto" w:fill="F3F6F9"/>
            <w:tcMar>
              <w:top w:w="120" w:type="dxa"/>
              <w:left w:w="140" w:type="dxa"/>
              <w:bottom w:w="120" w:type="dxa"/>
              <w:right w:w="140" w:type="dxa"/>
            </w:tcMar>
            <w:vAlign w:val="center"/>
          </w:tcPr>
          <w:p w14:paraId="30E32A80">
            <w:pPr>
              <w:spacing w:after="40" w:line="240" w:lineRule="auto"/>
              <w:jc w:val="left"/>
            </w:pPr>
            <w:r>
              <w:rPr>
                <w:b/>
                <w:sz w:val="18"/>
              </w:rPr>
              <w:t>Architecture recommendation: choose Architecture A now. Move to Architecture B only if historical or held-out CRM sequences provide evidence that a state-dependent nonlinear g(·) or genuinely nonlinear h(·) materially improves the state-estimation model.</w:t>
            </w:r>
          </w:p>
        </w:tc>
      </w:tr>
    </w:tbl>
    <w:p w14:paraId="3C85718C">
      <w:pPr>
        <w:pStyle w:val="2"/>
      </w:pPr>
      <w:r>
        <w:t>Part H — “Prediction” vs Probability of Sale</w:t>
      </w:r>
    </w:p>
    <w:tbl>
      <w:tblPr>
        <w:tblStyle w:val="12"/>
        <w:tblW w:w="0" w:type="auto"/>
        <w:jc w:val="center"/>
        <w:tblLayout w:type="autofit"/>
        <w:tblCellMar>
          <w:top w:w="0" w:type="dxa"/>
          <w:left w:w="108" w:type="dxa"/>
          <w:bottom w:w="0" w:type="dxa"/>
          <w:right w:w="108" w:type="dxa"/>
        </w:tblCellMar>
      </w:tblPr>
      <w:tblGrid>
        <w:gridCol w:w="10080"/>
      </w:tblGrid>
      <w:tr w14:paraId="4B78152B">
        <w:tblPrEx>
          <w:tblCellMar>
            <w:top w:w="0" w:type="dxa"/>
            <w:left w:w="108" w:type="dxa"/>
            <w:bottom w:w="0" w:type="dxa"/>
            <w:right w:w="108" w:type="dxa"/>
          </w:tblCellMar>
        </w:tblPrEx>
        <w:trPr>
          <w:jc w:val="center"/>
        </w:trPr>
        <w:tc>
          <w:tcPr>
            <w:tcW w:w="10080" w:type="dxa"/>
            <w:shd w:val="clear" w:color="auto" w:fill="F3F6F9"/>
            <w:tcMar>
              <w:top w:w="120" w:type="dxa"/>
              <w:left w:w="140" w:type="dxa"/>
              <w:bottom w:w="120" w:type="dxa"/>
              <w:right w:w="140" w:type="dxa"/>
            </w:tcMar>
            <w:vAlign w:val="center"/>
          </w:tcPr>
          <w:p w14:paraId="0FDB6501">
            <w:pPr>
              <w:spacing w:after="40" w:line="240" w:lineRule="auto"/>
              <w:jc w:val="left"/>
            </w:pPr>
            <w:r>
              <w:rPr>
                <w:b/>
                <w:sz w:val="18"/>
              </w:rPr>
              <w:t>Mathematically valid statement: “The filtering system estimates the current latent opportunity state. It does not itself produce a probability that the opportunity will close.”</w:t>
            </w:r>
          </w:p>
        </w:tc>
      </w:tr>
    </w:tbl>
    <w:p w14:paraId="15EAE76D">
      <w:r>
        <w:t>The filter produces an approximate conditional state distribution represented by a mean and covariance:</w:t>
      </w:r>
    </w:p>
    <w:p w14:paraId="47F6D4BB">
      <w:pPr>
        <w:spacing w:before="60" w:after="120"/>
        <w:jc w:val="center"/>
      </w:pPr>
      <w:r>
        <w:rPr>
          <w:rFonts w:ascii="Cambria Math" w:hAnsi="Cambria Math"/>
          <w:sz w:val="22"/>
        </w:rPr>
        <w:t>p(y_k | z_1:k)  ≈  ( μ_k, P_k )</w:t>
      </w:r>
    </w:p>
    <w:p w14:paraId="367FCF62">
      <w:r>
        <w:t>After transforming the mean to the 0–1 reporting scale, the values remain estimates of the chosen latent constructs. Nothing in the KF or UKF update automatically produces P(Won).</w:t>
      </w:r>
    </w:p>
    <w:p w14:paraId="412BCBF9">
      <w:r>
        <w:t>If a future project later requires conversion probability, a separate outcome mapping could conceptually receive the filtered state, its uncertainty and other CRM information:</w:t>
      </w:r>
    </w:p>
    <w:p w14:paraId="1F53ABE7">
      <w:pPr>
        <w:spacing w:before="60" w:after="120"/>
        <w:jc w:val="center"/>
      </w:pPr>
      <w:r>
        <w:rPr>
          <w:rFonts w:ascii="Cambria Math" w:hAnsi="Cambria Math"/>
          <w:sz w:val="22"/>
        </w:rPr>
        <w:t>P(conversion) = f( μ_k, P_k, other CRM features )</w:t>
      </w:r>
    </w:p>
    <w:p w14:paraId="4CA729F2">
      <w:r>
        <w:t>That would be a separate statistical problem requiring Won/Lost outcome calibration. It should not be designed or implied as part of the current state-estimation project.</w:t>
      </w:r>
    </w:p>
    <w:p w14:paraId="4997DBF4">
      <w:r>
        <w:t>Therefore, a displayed interest estimate I = 0.81 must not be described as “81% probability of closing.” It means only what the defined interest state is intended to mean under the adopted measurement and transition models.</w:t>
      </w:r>
    </w:p>
    <w:p w14:paraId="56CC1F2C">
      <w:pPr>
        <w:pStyle w:val="2"/>
      </w:pPr>
      <w:r>
        <w:t>Part I — Final Technical Decision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A97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9EAF7"/>
            <w:vAlign w:val="center"/>
          </w:tcPr>
          <w:p w14:paraId="5BB9D836">
            <w:pPr>
              <w:spacing w:after="40" w:line="240" w:lineRule="auto"/>
            </w:pPr>
            <w:r>
              <w:rPr>
                <w:b/>
                <w:sz w:val="18"/>
              </w:rPr>
              <w:t>Decision item</w:t>
            </w:r>
          </w:p>
        </w:tc>
        <w:tc>
          <w:tcPr>
            <w:tcW w:w="5040" w:type="dxa"/>
            <w:shd w:val="clear" w:color="auto" w:fill="D9EAF7"/>
            <w:vAlign w:val="center"/>
          </w:tcPr>
          <w:p w14:paraId="1CA74811">
            <w:pPr>
              <w:spacing w:after="40" w:line="240" w:lineRule="auto"/>
            </w:pPr>
            <w:r>
              <w:rPr>
                <w:b/>
                <w:sz w:val="18"/>
              </w:rPr>
              <w:t>Recommended answer</w:t>
            </w:r>
          </w:p>
        </w:tc>
      </w:tr>
      <w:tr w14:paraId="6B28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15663E8F">
            <w:pPr>
              <w:spacing w:after="40" w:line="240" w:lineRule="auto"/>
            </w:pPr>
            <w:r>
              <w:rPr>
                <w:sz w:val="18"/>
              </w:rPr>
              <w:t>1. Best definition of purpose</w:t>
            </w:r>
          </w:p>
        </w:tc>
        <w:tc>
          <w:tcPr>
            <w:tcW w:w="5040" w:type="dxa"/>
            <w:tcMar>
              <w:top w:w="80" w:type="dxa"/>
              <w:left w:w="90" w:type="dxa"/>
              <w:bottom w:w="80" w:type="dxa"/>
              <w:right w:w="90" w:type="dxa"/>
            </w:tcMar>
            <w:vAlign w:val="center"/>
          </w:tcPr>
          <w:p w14:paraId="665532D8">
            <w:pPr>
              <w:spacing w:after="40" w:line="240" w:lineRule="auto"/>
            </w:pPr>
            <w:r>
              <w:rPr>
                <w:sz w:val="18"/>
              </w:rPr>
              <w:t>Recursive estimation of an opportunity's evolving latent CRM state from noisy, intermittent observations for managerial decision support.</w:t>
            </w:r>
          </w:p>
        </w:tc>
      </w:tr>
      <w:tr w14:paraId="227FE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4D795E69">
            <w:pPr>
              <w:spacing w:after="40" w:line="240" w:lineRule="auto"/>
            </w:pPr>
            <w:r>
              <w:rPr>
                <w:sz w:val="18"/>
              </w:rPr>
              <w:t>2. Recommended state vector</w:t>
            </w:r>
          </w:p>
        </w:tc>
        <w:tc>
          <w:tcPr>
            <w:tcW w:w="5040" w:type="dxa"/>
            <w:tcMar>
              <w:top w:w="80" w:type="dxa"/>
              <w:left w:w="90" w:type="dxa"/>
              <w:bottom w:w="80" w:type="dxa"/>
              <w:right w:w="90" w:type="dxa"/>
            </w:tcMar>
            <w:vAlign w:val="center"/>
          </w:tcPr>
          <w:p w14:paraId="64257FC8">
            <w:pPr>
              <w:spacing w:after="40" w:line="240" w:lineRule="auto"/>
            </w:pPr>
            <w:r>
              <w:rPr>
                <w:sz w:val="18"/>
              </w:rPr>
              <w:t>Internally y = [logit(I), logit(U), logit(F)]ᵀ; externally report sigmoid-transformed values.</w:t>
            </w:r>
          </w:p>
        </w:tc>
      </w:tr>
      <w:tr w14:paraId="472D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2424110E">
            <w:pPr>
              <w:spacing w:after="40" w:line="240" w:lineRule="auto"/>
            </w:pPr>
            <w:r>
              <w:rPr>
                <w:sz w:val="18"/>
              </w:rPr>
              <w:t>3. Recommended control/input vector</w:t>
            </w:r>
          </w:p>
        </w:tc>
        <w:tc>
          <w:tcPr>
            <w:tcW w:w="5040" w:type="dxa"/>
            <w:tcMar>
              <w:top w:w="80" w:type="dxa"/>
              <w:left w:w="90" w:type="dxa"/>
              <w:bottom w:w="80" w:type="dxa"/>
              <w:right w:w="90" w:type="dxa"/>
            </w:tcMar>
            <w:vAlign w:val="center"/>
          </w:tcPr>
          <w:p w14:paraId="14FB3562">
            <w:pPr>
              <w:spacing w:after="40" w:line="240" w:lineRule="auto"/>
            </w:pPr>
            <w:r>
              <w:rPr>
                <w:sz w:val="18"/>
              </w:rPr>
              <w:t>Known operational CRM actions such as follow-ups, contact activity and presentations; describe them as known inputs/covariates unless causal control is actually justified.</w:t>
            </w:r>
          </w:p>
        </w:tc>
      </w:tr>
      <w:tr w14:paraId="7048A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156AFBB4">
            <w:pPr>
              <w:spacing w:after="40" w:line="240" w:lineRule="auto"/>
            </w:pPr>
            <w:r>
              <w:rPr>
                <w:sz w:val="18"/>
              </w:rPr>
              <w:t>4. Recommended measurement vector</w:t>
            </w:r>
          </w:p>
        </w:tc>
        <w:tc>
          <w:tcPr>
            <w:tcW w:w="5040" w:type="dxa"/>
            <w:tcMar>
              <w:top w:w="80" w:type="dxa"/>
              <w:left w:w="90" w:type="dxa"/>
              <w:bottom w:w="80" w:type="dxa"/>
              <w:right w:w="90" w:type="dxa"/>
            </w:tcMar>
            <w:vAlign w:val="center"/>
          </w:tcPr>
          <w:p w14:paraId="30176D54">
            <w:pPr>
              <w:spacing w:after="40" w:line="240" w:lineRule="auto"/>
            </w:pPr>
            <w:r>
              <w:rPr>
                <w:sz w:val="18"/>
              </w:rPr>
              <w:t>Direct observed interest, understanding and usefulness ratings transformed to logit space.</w:t>
            </w:r>
          </w:p>
        </w:tc>
      </w:tr>
      <w:tr w14:paraId="481D0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009DC0B1">
            <w:pPr>
              <w:spacing w:after="40" w:line="240" w:lineRule="auto"/>
            </w:pPr>
            <w:r>
              <w:rPr>
                <w:sz w:val="18"/>
              </w:rPr>
              <w:t>5. Elapsed time</w:t>
            </w:r>
          </w:p>
        </w:tc>
        <w:tc>
          <w:tcPr>
            <w:tcW w:w="5040" w:type="dxa"/>
            <w:tcMar>
              <w:top w:w="80" w:type="dxa"/>
              <w:left w:w="90" w:type="dxa"/>
              <w:bottom w:w="80" w:type="dxa"/>
              <w:right w:w="90" w:type="dxa"/>
            </w:tcMar>
            <w:vAlign w:val="center"/>
          </w:tcPr>
          <w:p w14:paraId="211B14D3">
            <w:pPr>
              <w:spacing w:after="40" w:line="240" w:lineRule="auto"/>
            </w:pPr>
            <w:r>
              <w:rPr>
                <w:sz w:val="18"/>
              </w:rPr>
              <w:t>Input to the time-varying transition matrix D(Δt) and possibly Q(Δt); not a measurement.</w:t>
            </w:r>
          </w:p>
        </w:tc>
      </w:tr>
      <w:tr w14:paraId="3A9BF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63449EF6">
            <w:pPr>
              <w:spacing w:after="40" w:line="240" w:lineRule="auto"/>
            </w:pPr>
            <w:r>
              <w:rPr>
                <w:sz w:val="18"/>
              </w:rPr>
              <w:t>6. Stage progression</w:t>
            </w:r>
          </w:p>
        </w:tc>
        <w:tc>
          <w:tcPr>
            <w:tcW w:w="5040" w:type="dxa"/>
            <w:tcMar>
              <w:top w:w="80" w:type="dxa"/>
              <w:left w:w="90" w:type="dxa"/>
              <w:bottom w:w="80" w:type="dxa"/>
              <w:right w:w="90" w:type="dxa"/>
            </w:tcMar>
            <w:vAlign w:val="center"/>
          </w:tcPr>
          <w:p w14:paraId="7B23D4B7">
            <w:pPr>
              <w:spacing w:after="40" w:line="240" w:lineRule="auto"/>
            </w:pPr>
            <w:r>
              <w:rPr>
                <w:sz w:val="18"/>
              </w:rPr>
              <w:t>Auxiliary observed/context variable. Semantically closer to a measurement than a control, but keep raw ordinal stage outside the core Gaussian filter initially.</w:t>
            </w:r>
          </w:p>
        </w:tc>
      </w:tr>
      <w:tr w14:paraId="0A59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6D36052D">
            <w:pPr>
              <w:spacing w:after="40" w:line="240" w:lineRule="auto"/>
            </w:pPr>
            <w:r>
              <w:rPr>
                <w:sz w:val="18"/>
              </w:rPr>
              <w:t>7. [0,1] variables</w:t>
            </w:r>
          </w:p>
        </w:tc>
        <w:tc>
          <w:tcPr>
            <w:tcW w:w="5040" w:type="dxa"/>
            <w:tcMar>
              <w:top w:w="80" w:type="dxa"/>
              <w:left w:w="90" w:type="dxa"/>
              <w:bottom w:w="80" w:type="dxa"/>
              <w:right w:w="90" w:type="dxa"/>
            </w:tcMar>
            <w:vAlign w:val="center"/>
          </w:tcPr>
          <w:p w14:paraId="57FD8B45">
            <w:pPr>
              <w:spacing w:after="40" w:line="240" w:lineRule="auto"/>
            </w:pPr>
            <w:r>
              <w:rPr>
                <w:sz w:val="18"/>
              </w:rPr>
              <w:t>Use logit transformation; do not rely on clipping.</w:t>
            </w:r>
          </w:p>
        </w:tc>
      </w:tr>
      <w:tr w14:paraId="2F319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6DA712BB">
            <w:pPr>
              <w:spacing w:after="40" w:line="240" w:lineRule="auto"/>
            </w:pPr>
            <w:r>
              <w:rPr>
                <w:sz w:val="18"/>
              </w:rPr>
              <w:t>8. Q/R</w:t>
            </w:r>
          </w:p>
        </w:tc>
        <w:tc>
          <w:tcPr>
            <w:tcW w:w="5040" w:type="dxa"/>
            <w:tcMar>
              <w:top w:w="80" w:type="dxa"/>
              <w:left w:w="90" w:type="dxa"/>
              <w:bottom w:w="80" w:type="dxa"/>
              <w:right w:w="90" w:type="dxa"/>
            </w:tcMar>
            <w:vAlign w:val="center"/>
          </w:tcPr>
          <w:p w14:paraId="20D2CA48">
            <w:pPr>
              <w:spacing w:after="40" w:line="240" w:lineRule="auto"/>
            </w:pPr>
            <w:r>
              <w:rPr>
                <w:sz w:val="18"/>
              </w:rPr>
              <w:t>Estimate R from repeated-rating disagreement when possible; estimate Q from adjusted longitudinal transition residuals or later state-space likelihood; otherwise label values as assumptions.</w:t>
            </w:r>
          </w:p>
        </w:tc>
      </w:tr>
      <w:tr w14:paraId="7B69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51262400">
            <w:pPr>
              <w:spacing w:after="40" w:line="240" w:lineRule="auto"/>
            </w:pPr>
            <w:r>
              <w:rPr>
                <w:sz w:val="18"/>
              </w:rPr>
              <w:t>9. Proposed g(·)</w:t>
            </w:r>
          </w:p>
        </w:tc>
        <w:tc>
          <w:tcPr>
            <w:tcW w:w="5040" w:type="dxa"/>
            <w:tcMar>
              <w:top w:w="80" w:type="dxa"/>
              <w:left w:w="90" w:type="dxa"/>
              <w:bottom w:w="80" w:type="dxa"/>
              <w:right w:w="90" w:type="dxa"/>
            </w:tcMar>
            <w:vAlign w:val="center"/>
          </w:tcPr>
          <w:p w14:paraId="4053EEA5">
            <w:pPr>
              <w:spacing w:after="40" w:line="240" w:lineRule="auto"/>
            </w:pPr>
            <w:r>
              <w:rPr>
                <w:sz w:val="18"/>
              </w:rPr>
              <w:t>Baseline: m + D(Δt)(y_(k−1) − m) + Bφ(u). Add nonlinear state-dependent terms only if data support them.</w:t>
            </w:r>
          </w:p>
        </w:tc>
      </w:tr>
      <w:tr w14:paraId="5E62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142B8742">
            <w:pPr>
              <w:spacing w:after="40" w:line="240" w:lineRule="auto"/>
            </w:pPr>
            <w:r>
              <w:rPr>
                <w:sz w:val="18"/>
              </w:rPr>
              <w:t>10. Proposed h(·)</w:t>
            </w:r>
          </w:p>
        </w:tc>
        <w:tc>
          <w:tcPr>
            <w:tcW w:w="5040" w:type="dxa"/>
            <w:tcMar>
              <w:top w:w="80" w:type="dxa"/>
              <w:left w:w="90" w:type="dxa"/>
              <w:bottom w:w="80" w:type="dxa"/>
              <w:right w:w="90" w:type="dxa"/>
            </w:tcMar>
            <w:vAlign w:val="center"/>
          </w:tcPr>
          <w:p w14:paraId="0B2877ED">
            <w:pPr>
              <w:spacing w:after="40" w:line="240" w:lineRule="auto"/>
            </w:pPr>
            <w:r>
              <w:rPr>
                <w:sz w:val="18"/>
              </w:rPr>
              <w:t>For transformed direct ratings, h(y) = y with H = I.</w:t>
            </w:r>
          </w:p>
        </w:tc>
      </w:tr>
      <w:tr w14:paraId="7B641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77C48087">
            <w:pPr>
              <w:spacing w:after="40" w:line="240" w:lineRule="auto"/>
            </w:pPr>
            <w:r>
              <w:rPr>
                <w:sz w:val="18"/>
              </w:rPr>
              <w:t>11. KF vs UKF verdict</w:t>
            </w:r>
          </w:p>
        </w:tc>
        <w:tc>
          <w:tcPr>
            <w:tcW w:w="5040" w:type="dxa"/>
            <w:tcMar>
              <w:top w:w="80" w:type="dxa"/>
              <w:left w:w="90" w:type="dxa"/>
              <w:bottom w:w="80" w:type="dxa"/>
              <w:right w:w="90" w:type="dxa"/>
            </w:tcMar>
            <w:vAlign w:val="center"/>
          </w:tcPr>
          <w:p w14:paraId="38979FA4">
            <w:pPr>
              <w:spacing w:after="40" w:line="240" w:lineRule="auto"/>
            </w:pPr>
            <w:r>
              <w:rPr>
                <w:sz w:val="18"/>
              </w:rPr>
              <w:t>Start with a time-varying Linear KF. UKF is mathematically possible but not currently empirically justified.</w:t>
            </w:r>
          </w:p>
        </w:tc>
      </w:tr>
      <w:tr w14:paraId="13ED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13E89A64">
            <w:pPr>
              <w:spacing w:after="40" w:line="240" w:lineRule="auto"/>
            </w:pPr>
            <w:r>
              <w:rPr>
                <w:sz w:val="18"/>
              </w:rPr>
              <w:t>12. What must be demonstrated experimentally</w:t>
            </w:r>
          </w:p>
        </w:tc>
        <w:tc>
          <w:tcPr>
            <w:tcW w:w="5040" w:type="dxa"/>
            <w:tcMar>
              <w:top w:w="80" w:type="dxa"/>
              <w:left w:w="90" w:type="dxa"/>
              <w:bottom w:w="80" w:type="dxa"/>
              <w:right w:w="90" w:type="dxa"/>
            </w:tcMar>
            <w:vAlign w:val="center"/>
          </w:tcPr>
          <w:p w14:paraId="71B9FA0E">
            <w:pPr>
              <w:spacing w:after="40" w:line="240" w:lineRule="auto"/>
            </w:pPr>
            <w:r>
              <w:rPr>
                <w:sz w:val="18"/>
              </w:rPr>
              <w:t>Stable parameter estimates; sensible innovations; useful one-step prediction of later CRM observations; reasonable uncertainty sensitivity; and, if UKF is proposed, held-out improvement attributable to genuine state nonlinearity.</w:t>
            </w:r>
          </w:p>
        </w:tc>
      </w:tr>
      <w:tr w14:paraId="50F4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Mar>
              <w:top w:w="80" w:type="dxa"/>
              <w:left w:w="90" w:type="dxa"/>
              <w:bottom w:w="80" w:type="dxa"/>
              <w:right w:w="90" w:type="dxa"/>
            </w:tcMar>
            <w:vAlign w:val="center"/>
          </w:tcPr>
          <w:p w14:paraId="09F91404">
            <w:pPr>
              <w:spacing w:after="40" w:line="240" w:lineRule="auto"/>
            </w:pPr>
            <w:r>
              <w:rPr>
                <w:sz w:val="18"/>
              </w:rPr>
              <w:t>13. Claims not to make</w:t>
            </w:r>
          </w:p>
        </w:tc>
        <w:tc>
          <w:tcPr>
            <w:tcW w:w="5040" w:type="dxa"/>
            <w:tcMar>
              <w:top w:w="80" w:type="dxa"/>
              <w:left w:w="90" w:type="dxa"/>
              <w:bottom w:w="80" w:type="dxa"/>
              <w:right w:w="90" w:type="dxa"/>
            </w:tcMar>
            <w:vAlign w:val="center"/>
          </w:tcPr>
          <w:p w14:paraId="5E17DAE7">
            <w:pPr>
              <w:spacing w:after="40" w:line="240" w:lineRule="auto"/>
            </w:pPr>
            <w:r>
              <w:rPr>
                <w:sz w:val="18"/>
              </w:rPr>
              <w:t>Do not claim the true psychological state, guaranteed sale outcome, calibrated conversion probability, causal effects of CRM activity, objectively measured Q/R, or UKF superiority unless separately demonstrated.</w:t>
            </w:r>
          </w:p>
        </w:tc>
      </w:tr>
    </w:tbl>
    <w:p w14:paraId="05B5C2FA">
      <w:pPr>
        <w:pStyle w:val="2"/>
      </w:pPr>
      <w:r>
        <w:t>Overall Verdict</w:t>
      </w:r>
    </w:p>
    <w:p w14:paraId="52A84F4F">
      <w:r>
        <w:t>The original UKF idea is mathematically viable, but the simplest defensible implementation is not necessarily a UKF. Known elapsed time can generate a time-varying transition matrix. Known activity can be transformed nonlinearly before filtering. Bounds can be handled using a logit transformation. Direct ratings can be represented by an identity observation equation. All of these features are compatible with a standard time-varying KF.</w:t>
      </w:r>
    </w:p>
    <w:p w14:paraId="5A1B7A0B">
      <w:pPr>
        <w:spacing w:before="60" w:after="120"/>
        <w:jc w:val="center"/>
      </w:pPr>
      <w:r>
        <w:rPr>
          <w:rFonts w:ascii="Cambria Math" w:hAnsi="Cambria Math"/>
          <w:sz w:val="22"/>
        </w:rPr>
        <w:t>nonlinear CRM behavior  ≠  automatic need for UKF</w:t>
      </w:r>
    </w:p>
    <w:p w14:paraId="567D02E3">
      <w:r>
        <w:t>UKF becomes justified only when an uncertain latent state enters the transition or measurement function nonlinearly in a way that is theoretically or empirically defensible and materially improves the state-estimation model.</w:t>
      </w:r>
    </w:p>
    <w:tbl>
      <w:tblPr>
        <w:tblStyle w:val="12"/>
        <w:tblW w:w="0" w:type="auto"/>
        <w:jc w:val="center"/>
        <w:tblLayout w:type="autofit"/>
        <w:tblCellMar>
          <w:top w:w="0" w:type="dxa"/>
          <w:left w:w="108" w:type="dxa"/>
          <w:bottom w:w="0" w:type="dxa"/>
          <w:right w:w="108" w:type="dxa"/>
        </w:tblCellMar>
      </w:tblPr>
      <w:tblGrid>
        <w:gridCol w:w="10080"/>
      </w:tblGrid>
      <w:tr w14:paraId="3D630FFD">
        <w:tblPrEx>
          <w:tblCellMar>
            <w:top w:w="0" w:type="dxa"/>
            <w:left w:w="108" w:type="dxa"/>
            <w:bottom w:w="0" w:type="dxa"/>
            <w:right w:w="108" w:type="dxa"/>
          </w:tblCellMar>
        </w:tblPrEx>
        <w:trPr>
          <w:jc w:val="center"/>
        </w:trPr>
        <w:tc>
          <w:tcPr>
            <w:tcW w:w="10080" w:type="dxa"/>
            <w:shd w:val="clear" w:color="auto" w:fill="F3F6F9"/>
            <w:tcMar>
              <w:top w:w="120" w:type="dxa"/>
              <w:left w:w="140" w:type="dxa"/>
              <w:bottom w:w="120" w:type="dxa"/>
              <w:right w:w="140" w:type="dxa"/>
            </w:tcMar>
            <w:vAlign w:val="center"/>
          </w:tcPr>
          <w:p w14:paraId="06692EEB">
            <w:pPr>
              <w:spacing w:after="40" w:line="240" w:lineRule="auto"/>
              <w:jc w:val="left"/>
            </w:pPr>
            <w:r>
              <w:rPr>
                <w:b/>
                <w:sz w:val="18"/>
              </w:rPr>
              <w:t>Recommended project narrative: “The project develops a recursive latent-state estimator for CRM opportunities. A time-varying linear Kalman model is used as the primary defensible architecture after logit transformation of bounded state variables. A UKF formulation is considered only if empirical analysis demonstrates state-dependent nonlinear dynamics that materially improve state-estimation performance.”</w:t>
            </w:r>
          </w:p>
        </w:tc>
      </w:tr>
    </w:tbl>
    <w:p w14:paraId="14240BF1">
      <w:r>
        <w:t>This framing is academically stronger than selecting UKF first and manufacturing nonlinearities afterward merely to justify the algorithm.</w:t>
      </w:r>
    </w:p>
    <w:p w14:paraId="0B1CE1CB">
      <w:pPr>
        <w:pStyle w:val="2"/>
      </w:pPr>
      <w:r>
        <w:t>Source and Scope Note</w:t>
      </w:r>
    </w:p>
    <w:p w14:paraId="5986FCBF">
      <w:r>
        <w:t>This document is an independent mathematical/modeling review of the supplied CRM state-estimation specification. The conclusions distinguish mathematical possibility from empirical justification. Supporting concepts checked include standard Kalman filtering, time-varying Kalman models, UKF nonlinear propagation, constrained-state filtering, ordinal-measurement limitations, innovation diagnostics and state-space covariance estimation. The final validity of the CRM model must still be demonstrated on the project's own historical longitudinal data.</w:t>
      </w:r>
    </w:p>
    <w:sectPr>
      <w:headerReference r:id="rId5" w:type="default"/>
      <w:footerReference r:id="rId6"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0DE83">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8CB5F">
    <w:pPr>
      <w:pStyle w:val="19"/>
      <w:jc w:val="right"/>
    </w:pPr>
    <w:r>
      <w:rPr>
        <w:color w:val="646464"/>
        <w:sz w:val="16"/>
      </w:rPr>
      <w:t>CRM State-Estimation Architecture — Independent Technical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C648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3875</Words>
  <Characters>22256</Characters>
  <Lines>0</Lines>
  <Paragraphs>0</Paragraphs>
  <TotalTime>5895</TotalTime>
  <ScaleCrop>false</ScaleCrop>
  <LinksUpToDate>false</LinksUpToDate>
  <CharactersWithSpaces>25839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Suvam Das</cp:lastModifiedBy>
  <dcterms:modified xsi:type="dcterms:W3CDTF">2026-08-24T20:45:54Z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eyJoZGlkIjoiMTI5NjdiMDZjNTAxZjk3YjllYjYwZTNmZDg4NjQzYjIiLCJ1c2VySWQiOiI1NDk3NjYzNzI1NzcifQ==</vt:lpwstr>
  </property>
  <property fmtid="{D5CDD505-2E9C-101B-9397-08002B2CF9AE}" pid="3" name="KSOProductBuildVer">
    <vt:lpwstr>1033-12.1.0.28032</vt:lpwstr>
  </property>
  <property fmtid="{D5CDD505-2E9C-101B-9397-08002B2CF9AE}" pid="4" name="ICV">
    <vt:lpwstr>7A6A378B69CF4C53AA8D791885E40EA7_12</vt:lpwstr>
  </property>
</Properties>
</file>