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PROPOSAL &amp; COMMERCIAL QUOTATION</w:t>
      </w:r>
    </w:p>
    <w:p>
      <w:r>
        <w:br/>
        <w:br/>
      </w:r>
    </w:p>
    <w:p>
      <w:pPr>
        <w:jc w:val="center"/>
      </w:pPr>
      <w:r>
        <w:rPr>
          <w:rFonts w:ascii="Arial" w:hAnsi="Arial"/>
          <w:b/>
          <w:sz w:val="44"/>
        </w:rPr>
        <w:t>KNOWLEDGE HUB</w:t>
        <w:br/>
        <w:t>PREMIUM EDUCATIONAL PLATFORM</w:t>
      </w:r>
    </w:p>
    <w:p>
      <w:r>
        <w:br/>
        <w:br/>
        <w:br/>
        <w:br/>
        <w:br/>
        <w:br/>
      </w:r>
    </w:p>
    <w:p>
      <w:pPr>
        <w:jc w:val="right"/>
      </w:pPr>
      <w:r>
        <w:t>Date: September 20, 2026</w:t>
        <w:br/>
        <w:t>Prepared For: Knowledge Hub Management</w:t>
        <w:br/>
        <w:t>Project Duration: 4 Weeks</w:t>
      </w:r>
    </w:p>
    <w:p>
      <w:r>
        <w:br w:type="page"/>
      </w:r>
    </w:p>
    <w:p>
      <w:pPr>
        <w:pStyle w:val="Heading1"/>
      </w:pPr>
      <w:r>
        <w:t>1. Executive Summary &amp; Objective</w:t>
      </w:r>
    </w:p>
    <w:p>
      <w:r>
        <w:t>The objective of this project is to architect, design, and deploy a state-of-the-art digital educational platform for Knowledge Hub. Unlike traditional template-based websites, this platform is engineered as a high-performance Single Page Application (SPA). It is designed to maximize student engagement, automate lead generation, and provide a premium, interactive experience that sets Knowledge Hub apart from competitors.</w:t>
      </w:r>
    </w:p>
    <w:p>
      <w:pPr>
        <w:pStyle w:val="Heading1"/>
      </w:pPr>
      <w:r>
        <w:t>2. Detailed Scope of Work &amp; Deliverables</w:t>
      </w:r>
    </w:p>
    <w:p>
      <w:r>
        <w:t>The project encompasses the complete development of the platform, including the following detailed features:</w:t>
      </w:r>
    </w:p>
    <w:p>
      <w:pPr>
        <w:pStyle w:val="Heading2"/>
      </w:pPr>
      <w:r>
        <w:t>A. Frontend Architecture &amp; Global Features</w:t>
      </w:r>
    </w:p>
    <w:p>
      <w:r>
        <w:t>• Responsive Design: Fully optimized for Mobile, Tablet, and Desktop displays using modern CSS Grid techniques.</w:t>
        <w:br/>
        <w:t>• Single Page Application (SPA): Lightning-fast page transitions without browser reloads.</w:t>
        <w:br/>
        <w:t>• Modern UI Aesthetics: Implementation of Glassmorphism, deep gradient shadowing, and Framer Motion micro-animations.</w:t>
        <w:br/>
        <w:t>• AI Chatbot Assistant: A floating widget integrated with a custom-trained AI model that answers queries based on Knowledge Hub's specific curriculum and faculty data.</w:t>
      </w:r>
    </w:p>
    <w:p>
      <w:pPr>
        <w:pStyle w:val="Heading2"/>
      </w:pPr>
      <w:r>
        <w:t>B. Page-Specific Implementations</w:t>
      </w:r>
    </w:p>
    <w:p>
      <w:r>
        <w:t>• Home Page: Cinematic hero section with orbiting technology animations, dynamic placement partners marquee, and featured course grids.</w:t>
        <w:br/>
        <w:t>• About Us Page: Highly interactive 'Lab Simulator' UI demonstrating practical execution (CLI, Cloud, DAX, English). Includes 5-Step Journey Timelines, animated statistic counters, and dynamic curriculum domain tabs.</w:t>
        <w:br/>
        <w:t>• Courses Directory: Advanced filtering system (by category/domain), detailed course cards, and comprehensive syllabus modals.</w:t>
        <w:br/>
        <w:t>• Services Page: Specialized corporate training offerings and visually striking expert mentor profiles with skill tags.</w:t>
        <w:br/>
        <w:t>• Contact Page: Interactive map integration and robust communication pipelines.</w:t>
      </w:r>
    </w:p>
    <w:p>
      <w:pPr>
        <w:pStyle w:val="Heading2"/>
      </w:pPr>
      <w:r>
        <w:t>C. Backend Database &amp; Lead Generation</w:t>
      </w:r>
    </w:p>
    <w:p>
      <w:r>
        <w:t>• Supabase Architecture: Secure, scalable PostgreSQL database integration.</w:t>
        <w:br/>
        <w:t>• Automated Lead Capture: Seamless connection of all Enrolment, Contact, and Enquiry modals to the central database for CRM tracking.</w:t>
        <w:br/>
        <w:t>• Data Integrity: Server-side validation to ensure clean, actionable lead data.</w:t>
      </w:r>
    </w:p>
    <w:p>
      <w:pPr>
        <w:pStyle w:val="Heading1"/>
      </w:pPr>
      <w:r>
        <w:t>3. Proposed Technology Stack</w:t>
      </w:r>
    </w:p>
    <w:p>
      <w:r>
        <w:t>• Frontend Framework: React.js (Vite) with TanStack Router for extreme performance.</w:t>
        <w:br/>
        <w:t>• Styling &amp; Animation: Tailwind CSS, Framer Motion, and Lucide Icons.</w:t>
        <w:br/>
        <w:t>• Backend &amp; Database: Supabase (PostgreSQL) for BaaS (Backend-as-a-Service).</w:t>
        <w:br/>
        <w:t>• AI Integration: Custom logic mapped to LLM APIs for the intelligent chatbot.</w:t>
      </w:r>
    </w:p>
    <w:p>
      <w:pPr>
        <w:pStyle w:val="Heading1"/>
      </w:pPr>
      <w:r>
        <w:t>4. Project Timeline (4 Weeks)</w:t>
      </w:r>
    </w:p>
    <w:p>
      <w:r>
        <w:t>Week 1: UI/UX Finalization &amp; Core Framework Setup</w:t>
        <w:br/>
        <w:t>• Setup of React environment and routing architecture.</w:t>
        <w:br/>
        <w:t>• Development of Global Components (Navigation, Footer, Typography).</w:t>
        <w:br/>
        <w:t>• Delivery of the Home and Contact pages.</w:t>
      </w:r>
    </w:p>
    <w:p>
      <w:r>
        <w:t>Week 2: Interactive Modules &amp; Complex Animations</w:t>
        <w:br/>
        <w:t>• Engineering the About Page (Lab Simulator, 5-Step Timeline).</w:t>
        <w:br/>
        <w:t>• Construction of the Courses Directory and dynamic filtering.</w:t>
        <w:br/>
        <w:t>• Implementation of mobile-specific layout optimizations.</w:t>
      </w:r>
    </w:p>
    <w:p>
      <w:r>
        <w:t>Week 3: Backend Integration &amp; Database Connectivity</w:t>
        <w:br/>
        <w:t>• Supabase database schema design.</w:t>
        <w:br/>
        <w:t>• Linking all UI modals (Enrolment, Enquiry) to the database.</w:t>
        <w:br/>
        <w:t>• Testing data flow and lead capture integrity.</w:t>
      </w:r>
    </w:p>
    <w:p>
      <w:r>
        <w:t>Week 4: AI Chatbot, QA Testing &amp; Deployment</w:t>
        <w:br/>
        <w:t>• Integration and training of the custom AI Chatbot.</w:t>
        <w:br/>
        <w:t>• Cross-browser and cross-device Quality Assurance (QA) testing.</w:t>
        <w:br/>
        <w:t>• Production build generation, SEO setup, and live server deployment.</w:t>
      </w:r>
    </w:p>
    <w:p>
      <w:pPr>
        <w:pStyle w:val="Heading1"/>
      </w:pPr>
      <w:r>
        <w:t>5. Commercial Investment</w:t>
      </w:r>
    </w:p>
    <w:p>
      <w:r>
        <w:t>Below is the detailed cost breakdown for the end-to-end development of the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Investment (INR)</w:t>
            </w:r>
          </w:p>
        </w:tc>
      </w:tr>
      <w:tr>
        <w:tc>
          <w:tcPr>
            <w:tcW w:type="dxa" w:w="4320"/>
          </w:tcPr>
          <w:p>
            <w:r>
              <w:t>1. Core SPA Architecture &amp; UI/UX Design (Home, Contact, Services)</w:t>
            </w:r>
          </w:p>
        </w:tc>
        <w:tc>
          <w:tcPr>
            <w:tcW w:type="dxa" w:w="4320"/>
          </w:tcPr>
          <w:p>
            <w:r>
              <w:t>₹ 75,000</w:t>
            </w:r>
          </w:p>
        </w:tc>
      </w:tr>
      <w:tr>
        <w:tc>
          <w:tcPr>
            <w:tcW w:type="dxa" w:w="4320"/>
          </w:tcPr>
          <w:p>
            <w:r>
              <w:t>2. Advanced Interactive Modules (Lab Simulators, Timelines, Grids)</w:t>
            </w:r>
          </w:p>
        </w:tc>
        <w:tc>
          <w:tcPr>
            <w:tcW w:type="dxa" w:w="4320"/>
          </w:tcPr>
          <w:p>
            <w:r>
              <w:t>₹ 65,000</w:t>
            </w:r>
          </w:p>
        </w:tc>
      </w:tr>
      <w:tr>
        <w:tc>
          <w:tcPr>
            <w:tcW w:type="dxa" w:w="4320"/>
          </w:tcPr>
          <w:p>
            <w:r>
              <w:t>3. Dynamic Course Directory &amp; Advanced Filtering Systems</w:t>
            </w:r>
          </w:p>
        </w:tc>
        <w:tc>
          <w:tcPr>
            <w:tcW w:type="dxa" w:w="4320"/>
          </w:tcPr>
          <w:p>
            <w:r>
              <w:t>₹ 40,000</w:t>
            </w:r>
          </w:p>
        </w:tc>
      </w:tr>
      <w:tr>
        <w:tc>
          <w:tcPr>
            <w:tcW w:type="dxa" w:w="4320"/>
          </w:tcPr>
          <w:p>
            <w:r>
              <w:t>4. Supabase Backend Integration &amp; Lead Generation System</w:t>
            </w:r>
          </w:p>
        </w:tc>
        <w:tc>
          <w:tcPr>
            <w:tcW w:type="dxa" w:w="4320"/>
          </w:tcPr>
          <w:p>
            <w:r>
              <w:t>₹ 45,000</w:t>
            </w:r>
          </w:p>
        </w:tc>
      </w:tr>
      <w:tr>
        <w:tc>
          <w:tcPr>
            <w:tcW w:type="dxa" w:w="4320"/>
          </w:tcPr>
          <w:p>
            <w:r>
              <w:t>5. Custom AI Chatbot Development &amp; Knowledge Training</w:t>
            </w:r>
          </w:p>
        </w:tc>
        <w:tc>
          <w:tcPr>
            <w:tcW w:type="dxa" w:w="4320"/>
          </w:tcPr>
          <w:p>
            <w:r>
              <w:t>₹ 45,000</w:t>
            </w:r>
          </w:p>
        </w:tc>
      </w:tr>
      <w:tr>
        <w:tc>
          <w:tcPr>
            <w:tcW w:type="dxa" w:w="4320"/>
          </w:tcPr>
          <w:p>
            <w:r>
              <w:t>6. Server Deployment, SSL Setup &amp; Technical SEO</w:t>
            </w:r>
          </w:p>
        </w:tc>
        <w:tc>
          <w:tcPr>
            <w:tcW w:type="dxa" w:w="4320"/>
          </w:tcPr>
          <w:p>
            <w:r>
              <w:t>₹ 15,000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Quoted Investment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₹ 2,85,000</w:t>
            </w:r>
          </w:p>
        </w:tc>
      </w:tr>
    </w:tbl>
    <w:p>
      <w:r>
        <w:br/>
        <w:t>* Note: All costs are exclusive of domain registration, server hosting fees, and applicable taxes (GST).</w:t>
      </w:r>
    </w:p>
    <w:p>
      <w:pPr>
        <w:pStyle w:val="Heading1"/>
      </w:pPr>
      <w:r>
        <w:t>6. Payment Milestones</w:t>
      </w:r>
    </w:p>
    <w:p>
      <w:r>
        <w:rPr>
          <w:b/>
        </w:rPr>
        <w:t xml:space="preserve">• 30% Advance (₹ 85,500): </w:t>
      </w:r>
      <w:r>
        <w:t>Upon project initiation and contract signing.</w:t>
        <w:br/>
      </w:r>
      <w:r>
        <w:rPr>
          <w:b/>
        </w:rPr>
        <w:t xml:space="preserve">• 40% Milestone (₹ 1,14,000): </w:t>
      </w:r>
      <w:r>
        <w:t>Upon completion of Week 2 (Frontend &amp; Interactive Modules completed).</w:t>
        <w:br/>
      </w:r>
      <w:r>
        <w:rPr>
          <w:b/>
        </w:rPr>
        <w:t xml:space="preserve">• 30% Final (₹ 85,500): </w:t>
      </w:r>
      <w:r>
        <w:t>Upon completion of Week 4, successful QA testing, and live deployment.</w:t>
      </w:r>
    </w:p>
    <w:p>
      <w:pPr>
        <w:pStyle w:val="Heading1"/>
      </w:pPr>
      <w:r>
        <w:t>7. Acceptance &amp; Authorization</w:t>
      </w:r>
    </w:p>
    <w:p>
      <w:r>
        <w:t>By signing below, you authorize the commencement of this project based on the scope, timeline, and investment defined in this document.</w:t>
      </w:r>
    </w:p>
    <w:p>
      <w:pPr>
        <w:jc w:val="left"/>
      </w:pPr>
      <w:r>
        <w:br/>
        <w:br/>
        <w:t>___________________________________</w:t>
        <w:br/>
        <w:t>Authorized Signature (Knowledge Hub)</w:t>
        <w:br/>
        <w:br/>
        <w:t>___________________________________</w:t>
        <w:br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