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OneBox Release Audit Test Document</w:t>
      </w:r>
    </w:p>
    <w:p>
      <w:r>
        <w:t>This document exercises DOCX ingestion end to end: headings, regular paragraphs, and a table.</w:t>
      </w:r>
    </w:p>
    <w:p>
      <w:pPr>
        <w:pStyle w:val="Heading2"/>
      </w:pPr>
      <w:r>
        <w:t>Refund Policy</w:t>
      </w:r>
    </w:p>
    <w:p>
      <w:r>
        <w:t>The refund policy for OneBox cloud hosting is a full refund within the first thirty days of any paid subscription, no questions asked.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Monthly Price</w:t>
            </w:r>
          </w:p>
        </w:tc>
      </w:tr>
      <w:tr>
        <w:tc>
          <w:tcPr>
            <w:tcW w:type="dxa" w:w="4320"/>
          </w:tcPr>
          <w:p>
            <w:r>
              <w:t>Starter</w:t>
            </w:r>
          </w:p>
        </w:tc>
        <w:tc>
          <w:tcPr>
            <w:tcW w:type="dxa" w:w="4320"/>
          </w:tcPr>
          <w:p>
            <w:r>
              <w:t>$19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$49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