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072A9" w:val="clear"/>
      </w:pPr>
      <w:r>
        <w:rPr>
          <w:rFonts w:ascii="Calibri" w:hAnsi="Calibri" w:eastAsia="Calibri"/>
          <w:b/>
          <w:i w:val="0"/>
          <w:color w:val="FFFFFF"/>
          <w:sz w:val="28"/>
        </w:rPr>
        <w:t xml:space="preserve"> SEEPOS</w:t>
      </w:r>
    </w:p>
    <w:p>
      <w:pPr>
        <w:spacing w:before="360" w:after="80"/>
      </w:pPr>
      <w:r>
        <w:rPr>
          <w:rFonts w:ascii="Calibri" w:hAnsi="Calibri" w:eastAsia="Calibri"/>
          <w:b/>
          <w:i w:val="0"/>
          <w:color w:val="1072A9"/>
          <w:sz w:val="56"/>
        </w:rPr>
        <w:t>Bodega y despacho</w:t>
      </w:r>
    </w:p>
    <w:p>
      <w:pPr>
        <w:spacing w:after="120"/>
      </w:pPr>
      <w:r>
        <w:rPr>
          <w:rFonts w:ascii="Calibri" w:hAnsi="Calibri" w:eastAsia="Calibri"/>
          <w:b w:val="0"/>
          <w:i w:val="0"/>
          <w:color w:val="EE7519"/>
          <w:sz w:val="28"/>
        </w:rPr>
        <w:t>Cola de alistamiento, empaque, manifiesto, entrega y recibo de devoluciones</w:t>
      </w:r>
    </w:p>
    <w:p>
      <w:pPr>
        <w:spacing w:after="160" w:line="276" w:lineRule="auto"/>
      </w:pPr>
      <w:r>
        <w:rPr>
          <w:rFonts w:ascii="Calibri" w:hAnsi="Calibri" w:eastAsia="Calibri"/>
          <w:b w:val="0"/>
          <w:i w:val="0"/>
          <w:color w:val="1F2A37"/>
          <w:sz w:val="22"/>
        </w:rPr>
        <w:t>Este manual muestra el flujo real en SeePOS, de la factura al camión. Las imágenes son pantallas del sistema. El alistamiento confirma una salida que ya se hizo al facturar: no vuelve a descontar inventario.</w:t>
      </w:r>
    </w:p>
    <w:p>
      <w:pPr>
        <w:spacing w:before="160" w:after="40"/>
        <w:ind w:left="170"/>
        <w:shd w:fill="EEF6FB" w:val="clear"/>
      </w:pPr>
      <w:r>
        <w:rPr>
          <w:rFonts w:ascii="Calibri" w:hAnsi="Calibri" w:eastAsia="Calibri"/>
          <w:b/>
          <w:i w:val="0"/>
          <w:color w:val="1072A9"/>
          <w:sz w:val="22"/>
        </w:rPr>
        <w:t>Ejemplo usado en las capturas</w:t>
      </w:r>
    </w:p>
    <w:p>
      <w:pPr>
        <w:spacing w:after="200"/>
        <w:ind w:left="170"/>
        <w:shd w:fill="EEF6FB" w:val="clear"/>
      </w:pPr>
      <w:r>
        <w:rPr>
          <w:rFonts w:ascii="Calibri" w:hAnsi="Calibri" w:eastAsia="Calibri"/>
          <w:b w:val="0"/>
          <w:i w:val="0"/>
          <w:color w:val="1F2A37"/>
          <w:sz w:val="21"/>
        </w:rPr>
        <w:t>Factura crédito n.º 6 (venta 52)  ·  10 unidades de Alimento Barf Perro Adulto (código 002).</w:t>
        <w:br/>
        <w:t>Bodega Facturación  ·  bulto BULT-1 de 1,25 kg  ·  ruta San José Centro, vehículo SJO-001, chofer Carlos Pérez.</w:t>
      </w:r>
    </w:p>
    <w:p>
      <w:pPr>
        <w:spacing w:before="160" w:after="40"/>
        <w:ind w:left="170"/>
        <w:shd w:fill="FFF4EA" w:val="clear"/>
      </w:pPr>
      <w:r>
        <w:rPr>
          <w:rFonts w:ascii="Calibri" w:hAnsi="Calibri" w:eastAsia="Calibri"/>
          <w:b/>
          <w:i w:val="0"/>
          <w:color w:val="1072A9"/>
          <w:sz w:val="22"/>
        </w:rPr>
        <w:t>Sobre las capturas</w:t>
      </w:r>
    </w:p>
    <w:p>
      <w:pPr>
        <w:spacing w:after="200"/>
        <w:ind w:left="170"/>
        <w:shd w:fill="FFF4EA" w:val="clear"/>
      </w:pPr>
      <w:r>
        <w:rPr>
          <w:rFonts w:ascii="Calibri" w:hAnsi="Calibri" w:eastAsia="Calibri"/>
          <w:b w:val="0"/>
          <w:i w:val="0"/>
          <w:color w:val="1F2A37"/>
          <w:sz w:val="21"/>
        </w:rPr>
        <w:t>Las imágenes se tomaron antes de las últimas mejoras (rutas con zonas, ingreso manual con supervisor, manifiesto editable, comprobante de entrega y recibo de mercadería). El texto de cada sección sí está actualizado; las pantallas nuevas se describen sin captura.</w:t>
      </w:r>
    </w:p>
    <w:p>
      <w:pPr>
        <w:spacing w:before="320" w:after="120"/>
        <w:pBdr>
          <w:bottom w:val="single" w:sz="12" w:space="4" w:color="1072A9"/>
        </w:pBdr>
      </w:pPr>
      <w:r>
        <w:rPr>
          <w:rFonts w:ascii="Calibri" w:hAnsi="Calibri" w:eastAsia="Calibri"/>
          <w:b/>
          <w:i w:val="0"/>
          <w:color w:val="1072A9"/>
          <w:sz w:val="32"/>
        </w:rPr>
        <w:t>1. Qué cubre el módulo Bodega</w:t>
      </w:r>
    </w:p>
    <w:p>
      <w:pPr>
        <w:spacing w:after="160" w:line="276" w:lineRule="auto"/>
      </w:pPr>
      <w:r>
        <w:rPr>
          <w:rFonts w:ascii="Calibri" w:hAnsi="Calibri" w:eastAsia="Calibri"/>
          <w:b w:val="0"/>
          <w:i w:val="0"/>
          <w:color w:val="1F2A37"/>
          <w:sz w:val="22"/>
        </w:rPr>
        <w:t>El menú Bodega agrupa cinco pantallas. Se recorren en este orden operativo:</w:t>
      </w:r>
    </w:p>
    <w:p>
      <w:pPr>
        <w:pStyle w:val="ListBullet"/>
        <w:spacing w:after="80"/>
        <w:ind w:left="567"/>
      </w:pPr>
      <w:r>
        <w:rPr>
          <w:rFonts w:ascii="Calibri" w:hAnsi="Calibri" w:eastAsia="Calibri"/>
          <w:b/>
          <w:i w:val="0"/>
          <w:color w:val="1F2A37"/>
          <w:sz w:val="22"/>
        </w:rPr>
        <w:t xml:space="preserve">Rutas de entrega. </w:t>
      </w:r>
      <w:r>
        <w:rPr>
          <w:rFonts w:ascii="Calibri" w:hAnsi="Calibri" w:eastAsia="Calibri"/>
          <w:b w:val="0"/>
          <w:i w:val="0"/>
          <w:color w:val="1F2A37"/>
          <w:sz w:val="22"/>
        </w:rPr>
        <w:t>rutas de despacho con las zonas que cubren, más vehículos y choferes. Solo el encargado de bodega crea rutas. Distinto de la ruta comercial del vendedor (comisiones).</w:t>
      </w:r>
    </w:p>
    <w:p>
      <w:pPr>
        <w:pStyle w:val="ListBullet"/>
        <w:spacing w:after="80"/>
        <w:ind w:left="567"/>
      </w:pPr>
      <w:r>
        <w:rPr>
          <w:rFonts w:ascii="Calibri" w:hAnsi="Calibri" w:eastAsia="Calibri"/>
          <w:b/>
          <w:i w:val="0"/>
          <w:color w:val="1F2A37"/>
          <w:sz w:val="22"/>
        </w:rPr>
        <w:t xml:space="preserve">Cola de alistamiento. </w:t>
      </w:r>
      <w:r>
        <w:rPr>
          <w:rFonts w:ascii="Calibri" w:hAnsi="Calibri" w:eastAsia="Calibri"/>
          <w:b w:val="0"/>
          <w:i w:val="0"/>
          <w:color w:val="1F2A37"/>
          <w:sz w:val="22"/>
        </w:rPr>
        <w:t>las facturas, tiquetes, consignaciones y preventas pendientes de recoger. Entran todas las series, salvo la de Ferias.</w:t>
      </w:r>
    </w:p>
    <w:p>
      <w:pPr>
        <w:pStyle w:val="ListBullet"/>
        <w:spacing w:after="80"/>
        <w:ind w:left="567"/>
      </w:pPr>
      <w:r>
        <w:rPr>
          <w:rFonts w:ascii="Calibri" w:hAnsi="Calibri" w:eastAsia="Calibri"/>
          <w:b/>
          <w:i w:val="0"/>
          <w:color w:val="1F2A37"/>
          <w:sz w:val="22"/>
        </w:rPr>
        <w:t xml:space="preserve">Recibo de mercadería. </w:t>
      </w:r>
      <w:r>
        <w:rPr>
          <w:rFonts w:ascii="Calibri" w:hAnsi="Calibri" w:eastAsia="Calibri"/>
          <w:b w:val="0"/>
          <w:i w:val="0"/>
          <w:color w:val="1F2A37"/>
          <w:sz w:val="22"/>
        </w:rPr>
        <w:t>la mercadería devuelta por clientes: el inventario sube cuando bodega confirma lo que recibió.</w:t>
      </w:r>
    </w:p>
    <w:p>
      <w:pPr>
        <w:pStyle w:val="ListBullet"/>
        <w:spacing w:after="80"/>
        <w:ind w:left="567"/>
      </w:pPr>
      <w:r>
        <w:rPr>
          <w:rFonts w:ascii="Calibri" w:hAnsi="Calibri" w:eastAsia="Calibri"/>
          <w:b/>
          <w:i w:val="0"/>
          <w:color w:val="1F2A37"/>
          <w:sz w:val="22"/>
        </w:rPr>
        <w:t xml:space="preserve">Empaque. </w:t>
      </w:r>
      <w:r>
        <w:rPr>
          <w:rFonts w:ascii="Calibri" w:hAnsi="Calibri" w:eastAsia="Calibri"/>
          <w:b w:val="0"/>
          <w:i w:val="0"/>
          <w:color w:val="1F2A37"/>
          <w:sz w:val="22"/>
        </w:rPr>
        <w:t>una orden a la vez. Un disparo de pistola = una caja o etiqueta. El lote es el de la factura.</w:t>
      </w:r>
    </w:p>
    <w:p>
      <w:pPr>
        <w:pStyle w:val="ListBullet"/>
        <w:spacing w:after="80"/>
        <w:ind w:left="567"/>
      </w:pPr>
      <w:r>
        <w:rPr>
          <w:rFonts w:ascii="Calibri" w:hAnsi="Calibri" w:eastAsia="Calibri"/>
          <w:b/>
          <w:i w:val="0"/>
          <w:color w:val="1F2A37"/>
          <w:sz w:val="22"/>
        </w:rPr>
        <w:t xml:space="preserve">Despacho. </w:t>
      </w:r>
      <w:r>
        <w:rPr>
          <w:rFonts w:ascii="Calibri" w:hAnsi="Calibri" w:eastAsia="Calibri"/>
          <w:b w:val="0"/>
          <w:i w:val="0"/>
          <w:color w:val="1F2A37"/>
          <w:sz w:val="22"/>
        </w:rPr>
        <w:t>armar el manifiesto con bultos empacados, escanear al camión y salir a ruta.</w:t>
      </w:r>
    </w:p>
    <w:p>
      <w:pPr>
        <w:spacing w:before="160" w:after="40"/>
        <w:jc w:val="center"/>
      </w:pPr>
      <w:r>
        <w:drawing>
          <wp:inline xmlns:a="http://schemas.openxmlformats.org/drawingml/2006/main" xmlns:pic="http://schemas.openxmlformats.org/drawingml/2006/picture">
            <wp:extent cx="5832000" cy="3645000"/>
            <wp:docPr id="1" name="Picture 1"/>
            <wp:cNvGraphicFramePr>
              <a:graphicFrameLocks noChangeAspect="1"/>
            </wp:cNvGraphicFramePr>
            <a:graphic>
              <a:graphicData uri="http://schemas.openxmlformats.org/drawingml/2006/picture">
                <pic:pic>
                  <pic:nvPicPr>
                    <pic:cNvPr id="0" name="01-menu-bodega.png"/>
                    <pic:cNvPicPr/>
                  </pic:nvPicPr>
                  <pic:blipFill>
                    <a:blip r:embed="rId11"/>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1. Menú Bodega: Cola, Empaque, Despacho y Rutas de entrega (la captura es anterior: ya no incluye Ubicaciones, que se retiró).</w:t>
      </w:r>
    </w:p>
    <w:p>
      <w:pPr>
        <w:spacing w:before="320" w:after="120"/>
        <w:pBdr>
          <w:bottom w:val="single" w:sz="12" w:space="4" w:color="1072A9"/>
        </w:pBdr>
      </w:pPr>
      <w:r>
        <w:rPr>
          <w:rFonts w:ascii="Calibri" w:hAnsi="Calibri" w:eastAsia="Calibri"/>
          <w:b/>
          <w:i w:val="0"/>
          <w:color w:val="1072A9"/>
          <w:sz w:val="32"/>
        </w:rPr>
        <w:t>2. Catálogos que se configuran una vez</w:t>
      </w:r>
    </w:p>
    <w:p>
      <w:pPr>
        <w:spacing w:before="160" w:after="80"/>
      </w:pPr>
      <w:r>
        <w:rPr>
          <w:rFonts w:ascii="Calibri" w:hAnsi="Calibri" w:eastAsia="Calibri"/>
          <w:b/>
          <w:i w:val="0"/>
          <w:color w:val="EE7519"/>
          <w:sz w:val="24"/>
        </w:rPr>
        <w:t xml:space="preserve">Paso 1. </w:t>
      </w:r>
      <w:r>
        <w:rPr>
          <w:rFonts w:ascii="Calibri" w:hAnsi="Calibri" w:eastAsia="Calibri"/>
          <w:b/>
          <w:i w:val="0"/>
          <w:color w:val="1F2A37"/>
          <w:sz w:val="24"/>
        </w:rPr>
        <w:t>Registrar zona, vehículo y chofer</w:t>
      </w:r>
    </w:p>
    <w:p>
      <w:pPr>
        <w:spacing w:after="160" w:line="276" w:lineRule="auto"/>
      </w:pPr>
      <w:r>
        <w:rPr>
          <w:rFonts w:ascii="Calibri" w:hAnsi="Calibri" w:eastAsia="Calibri"/>
          <w:b w:val="0"/>
          <w:i w:val="0"/>
          <w:color w:val="1F2A37"/>
          <w:sz w:val="22"/>
        </w:rPr>
        <w:t>Bodega → Rutas de entrega. Son tres listas independientes. La ruta de despacho no es la ruta comercial del SAC. En el ejemplo: ruta San José Centro, placa SJO-001, chofer Carlos Pérez.</w:t>
        <w:br/>
        <w:t>Cada ruta tiene un nombre, una casilla Activa y las zonas que cubre: una provincia completa, o un cantón o distrito concreto; puede ser de varias provincias o de una zona específica. Solo el encargado de bodega (permiso Crear/Editar) crea y modifica rutas; el despachador solo las elige en Despacho, y solo ve las activas. Una ruta inactiva ya no se ofrece pero no se pierde.</w:t>
      </w:r>
    </w:p>
    <w:p>
      <w:pPr>
        <w:spacing w:before="160" w:after="40"/>
        <w:jc w:val="center"/>
      </w:pPr>
      <w:r>
        <w:drawing>
          <wp:inline xmlns:a="http://schemas.openxmlformats.org/drawingml/2006/main" xmlns:pic="http://schemas.openxmlformats.org/drawingml/2006/picture">
            <wp:extent cx="5832000" cy="3645000"/>
            <wp:docPr id="2" name="Picture 2"/>
            <wp:cNvGraphicFramePr>
              <a:graphicFrameLocks noChangeAspect="1"/>
            </wp:cNvGraphicFramePr>
            <a:graphic>
              <a:graphicData uri="http://schemas.openxmlformats.org/drawingml/2006/picture">
                <pic:pic>
                  <pic:nvPicPr>
                    <pic:cNvPr id="0" name="05-rutas.png"/>
                    <pic:cNvPicPr/>
                  </pic:nvPicPr>
                  <pic:blipFill>
                    <a:blip r:embed="rId12"/>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2. Rutas de entrega: zonas, vehículos y choferes.</w:t>
      </w:r>
    </w:p>
    <w:p>
      <w:pPr>
        <w:spacing w:before="320" w:after="120"/>
        <w:pBdr>
          <w:bottom w:val="single" w:sz="12" w:space="4" w:color="1072A9"/>
        </w:pBdr>
      </w:pPr>
      <w:r>
        <w:rPr>
          <w:rFonts w:ascii="Calibri" w:hAnsi="Calibri" w:eastAsia="Calibri"/>
          <w:b/>
          <w:i w:val="0"/>
          <w:color w:val="1072A9"/>
          <w:sz w:val="32"/>
        </w:rPr>
        <w:t>3. Cola de alistamiento</w:t>
      </w:r>
    </w:p>
    <w:p>
      <w:pPr>
        <w:spacing w:after="160" w:line="276" w:lineRule="auto"/>
      </w:pPr>
      <w:r>
        <w:rPr>
          <w:rFonts w:ascii="Calibri" w:hAnsi="Calibri" w:eastAsia="Calibri"/>
          <w:b w:val="0"/>
          <w:i w:val="0"/>
          <w:color w:val="1F2A37"/>
          <w:sz w:val="22"/>
        </w:rPr>
        <w:t>Al emitir una factura (contado o crédito), un tiquete, una consignación o guardar una preventa, la orden entra sola en Pendiente. Entran todas las series, salvo la marcada «Sin alistamiento» en Parámetros → Series (la de Ferias, de entrega inmediata). También entra el envío de mercadería a consignación: al registrar una boleta de ingreso en Consignación, la orden aparece como «envío consignación» y se alista en la bodega central. Anular la boleta antes de que salga cancela la orden. Si falta mercadería, SeePOS anula la boleta y emite otra por lo empacado; si no se entrega, anula la boleta y lo empacado vuelve a la central (en merma en tránsito, además se da de baja). Si una factura ya emitida no apareció, use Traer factura con el número o el id de la venta y pulse Crear.</w:t>
        <w:br/>
        <w:t>La cola solo muestra las órdenes de la sucursal de su sesión. La columna Espera indica cuánto lleva la orden desde la facturación (o cuánto tardó bodega en iniciarla): verde, amarillo o rojo según los minutos configurados. Puede filtrar por estado, tipo, prioridad (alta = crédito) y documento (factura o tiquete).</w:t>
      </w:r>
    </w:p>
    <w:p>
      <w:pPr>
        <w:spacing w:before="160" w:after="40"/>
        <w:jc w:val="center"/>
      </w:pPr>
      <w:r>
        <w:drawing>
          <wp:inline xmlns:a="http://schemas.openxmlformats.org/drawingml/2006/main" xmlns:pic="http://schemas.openxmlformats.org/drawingml/2006/picture">
            <wp:extent cx="5832000" cy="3645000"/>
            <wp:docPr id="3" name="Picture 3"/>
            <wp:cNvGraphicFramePr>
              <a:graphicFrameLocks noChangeAspect="1"/>
            </wp:cNvGraphicFramePr>
            <a:graphic>
              <a:graphicData uri="http://schemas.openxmlformats.org/drawingml/2006/picture">
                <pic:pic>
                  <pic:nvPicPr>
                    <pic:cNvPr id="0" name="02-cola-vacia.png"/>
                    <pic:cNvPicPr/>
                  </pic:nvPicPr>
                  <pic:blipFill>
                    <a:blip r:embed="rId13"/>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3. Cola vacía (captura de la versión anterior).</w:t>
      </w:r>
    </w:p>
    <w:p>
      <w:pPr>
        <w:spacing w:before="160" w:after="80"/>
      </w:pPr>
      <w:r>
        <w:rPr>
          <w:rFonts w:ascii="Calibri" w:hAnsi="Calibri" w:eastAsia="Calibri"/>
          <w:b/>
          <w:i w:val="0"/>
          <w:color w:val="EE7519"/>
          <w:sz w:val="24"/>
        </w:rPr>
        <w:t xml:space="preserve">Paso 2. </w:t>
      </w:r>
      <w:r>
        <w:rPr>
          <w:rFonts w:ascii="Calibri" w:hAnsi="Calibri" w:eastAsia="Calibri"/>
          <w:b/>
          <w:i w:val="0"/>
          <w:color w:val="1F2A37"/>
          <w:sz w:val="24"/>
        </w:rPr>
        <w:t>Traer una factura a la cola</w:t>
      </w:r>
    </w:p>
    <w:p>
      <w:pPr>
        <w:spacing w:after="160" w:line="276" w:lineRule="auto"/>
      </w:pPr>
      <w:r>
        <w:rPr>
          <w:rFonts w:ascii="Calibri" w:hAnsi="Calibri" w:eastAsia="Calibri"/>
          <w:b w:val="0"/>
          <w:i w:val="0"/>
          <w:color w:val="1F2A37"/>
          <w:sz w:val="22"/>
        </w:rPr>
        <w:t>En Traer factura escriba el id de la venta (en el ejemplo, 52) o el número de documento y pulse Crear. SeePOS abre Empaque, o deja la orden en la cola para pulsar Empacar.</w:t>
      </w:r>
    </w:p>
    <w:p>
      <w:pPr>
        <w:spacing w:before="160" w:after="40"/>
        <w:jc w:val="center"/>
      </w:pPr>
      <w:r>
        <w:drawing>
          <wp:inline xmlns:a="http://schemas.openxmlformats.org/drawingml/2006/main" xmlns:pic="http://schemas.openxmlformats.org/drawingml/2006/picture">
            <wp:extent cx="5832000" cy="3645000"/>
            <wp:docPr id="4" name="Picture 4"/>
            <wp:cNvGraphicFramePr>
              <a:graphicFrameLocks noChangeAspect="1"/>
            </wp:cNvGraphicFramePr>
            <a:graphic>
              <a:graphicData uri="http://schemas.openxmlformats.org/drawingml/2006/picture">
                <pic:pic>
                  <pic:nvPicPr>
                    <pic:cNvPr id="0" name="06-cola-traer-factura.png"/>
                    <pic:cNvPicPr/>
                  </pic:nvPicPr>
                  <pic:blipFill>
                    <a:blip r:embed="rId14"/>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4. Traer factura: id 52 (factura crédito n.º 6).</w:t>
      </w:r>
    </w:p>
    <w:p>
      <w:pPr>
        <w:spacing w:before="160" w:after="40"/>
        <w:jc w:val="center"/>
      </w:pPr>
      <w:r>
        <w:drawing>
          <wp:inline xmlns:a="http://schemas.openxmlformats.org/drawingml/2006/main" xmlns:pic="http://schemas.openxmlformats.org/drawingml/2006/picture">
            <wp:extent cx="5832000" cy="3645000"/>
            <wp:docPr id="5" name="Picture 5"/>
            <wp:cNvGraphicFramePr>
              <a:graphicFrameLocks noChangeAspect="1"/>
            </wp:cNvGraphicFramePr>
            <a:graphic>
              <a:graphicData uri="http://schemas.openxmlformats.org/drawingml/2006/picture">
                <pic:pic>
                  <pic:nvPicPr>
                    <pic:cNvPr id="0" name="07-cola-con-orden.png"/>
                    <pic:cNvPicPr/>
                  </pic:nvPicPr>
                  <pic:blipFill>
                    <a:blip r:embed="rId15"/>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5. La orden aparece con prioridad Alta (es crédito), estado Pendiente y avance 0 / 1 · 0,00 / 10,00.</w:t>
      </w:r>
    </w:p>
    <w:p>
      <w:pPr>
        <w:spacing w:before="160" w:after="40"/>
        <w:ind w:left="170"/>
        <w:shd w:fill="FFF4EA" w:val="clear"/>
      </w:pPr>
      <w:r>
        <w:rPr>
          <w:rFonts w:ascii="Calibri" w:hAnsi="Calibri" w:eastAsia="Calibri"/>
          <w:b/>
          <w:i w:val="0"/>
          <w:color w:val="1072A9"/>
          <w:sz w:val="22"/>
        </w:rPr>
        <w:t>Estados de la cola</w:t>
      </w:r>
    </w:p>
    <w:p>
      <w:pPr>
        <w:spacing w:after="200"/>
        <w:ind w:left="170"/>
        <w:shd w:fill="FFF4EA" w:val="clear"/>
      </w:pPr>
      <w:r>
        <w:rPr>
          <w:rFonts w:ascii="Calibri" w:hAnsi="Calibri" w:eastAsia="Calibri"/>
          <w:b w:val="0"/>
          <w:i w:val="0"/>
          <w:color w:val="1F2A37"/>
          <w:sz w:val="21"/>
        </w:rPr>
        <w:t>Pendiente → En alistamiento → Empacado → En ruta → Entregado (o No entregado). Anular en cola o en empaque no toca la factura: solo cancela el picking.</w:t>
      </w:r>
    </w:p>
    <w:p>
      <w:pPr>
        <w:spacing w:before="320" w:after="120"/>
        <w:pBdr>
          <w:bottom w:val="single" w:sz="12" w:space="4" w:color="1072A9"/>
        </w:pBdr>
      </w:pPr>
      <w:r>
        <w:rPr>
          <w:rFonts w:ascii="Calibri" w:hAnsi="Calibri" w:eastAsia="Calibri"/>
          <w:b/>
          <w:i w:val="0"/>
          <w:color w:val="1072A9"/>
          <w:sz w:val="32"/>
        </w:rPr>
        <w:t>4. Empaque</w:t>
      </w:r>
    </w:p>
    <w:p>
      <w:pPr>
        <w:spacing w:before="160" w:after="80"/>
      </w:pPr>
      <w:r>
        <w:rPr>
          <w:rFonts w:ascii="Calibri" w:hAnsi="Calibri" w:eastAsia="Calibri"/>
          <w:b/>
          <w:i w:val="0"/>
          <w:color w:val="EE7519"/>
          <w:sz w:val="24"/>
        </w:rPr>
        <w:t xml:space="preserve">Paso 3. </w:t>
      </w:r>
      <w:r>
        <w:rPr>
          <w:rFonts w:ascii="Calibri" w:hAnsi="Calibri" w:eastAsia="Calibri"/>
          <w:b/>
          <w:i w:val="0"/>
          <w:color w:val="1F2A37"/>
          <w:sz w:val="24"/>
        </w:rPr>
        <w:t>Abrir la orden y aceptarla</w:t>
      </w:r>
    </w:p>
    <w:p>
      <w:pPr>
        <w:spacing w:after="160" w:line="276" w:lineRule="auto"/>
      </w:pPr>
      <w:r>
        <w:rPr>
          <w:rFonts w:ascii="Calibri" w:hAnsi="Calibri" w:eastAsia="Calibri"/>
          <w:b w:val="0"/>
          <w:i w:val="0"/>
          <w:color w:val="1F2A37"/>
          <w:sz w:val="22"/>
        </w:rPr>
        <w:t>Desde la cola pulse Empacar. Verá el cliente/documento, las líneas, cantidad facturada y lote de la factura. Pulse Aceptar: la orden pasa a En alistamiento y se abre un bulto (BULT-n).</w:t>
      </w:r>
    </w:p>
    <w:p>
      <w:pPr>
        <w:spacing w:before="160" w:after="40"/>
        <w:jc w:val="center"/>
      </w:pPr>
      <w:r>
        <w:drawing>
          <wp:inline xmlns:a="http://schemas.openxmlformats.org/drawingml/2006/main" xmlns:pic="http://schemas.openxmlformats.org/drawingml/2006/picture">
            <wp:extent cx="5832000" cy="3645000"/>
            <wp:docPr id="6" name="Picture 6"/>
            <wp:cNvGraphicFramePr>
              <a:graphicFrameLocks noChangeAspect="1"/>
            </wp:cNvGraphicFramePr>
            <a:graphic>
              <a:graphicData uri="http://schemas.openxmlformats.org/drawingml/2006/picture">
                <pic:pic>
                  <pic:nvPicPr>
                    <pic:cNvPr id="0" name="08-empaque-pendiente.png"/>
                    <pic:cNvPicPr/>
                  </pic:nvPicPr>
                  <pic:blipFill>
                    <a:blip r:embed="rId16"/>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6. Orden pendiente. 10 unidades, lote de la factura 0. Botón Aceptar.</w:t>
      </w:r>
    </w:p>
    <w:p>
      <w:pPr>
        <w:spacing w:before="160" w:after="40"/>
        <w:jc w:val="center"/>
      </w:pPr>
      <w:r>
        <w:drawing>
          <wp:inline xmlns:a="http://schemas.openxmlformats.org/drawingml/2006/main" xmlns:pic="http://schemas.openxmlformats.org/drawingml/2006/picture">
            <wp:extent cx="5832000" cy="3645000"/>
            <wp:docPr id="7" name="Picture 7"/>
            <wp:cNvGraphicFramePr>
              <a:graphicFrameLocks noChangeAspect="1"/>
            </wp:cNvGraphicFramePr>
            <a:graphic>
              <a:graphicData uri="http://schemas.openxmlformats.org/drawingml/2006/picture">
                <pic:pic>
                  <pic:nvPicPr>
                    <pic:cNvPr id="0" name="09-empaque-alistamiento.png"/>
                    <pic:cNvPicPr/>
                  </pic:nvPicPr>
                  <pic:blipFill>
                    <a:blip r:embed="rId17"/>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7. En alistamiento. Campo Pistola / código, Cerrar bulto, Faltante y Marcar empacado. BULT-1 Abierto.</w:t>
      </w:r>
    </w:p>
    <w:p>
      <w:pPr>
        <w:spacing w:before="160" w:after="80"/>
      </w:pPr>
      <w:r>
        <w:rPr>
          <w:rFonts w:ascii="Calibri" w:hAnsi="Calibri" w:eastAsia="Calibri"/>
          <w:b/>
          <w:i w:val="0"/>
          <w:color w:val="EE7519"/>
          <w:sz w:val="24"/>
        </w:rPr>
        <w:t xml:space="preserve">Paso 4. </w:t>
      </w:r>
      <w:r>
        <w:rPr>
          <w:rFonts w:ascii="Calibri" w:hAnsi="Calibri" w:eastAsia="Calibri"/>
          <w:b/>
          <w:i w:val="0"/>
          <w:color w:val="1F2A37"/>
          <w:sz w:val="24"/>
        </w:rPr>
        <w:t>Escanear (un disparo = una caja o etiqueta)</w:t>
      </w:r>
    </w:p>
    <w:p>
      <w:pPr>
        <w:spacing w:after="160" w:line="276" w:lineRule="auto"/>
      </w:pPr>
      <w:r>
        <w:rPr>
          <w:rFonts w:ascii="Calibri" w:hAnsi="Calibri" w:eastAsia="Calibri"/>
          <w:b w:val="0"/>
          <w:i w:val="0"/>
          <w:color w:val="1F2A37"/>
          <w:sz w:val="22"/>
        </w:rPr>
        <w:t>Pistola USB o colectora en Pistola / código. El lote escaneado tiene que ser el de la factura. Una etiqueta GS1 puede traer lote (AI 10) y cantidad (AI 37) y cubre la línea de un disparo. En el ejemplo, un GS1 con cantidad 10 dejó la línea Completa (10,000 / 10,000). Se bloquea un lote vencido (el del código o el de la factura) o con menos vida útil de la que exige el cliente.</w:t>
        <w:br/>
        <w:t>Si la barra está dañada, o la etiqueta no trae lote, use Ingreso manual (supervisor): escriba el código del artículo y pida al supervisor su clave interna. Solo vale un usuario cuyo perfil tenga la opción «Supervisor de bodega». En el ingreso manual el lote es siempre el de la factura (no se puede elegir otro) y el escaneo queda registrado con quién autorizó. Los artículos sin ningún código de barras registrado se siguen identificando por su código, sin supervisor.</w:t>
      </w:r>
    </w:p>
    <w:p>
      <w:pPr>
        <w:spacing w:before="160" w:after="80"/>
      </w:pPr>
      <w:r>
        <w:rPr>
          <w:rFonts w:ascii="Calibri" w:hAnsi="Calibri" w:eastAsia="Calibri"/>
          <w:b/>
          <w:i w:val="0"/>
          <w:color w:val="EE7519"/>
          <w:sz w:val="24"/>
        </w:rPr>
        <w:t xml:space="preserve">Paso 5. </w:t>
      </w:r>
      <w:r>
        <w:rPr>
          <w:rFonts w:ascii="Calibri" w:hAnsi="Calibri" w:eastAsia="Calibri"/>
          <w:b/>
          <w:i w:val="0"/>
          <w:color w:val="1F2A37"/>
          <w:sz w:val="24"/>
        </w:rPr>
        <w:t>Cerrar el bulto y marcar empacado</w:t>
      </w:r>
    </w:p>
    <w:p>
      <w:pPr>
        <w:spacing w:after="160" w:line="276" w:lineRule="auto"/>
      </w:pPr>
      <w:r>
        <w:rPr>
          <w:rFonts w:ascii="Calibri" w:hAnsi="Calibri" w:eastAsia="Calibri"/>
          <w:b w:val="0"/>
          <w:i w:val="0"/>
          <w:color w:val="1F2A37"/>
          <w:sz w:val="22"/>
        </w:rPr>
        <w:t>Indique el peso en kg y pulse Cerrar bulto: el bulto queda Cerrado (BULT-1) y se abre la etiqueta para imprimir (A4 u 80 mm desde la lista de bultos). Al completar el 100 % de lo facturado, SeePOS cierra el bulto abierto y abre la etiqueta solo. Cuando todas las líneas están Completas, pulse Marcar empacado: los bultos que seguían abiertos se cierran y se imprimen. SeePOS avisa: pase a Despacho para armar el manifiesto.</w:t>
      </w:r>
    </w:p>
    <w:p>
      <w:pPr>
        <w:spacing w:before="160" w:after="40"/>
        <w:jc w:val="center"/>
      </w:pPr>
      <w:r>
        <w:drawing>
          <wp:inline xmlns:a="http://schemas.openxmlformats.org/drawingml/2006/main" xmlns:pic="http://schemas.openxmlformats.org/drawingml/2006/picture">
            <wp:extent cx="5832000" cy="3645000"/>
            <wp:docPr id="8" name="Picture 8"/>
            <wp:cNvGraphicFramePr>
              <a:graphicFrameLocks noChangeAspect="1"/>
            </wp:cNvGraphicFramePr>
            <a:graphic>
              <a:graphicData uri="http://schemas.openxmlformats.org/drawingml/2006/picture">
                <pic:pic>
                  <pic:nvPicPr>
                    <pic:cNvPr id="0" name="10-empaque-bulto.png"/>
                    <pic:cNvPicPr/>
                  </pic:nvPicPr>
                  <pic:blipFill>
                    <a:blip r:embed="rId18"/>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8. Línea completa, BULT-1 Cerrado 1,25 kg, escaneo GS1 con lote 0 y cantidad 10.</w:t>
      </w:r>
    </w:p>
    <w:p>
      <w:pPr>
        <w:spacing w:before="160" w:after="40"/>
        <w:jc w:val="center"/>
      </w:pPr>
      <w:r>
        <w:drawing>
          <wp:inline xmlns:a="http://schemas.openxmlformats.org/drawingml/2006/main" xmlns:pic="http://schemas.openxmlformats.org/drawingml/2006/picture">
            <wp:extent cx="5832000" cy="3645000"/>
            <wp:docPr id="9" name="Picture 9"/>
            <wp:cNvGraphicFramePr>
              <a:graphicFrameLocks noChangeAspect="1"/>
            </wp:cNvGraphicFramePr>
            <a:graphic>
              <a:graphicData uri="http://schemas.openxmlformats.org/drawingml/2006/picture">
                <pic:pic>
                  <pic:nvPicPr>
                    <pic:cNvPr id="0" name="11-cola-empacado.png"/>
                    <pic:cNvPicPr/>
                  </pic:nvPicPr>
                  <pic:blipFill>
                    <a:blip r:embed="rId19"/>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9. Cola filtrada en Empacado: 1 / 1 · 10,00 / 10,00.</w:t>
      </w:r>
    </w:p>
    <w:p>
      <w:pPr>
        <w:spacing w:before="160" w:after="40"/>
        <w:jc w:val="center"/>
      </w:pPr>
      <w:r>
        <w:drawing>
          <wp:inline xmlns:a="http://schemas.openxmlformats.org/drawingml/2006/main" xmlns:pic="http://schemas.openxmlformats.org/drawingml/2006/picture">
            <wp:extent cx="5832000" cy="3645000"/>
            <wp:docPr id="10" name="Picture 10"/>
            <wp:cNvGraphicFramePr>
              <a:graphicFrameLocks noChangeAspect="1"/>
            </wp:cNvGraphicFramePr>
            <a:graphic>
              <a:graphicData uri="http://schemas.openxmlformats.org/drawingml/2006/picture">
                <pic:pic>
                  <pic:nvPicPr>
                    <pic:cNvPr id="0" name="12-empaque-empacado.png"/>
                    <pic:cNvPicPr/>
                  </pic:nvPicPr>
                  <pic:blipFill>
                    <a:blip r:embed="rId20"/>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10. Orden Empacado. Ya se puede confirmar Entregado / No entregado, o pasar a Despacho.</w:t>
      </w:r>
    </w:p>
    <w:p>
      <w:pPr>
        <w:spacing w:before="160" w:after="40"/>
        <w:ind w:left="170"/>
        <w:shd w:fill="FFF4EA" w:val="clear"/>
      </w:pPr>
      <w:r>
        <w:rPr>
          <w:rFonts w:ascii="Calibri" w:hAnsi="Calibri" w:eastAsia="Calibri"/>
          <w:b/>
          <w:i w:val="0"/>
          <w:color w:val="1072A9"/>
          <w:sz w:val="22"/>
        </w:rPr>
        <w:t>Faltante</w:t>
      </w:r>
    </w:p>
    <w:p>
      <w:pPr>
        <w:spacing w:after="200"/>
        <w:ind w:left="170"/>
        <w:shd w:fill="FFF4EA" w:val="clear"/>
      </w:pPr>
      <w:r>
        <w:rPr>
          <w:rFonts w:ascii="Calibri" w:hAnsi="Calibri" w:eastAsia="Calibri"/>
          <w:b w:val="0"/>
          <w:i w:val="0"/>
          <w:color w:val="1F2A37"/>
          <w:sz w:val="21"/>
        </w:rPr>
        <w:t>Si no se encuentra todo, pulse Faltante. En factura se emite una nota de crédito por lo no empacado. En preventa se quita la cantidad y se devuelve al inventario. Después puede marcar empacado el resto. No se usa si la línea ya está completa.</w:t>
      </w:r>
    </w:p>
    <w:p>
      <w:pPr>
        <w:spacing w:before="320" w:after="120"/>
        <w:pBdr>
          <w:bottom w:val="single" w:sz="12" w:space="4" w:color="1072A9"/>
        </w:pBdr>
      </w:pPr>
      <w:r>
        <w:rPr>
          <w:rFonts w:ascii="Calibri" w:hAnsi="Calibri" w:eastAsia="Calibri"/>
          <w:b/>
          <w:i w:val="0"/>
          <w:color w:val="1072A9"/>
          <w:sz w:val="32"/>
        </w:rPr>
        <w:t>5. Despacho</w:t>
      </w:r>
    </w:p>
    <w:p>
      <w:pPr>
        <w:spacing w:before="160" w:after="80"/>
      </w:pPr>
      <w:r>
        <w:rPr>
          <w:rFonts w:ascii="Calibri" w:hAnsi="Calibri" w:eastAsia="Calibri"/>
          <w:b/>
          <w:i w:val="0"/>
          <w:color w:val="EE7519"/>
          <w:sz w:val="24"/>
        </w:rPr>
        <w:t xml:space="preserve">Paso 6. </w:t>
      </w:r>
      <w:r>
        <w:rPr>
          <w:rFonts w:ascii="Calibri" w:hAnsi="Calibri" w:eastAsia="Calibri"/>
          <w:b/>
          <w:i w:val="0"/>
          <w:color w:val="1F2A37"/>
          <w:sz w:val="24"/>
        </w:rPr>
        <w:t>Armar el manifiesto</w:t>
      </w:r>
    </w:p>
    <w:p>
      <w:pPr>
        <w:spacing w:after="160" w:line="276" w:lineRule="auto"/>
      </w:pPr>
      <w:r>
        <w:rPr>
          <w:rFonts w:ascii="Calibri" w:hAnsi="Calibri" w:eastAsia="Calibri"/>
          <w:b w:val="0"/>
          <w:i w:val="0"/>
          <w:color w:val="1F2A37"/>
          <w:sz w:val="22"/>
        </w:rPr>
        <w:t>Bodega → Despacho. Marque los bultos empacados sin manifiesto (BULT-1 · factura 6). Elija la ruta (obligatoria; solo aparecen las activas), el vehículo y el chofer. Pulse Crear manifiesto. SeePOS abre el PDF del manifiesto.</w:t>
        <w:br/>
        <w:t>Cada bulto muestra la zona y la dirección de su cliente. Con una ruta elegida puede marcar «Solo bultos de la ruta» para ver únicamente los que caen en sus zonas; si carga un bulto fuera de las zonas, SeePOS lo avisa pero no lo impide: la decisión es del despachador. Si no hay rutas activas, pida al encargado de bodega que cree una.</w:t>
      </w:r>
    </w:p>
    <w:p>
      <w:pPr>
        <w:spacing w:before="160" w:after="40"/>
        <w:jc w:val="center"/>
      </w:pPr>
      <w:r>
        <w:drawing>
          <wp:inline xmlns:a="http://schemas.openxmlformats.org/drawingml/2006/main" xmlns:pic="http://schemas.openxmlformats.org/drawingml/2006/picture">
            <wp:extent cx="5832000" cy="3645000"/>
            <wp:docPr id="11" name="Picture 11"/>
            <wp:cNvGraphicFramePr>
              <a:graphicFrameLocks noChangeAspect="1"/>
            </wp:cNvGraphicFramePr>
            <a:graphic>
              <a:graphicData uri="http://schemas.openxmlformats.org/drawingml/2006/picture">
                <pic:pic>
                  <pic:nvPicPr>
                    <pic:cNvPr id="0" name="13-despacho-armar.png"/>
                    <pic:cNvPicPr/>
                  </pic:nvPicPr>
                  <pic:blipFill>
                    <a:blip r:embed="rId21"/>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11. BULT-1 seleccionado, ruta San José Centro, placa SJO-001, chofer Carlos Pérez.</w:t>
      </w:r>
    </w:p>
    <w:p>
      <w:pPr>
        <w:spacing w:before="160" w:after="80"/>
      </w:pPr>
      <w:r>
        <w:rPr>
          <w:rFonts w:ascii="Calibri" w:hAnsi="Calibri" w:eastAsia="Calibri"/>
          <w:b/>
          <w:i w:val="0"/>
          <w:color w:val="EE7519"/>
          <w:sz w:val="24"/>
        </w:rPr>
        <w:t xml:space="preserve">Paso 7. </w:t>
      </w:r>
      <w:r>
        <w:rPr>
          <w:rFonts w:ascii="Calibri" w:hAnsi="Calibri" w:eastAsia="Calibri"/>
          <w:b/>
          <w:i w:val="0"/>
          <w:color w:val="1F2A37"/>
          <w:sz w:val="24"/>
        </w:rPr>
        <w:t>Escanear al camión y salir a ruta</w:t>
      </w:r>
    </w:p>
    <w:p>
      <w:pPr>
        <w:spacing w:after="160" w:line="276" w:lineRule="auto"/>
      </w:pPr>
      <w:r>
        <w:rPr>
          <w:rFonts w:ascii="Calibri" w:hAnsi="Calibri" w:eastAsia="Calibri"/>
          <w:b w:val="0"/>
          <w:i w:val="0"/>
          <w:color w:val="1F2A37"/>
          <w:sz w:val="22"/>
        </w:rPr>
        <w:t>En el manifiesto pulse el campo Escanear bulto al camión y dispare el código BULT-n (o escríbalo). Hay que cargar todos los bultos del manifiesto, y el manifiesto debe tener ruta. Luego pulse Salir a ruta. La orden pasa a En ruta.</w:t>
      </w:r>
    </w:p>
    <w:p>
      <w:pPr>
        <w:spacing w:before="160" w:after="40"/>
        <w:ind w:left="170"/>
        <w:shd w:fill="FFF4EA" w:val="clear"/>
      </w:pPr>
      <w:r>
        <w:rPr>
          <w:rFonts w:ascii="Calibri" w:hAnsi="Calibri" w:eastAsia="Calibri"/>
          <w:b/>
          <w:i w:val="0"/>
          <w:color w:val="1072A9"/>
          <w:sz w:val="22"/>
        </w:rPr>
        <w:t>Corregir un manifiesto antes de salir</w:t>
      </w:r>
    </w:p>
    <w:p>
      <w:pPr>
        <w:spacing w:after="200"/>
        <w:ind w:left="170"/>
        <w:shd w:fill="FFF4EA" w:val="clear"/>
      </w:pPr>
      <w:r>
        <w:rPr>
          <w:rFonts w:ascii="Calibri" w:hAnsi="Calibri" w:eastAsia="Calibri"/>
          <w:b w:val="0"/>
          <w:i w:val="0"/>
          <w:color w:val="1F2A37"/>
          <w:sz w:val="21"/>
        </w:rPr>
        <w:t>Mientras el manifiesto esté Armado se puede cambiar la ruta, el vehículo y el chofer (Guardar cambios), quitar un bulto (queda libre para otro manifiesto) o anular el manifiesto con un motivo. Una vez que sale a ruta ya no se puede corregir.</w:t>
      </w:r>
    </w:p>
    <w:p>
      <w:pPr>
        <w:spacing w:before="160" w:after="40"/>
        <w:jc w:val="center"/>
      </w:pPr>
      <w:r>
        <w:drawing>
          <wp:inline xmlns:a="http://schemas.openxmlformats.org/drawingml/2006/main" xmlns:pic="http://schemas.openxmlformats.org/drawingml/2006/picture">
            <wp:extent cx="5832000" cy="3645000"/>
            <wp:docPr id="12" name="Picture 12"/>
            <wp:cNvGraphicFramePr>
              <a:graphicFrameLocks noChangeAspect="1"/>
            </wp:cNvGraphicFramePr>
            <a:graphic>
              <a:graphicData uri="http://schemas.openxmlformats.org/drawingml/2006/picture">
                <pic:pic>
                  <pic:nvPicPr>
                    <pic:cNvPr id="0" name="14-cola-en-ruta.png"/>
                    <pic:cNvPicPr/>
                  </pic:nvPicPr>
                  <pic:blipFill>
                    <a:blip r:embed="rId22"/>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12. Cola filtrada en En ruta. Documento 6 crédito, avance completo.</w:t>
      </w:r>
    </w:p>
    <w:p>
      <w:pPr>
        <w:spacing w:before="160" w:after="40"/>
        <w:jc w:val="center"/>
      </w:pPr>
      <w:r>
        <w:drawing>
          <wp:inline xmlns:a="http://schemas.openxmlformats.org/drawingml/2006/main" xmlns:pic="http://schemas.openxmlformats.org/drawingml/2006/picture">
            <wp:extent cx="5832000" cy="3645000"/>
            <wp:docPr id="13" name="Picture 13"/>
            <wp:cNvGraphicFramePr>
              <a:graphicFrameLocks noChangeAspect="1"/>
            </wp:cNvGraphicFramePr>
            <a:graphic>
              <a:graphicData uri="http://schemas.openxmlformats.org/drawingml/2006/picture">
                <pic:pic>
                  <pic:nvPicPr>
                    <pic:cNvPr id="0" name="15-empaque-en-ruta.png"/>
                    <pic:cNvPicPr/>
                  </pic:nvPicPr>
                  <pic:blipFill>
                    <a:blip r:embed="rId23"/>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13. Empaque con la orden En ruta. BULT-1 En ruta. Botones Entregado y No entregado.</w:t>
      </w:r>
    </w:p>
    <w:p>
      <w:pPr>
        <w:spacing w:before="320" w:after="120"/>
        <w:pBdr>
          <w:bottom w:val="single" w:sz="12" w:space="4" w:color="1072A9"/>
        </w:pBdr>
      </w:pPr>
      <w:r>
        <w:rPr>
          <w:rFonts w:ascii="Calibri" w:hAnsi="Calibri" w:eastAsia="Calibri"/>
          <w:b/>
          <w:i w:val="0"/>
          <w:color w:val="1072A9"/>
          <w:sz w:val="32"/>
        </w:rPr>
        <w:t>6. Entrega</w:t>
      </w:r>
    </w:p>
    <w:p>
      <w:pPr>
        <w:spacing w:before="160" w:after="80"/>
      </w:pPr>
      <w:r>
        <w:rPr>
          <w:rFonts w:ascii="Calibri" w:hAnsi="Calibri" w:eastAsia="Calibri"/>
          <w:b/>
          <w:i w:val="0"/>
          <w:color w:val="EE7519"/>
          <w:sz w:val="24"/>
        </w:rPr>
        <w:t xml:space="preserve">Paso 8. </w:t>
      </w:r>
      <w:r>
        <w:rPr>
          <w:rFonts w:ascii="Calibri" w:hAnsi="Calibri" w:eastAsia="Calibri"/>
          <w:b/>
          <w:i w:val="0"/>
          <w:color w:val="1F2A37"/>
          <w:sz w:val="24"/>
        </w:rPr>
        <w:t>Confirmar entregado</w:t>
      </w:r>
    </w:p>
    <w:p>
      <w:pPr>
        <w:spacing w:after="160" w:line="276" w:lineRule="auto"/>
      </w:pPr>
      <w:r>
        <w:rPr>
          <w:rFonts w:ascii="Calibri" w:hAnsi="Calibri" w:eastAsia="Calibri"/>
          <w:b w:val="0"/>
          <w:i w:val="0"/>
          <w:color w:val="1F2A37"/>
          <w:sz w:val="22"/>
        </w:rPr>
        <w:t>Desde Empaque (o desde Despacho, factura por factura) pulse Entregado. Indique quién recibió. La firma en el recuadro es opcional: rastro de quién recibió, no certificado legal. Pulse Confirmar. Con la orden cerrada puede imprimir el Comprobante de entrega (qué se entregó, quién recibió, ruta, vehículo y chofer, y una línea para la firma a mano) desde Empaque o desde el manifiesto en Despacho.</w:t>
      </w:r>
    </w:p>
    <w:p>
      <w:pPr>
        <w:spacing w:before="160" w:after="40"/>
        <w:jc w:val="center"/>
      </w:pPr>
      <w:r>
        <w:drawing>
          <wp:inline xmlns:a="http://schemas.openxmlformats.org/drawingml/2006/main" xmlns:pic="http://schemas.openxmlformats.org/drawingml/2006/picture">
            <wp:extent cx="5832000" cy="3645000"/>
            <wp:docPr id="14" name="Picture 14"/>
            <wp:cNvGraphicFramePr>
              <a:graphicFrameLocks noChangeAspect="1"/>
            </wp:cNvGraphicFramePr>
            <a:graphic>
              <a:graphicData uri="http://schemas.openxmlformats.org/drawingml/2006/picture">
                <pic:pic>
                  <pic:nvPicPr>
                    <pic:cNvPr id="0" name="16-confirmar-entrega.png"/>
                    <pic:cNvPicPr/>
                  </pic:nvPicPr>
                  <pic:blipFill>
                    <a:blip r:embed="rId24"/>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14. Confirmar entrega: Recibido por María Rodríguez. Firma opcional.</w:t>
      </w:r>
    </w:p>
    <w:p>
      <w:pPr>
        <w:spacing w:before="160" w:after="40"/>
        <w:jc w:val="center"/>
      </w:pPr>
      <w:r>
        <w:drawing>
          <wp:inline xmlns:a="http://schemas.openxmlformats.org/drawingml/2006/main" xmlns:pic="http://schemas.openxmlformats.org/drawingml/2006/picture">
            <wp:extent cx="5832000" cy="3645000"/>
            <wp:docPr id="15" name="Picture 15"/>
            <wp:cNvGraphicFramePr>
              <a:graphicFrameLocks noChangeAspect="1"/>
            </wp:cNvGraphicFramePr>
            <a:graphic>
              <a:graphicData uri="http://schemas.openxmlformats.org/drawingml/2006/picture">
                <pic:pic>
                  <pic:nvPicPr>
                    <pic:cNvPr id="0" name="17-cola-entregado.png"/>
                    <pic:cNvPicPr/>
                  </pic:nvPicPr>
                  <pic:blipFill>
                    <a:blip r:embed="rId25"/>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5C5C5C"/>
          <w:sz w:val="19"/>
        </w:rPr>
        <w:t>Figura 15. Cola filtrada en Entregado. La orden quedó cerrada (1 / 1 · 10,00 / 10,00).</w:t>
      </w:r>
    </w:p>
    <w:p>
      <w:pPr>
        <w:spacing w:before="160" w:after="40"/>
        <w:ind w:left="170"/>
        <w:shd w:fill="FFF4EA" w:val="clear"/>
      </w:pPr>
      <w:r>
        <w:rPr>
          <w:rFonts w:ascii="Calibri" w:hAnsi="Calibri" w:eastAsia="Calibri"/>
          <w:b/>
          <w:i w:val="0"/>
          <w:color w:val="1072A9"/>
          <w:sz w:val="22"/>
        </w:rPr>
        <w:t>No entregado</w:t>
      </w:r>
    </w:p>
    <w:p>
      <w:pPr>
        <w:spacing w:after="200"/>
        <w:ind w:left="170"/>
        <w:shd w:fill="FFF4EA" w:val="clear"/>
      </w:pPr>
      <w:r>
        <w:rPr>
          <w:rFonts w:ascii="Calibri" w:hAnsi="Calibri" w:eastAsia="Calibri"/>
          <w:b w:val="0"/>
          <w:i w:val="0"/>
          <w:color w:val="1F2A37"/>
          <w:sz w:val="21"/>
        </w:rPr>
        <w:t>Si el producto vuelve o se pierde: pulse No entregado. Elija Volvió a bodega (reingreso) o Merma o pérdida en tránsito. En factura se emite nota de crédito por lo empacado; en preventa se suelta la reserva. El inventario no se vuelve a descontar (ya salió al facturar).</w:t>
      </w:r>
    </w:p>
    <w:p>
      <w:pPr>
        <w:spacing w:before="320" w:after="120"/>
        <w:pBdr>
          <w:bottom w:val="single" w:sz="12" w:space="4" w:color="1072A9"/>
        </w:pBdr>
      </w:pPr>
      <w:r>
        <w:rPr>
          <w:rFonts w:ascii="Calibri" w:hAnsi="Calibri" w:eastAsia="Calibri"/>
          <w:b/>
          <w:i w:val="0"/>
          <w:color w:val="1072A9"/>
          <w:sz w:val="32"/>
        </w:rPr>
        <w:t>7. Recibo de mercadería (devoluciones)</w:t>
      </w:r>
    </w:p>
    <w:p>
      <w:pPr>
        <w:spacing w:after="160" w:line="276" w:lineRule="auto"/>
      </w:pPr>
      <w:r>
        <w:rPr>
          <w:rFonts w:ascii="Calibri" w:hAnsi="Calibri" w:eastAsia="Calibri"/>
          <w:b w:val="0"/>
          <w:i w:val="0"/>
          <w:color w:val="1F2A37"/>
          <w:sz w:val="22"/>
        </w:rPr>
        <w:t>Cuando se emite una devolución de venta con mercadería (nota de crédito o devolución interna), el inventario no sube de inmediato: la devolución entra a Bodega → Recibo de mercadería como una orden Pendiente de recibo.</w:t>
      </w:r>
    </w:p>
    <w:p>
      <w:pPr>
        <w:spacing w:before="160" w:after="80"/>
      </w:pPr>
      <w:r>
        <w:rPr>
          <w:rFonts w:ascii="Calibri" w:hAnsi="Calibri" w:eastAsia="Calibri"/>
          <w:b/>
          <w:i w:val="0"/>
          <w:color w:val="EE7519"/>
          <w:sz w:val="24"/>
        </w:rPr>
        <w:t xml:space="preserve">Paso 9. </w:t>
      </w:r>
      <w:r>
        <w:rPr>
          <w:rFonts w:ascii="Calibri" w:hAnsi="Calibri" w:eastAsia="Calibri"/>
          <w:b/>
          <w:i w:val="0"/>
          <w:color w:val="1F2A37"/>
          <w:sz w:val="24"/>
        </w:rPr>
        <w:t>Recibir la mercadería</w:t>
      </w:r>
    </w:p>
    <w:p>
      <w:pPr>
        <w:spacing w:after="160" w:line="276" w:lineRule="auto"/>
      </w:pPr>
      <w:r>
        <w:rPr>
          <w:rFonts w:ascii="Calibri" w:hAnsi="Calibri" w:eastAsia="Calibri"/>
          <w:b w:val="0"/>
          <w:i w:val="0"/>
          <w:color w:val="1F2A37"/>
          <w:sz w:val="22"/>
        </w:rPr>
        <w:t>Abra la orden con Recibir. Verá el cliente, la factura, las líneas con su lote y bodega, y la cantidad devuelta. Escriba la cantidad realmente recibida de cada línea (por defecto, lo devuelto; no puede ser mayor) y pulse Confirmar recibo. Solo entonces el inventario sube, y por lo recibido. Si se recibe menos de lo devuelto, la diferencia queda anotada como faltante.</w:t>
      </w:r>
    </w:p>
    <w:p>
      <w:pPr>
        <w:spacing w:before="160" w:after="40"/>
        <w:ind w:left="170"/>
        <w:shd w:fill="FFF4EA" w:val="clear"/>
      </w:pPr>
      <w:r>
        <w:rPr>
          <w:rFonts w:ascii="Calibri" w:hAnsi="Calibri" w:eastAsia="Calibri"/>
          <w:b/>
          <w:i w:val="0"/>
          <w:color w:val="1072A9"/>
          <w:sz w:val="22"/>
        </w:rPr>
        <w:t>Anular y excepciones</w:t>
      </w:r>
    </w:p>
    <w:p>
      <w:pPr>
        <w:spacing w:after="200"/>
        <w:ind w:left="170"/>
        <w:shd w:fill="FFF4EA" w:val="clear"/>
      </w:pPr>
      <w:r>
        <w:rPr>
          <w:rFonts w:ascii="Calibri" w:hAnsi="Calibri" w:eastAsia="Calibri"/>
          <w:b w:val="0"/>
          <w:i w:val="0"/>
          <w:color w:val="1F2A37"/>
          <w:sz w:val="21"/>
        </w:rPr>
        <w:t>Una orden pendiente se puede anular con un motivo (Anular orden): la mercadería no entra al inventario. Si se anula la devolución de origen mientras la orden sigue pendiente, la orden se anula sola; si ya se recibió, se revierte lo recibido. Los faltantes de alistamiento no pasan por recibo: esa mercadería nunca salió de bodega. Con Devoluciones:ExigirRecibo en false el inventario vuelve a subir al emitir la devolución.</w:t>
      </w:r>
    </w:p>
    <w:p>
      <w:pPr>
        <w:spacing w:before="320" w:after="120"/>
        <w:pBdr>
          <w:bottom w:val="single" w:sz="12" w:space="4" w:color="1072A9"/>
        </w:pBdr>
      </w:pPr>
      <w:r>
        <w:rPr>
          <w:rFonts w:ascii="Calibri" w:hAnsi="Calibri" w:eastAsia="Calibri"/>
          <w:b/>
          <w:i w:val="0"/>
          <w:color w:val="1072A9"/>
          <w:sz w:val="32"/>
        </w:rPr>
        <w:t>8. Resumen para el mostrador de bodega</w:t>
      </w:r>
    </w:p>
    <w:p>
      <w:pPr>
        <w:pStyle w:val="ListBullet"/>
        <w:spacing w:after="80"/>
        <w:ind w:left="567"/>
      </w:pPr>
      <w:r>
        <w:rPr>
          <w:rFonts w:ascii="Calibri" w:hAnsi="Calibri" w:eastAsia="Calibri"/>
          <w:b/>
          <w:i w:val="0"/>
          <w:color w:val="1F2A37"/>
          <w:sz w:val="22"/>
        </w:rPr>
        <w:t xml:space="preserve">Antes. </w:t>
      </w:r>
      <w:r>
        <w:rPr>
          <w:rFonts w:ascii="Calibri" w:hAnsi="Calibri" w:eastAsia="Calibri"/>
          <w:b w:val="0"/>
          <w:i w:val="0"/>
          <w:color w:val="1F2A37"/>
          <w:sz w:val="22"/>
        </w:rPr>
        <w:t>Las rutas de entrega (con sus zonas), los vehículos y los choferes se mantienen en catálogo; las rutas las crea el encargado de bodega.</w:t>
      </w:r>
    </w:p>
    <w:p>
      <w:pPr>
        <w:pStyle w:val="ListBullet"/>
        <w:spacing w:after="80"/>
        <w:ind w:left="567"/>
      </w:pPr>
      <w:r>
        <w:rPr>
          <w:rFonts w:ascii="Calibri" w:hAnsi="Calibri" w:eastAsia="Calibri"/>
          <w:b/>
          <w:i w:val="0"/>
          <w:color w:val="1F2A37"/>
          <w:sz w:val="22"/>
        </w:rPr>
        <w:t xml:space="preserve">Cola. </w:t>
      </w:r>
      <w:r>
        <w:rPr>
          <w:rFonts w:ascii="Calibri" w:hAnsi="Calibri" w:eastAsia="Calibri"/>
          <w:b w:val="0"/>
          <w:i w:val="0"/>
          <w:color w:val="1F2A37"/>
          <w:sz w:val="22"/>
        </w:rPr>
        <w:t>La venta entra sola, de cualquier serie salvo Ferias. Si no, Traer factura con el número o el id.</w:t>
      </w:r>
    </w:p>
    <w:p>
      <w:pPr>
        <w:pStyle w:val="ListBullet"/>
        <w:spacing w:after="80"/>
        <w:ind w:left="567"/>
      </w:pPr>
      <w:r>
        <w:rPr>
          <w:rFonts w:ascii="Calibri" w:hAnsi="Calibri" w:eastAsia="Calibri"/>
          <w:b/>
          <w:i w:val="0"/>
          <w:color w:val="1F2A37"/>
          <w:sz w:val="22"/>
        </w:rPr>
        <w:t xml:space="preserve">Empaque. </w:t>
      </w:r>
      <w:r>
        <w:rPr>
          <w:rFonts w:ascii="Calibri" w:hAnsi="Calibri" w:eastAsia="Calibri"/>
          <w:b w:val="0"/>
          <w:i w:val="0"/>
          <w:color w:val="1F2A37"/>
          <w:sz w:val="22"/>
        </w:rPr>
        <w:t>Aceptar → escanear (lote de la factura; manual solo con supervisor) → la etiqueta sale al cerrar el bulto → marcar empacado.</w:t>
      </w:r>
    </w:p>
    <w:p>
      <w:pPr>
        <w:pStyle w:val="ListBullet"/>
        <w:spacing w:after="80"/>
        <w:ind w:left="567"/>
      </w:pPr>
      <w:r>
        <w:rPr>
          <w:rFonts w:ascii="Calibri" w:hAnsi="Calibri" w:eastAsia="Calibri"/>
          <w:b/>
          <w:i w:val="0"/>
          <w:color w:val="1F2A37"/>
          <w:sz w:val="22"/>
        </w:rPr>
        <w:t xml:space="preserve">Despacho. </w:t>
      </w:r>
      <w:r>
        <w:rPr>
          <w:rFonts w:ascii="Calibri" w:hAnsi="Calibri" w:eastAsia="Calibri"/>
          <w:b w:val="0"/>
          <w:i w:val="0"/>
          <w:color w:val="1F2A37"/>
          <w:sz w:val="22"/>
        </w:rPr>
        <w:t>Elegir bultos + ruta/vehículo/chofer → crear manifiesto (se puede corregir) → escanear BULT-n → salir a ruta.</w:t>
      </w:r>
    </w:p>
    <w:p>
      <w:pPr>
        <w:pStyle w:val="ListBullet"/>
        <w:spacing w:after="80"/>
        <w:ind w:left="567"/>
      </w:pPr>
      <w:r>
        <w:rPr>
          <w:rFonts w:ascii="Calibri" w:hAnsi="Calibri" w:eastAsia="Calibri"/>
          <w:b/>
          <w:i w:val="0"/>
          <w:color w:val="1F2A37"/>
          <w:sz w:val="22"/>
        </w:rPr>
        <w:t xml:space="preserve">Cierre. </w:t>
      </w:r>
      <w:r>
        <w:rPr>
          <w:rFonts w:ascii="Calibri" w:hAnsi="Calibri" w:eastAsia="Calibri"/>
          <w:b w:val="0"/>
          <w:i w:val="0"/>
          <w:color w:val="1F2A37"/>
          <w:sz w:val="22"/>
        </w:rPr>
        <w:t>Entregado pide quién recibió y permite imprimir el comprobante. No entregado corrige el documento (NC o preventa).</w:t>
      </w:r>
    </w:p>
    <w:p>
      <w:pPr>
        <w:pStyle w:val="ListBullet"/>
        <w:spacing w:after="80"/>
        <w:ind w:left="567"/>
      </w:pPr>
      <w:r>
        <w:rPr>
          <w:rFonts w:ascii="Calibri" w:hAnsi="Calibri" w:eastAsia="Calibri"/>
          <w:b/>
          <w:i w:val="0"/>
          <w:color w:val="1F2A37"/>
          <w:sz w:val="22"/>
        </w:rPr>
        <w:t xml:space="preserve">Devoluciones. </w:t>
      </w:r>
      <w:r>
        <w:rPr>
          <w:rFonts w:ascii="Calibri" w:hAnsi="Calibri" w:eastAsia="Calibri"/>
          <w:b w:val="0"/>
          <w:i w:val="0"/>
          <w:color w:val="1F2A37"/>
          <w:sz w:val="22"/>
        </w:rPr>
        <w:t>Las devoluciones se reciben en Recibo de mercadería; el inventario sube por lo recibido.</w:t>
      </w:r>
    </w:p>
    <w:p>
      <w:pPr>
        <w:spacing w:before="320" w:after="120"/>
        <w:pBdr>
          <w:bottom w:val="single" w:sz="12" w:space="4" w:color="1072A9"/>
        </w:pBdr>
      </w:pPr>
      <w:r>
        <w:rPr>
          <w:rFonts w:ascii="Calibri" w:hAnsi="Calibri" w:eastAsia="Calibri"/>
          <w:b/>
          <w:i w:val="0"/>
          <w:color w:val="1072A9"/>
          <w:sz w:val="32"/>
        </w:rPr>
        <w:t>9. Qué no hacer</w:t>
      </w:r>
    </w:p>
    <w:p>
      <w:pPr>
        <w:pStyle w:val="ListBullet"/>
        <w:spacing w:after="80"/>
        <w:ind w:left="567"/>
      </w:pPr>
      <w:r>
        <w:rPr>
          <w:rFonts w:ascii="Calibri" w:hAnsi="Calibri" w:eastAsia="Calibri"/>
          <w:b w:val="0"/>
          <w:i w:val="0"/>
          <w:color w:val="1F2A37"/>
          <w:sz w:val="22"/>
        </w:rPr>
        <w:t>Ajustar existencias otra vez al empacar: el stock ya salió con la factura.</w:t>
      </w:r>
    </w:p>
    <w:p>
      <w:pPr>
        <w:pStyle w:val="ListBullet"/>
        <w:spacing w:after="80"/>
        <w:ind w:left="567"/>
      </w:pPr>
      <w:r>
        <w:rPr>
          <w:rFonts w:ascii="Calibri" w:hAnsi="Calibri" w:eastAsia="Calibri"/>
          <w:b w:val="0"/>
          <w:i w:val="0"/>
          <w:color w:val="1F2A37"/>
          <w:sz w:val="22"/>
        </w:rPr>
        <w:t>Cambiar el lote en empaque. El lote es el de la factura, no se elige por FEFO.</w:t>
      </w:r>
    </w:p>
    <w:p>
      <w:pPr>
        <w:pStyle w:val="ListBullet"/>
        <w:spacing w:after="80"/>
        <w:ind w:left="567"/>
      </w:pPr>
      <w:r>
        <w:rPr>
          <w:rFonts w:ascii="Calibri" w:hAnsi="Calibri" w:eastAsia="Calibri"/>
          <w:b w:val="0"/>
          <w:i w:val="0"/>
          <w:color w:val="1F2A37"/>
          <w:sz w:val="22"/>
        </w:rPr>
        <w:t>Pedir a un compañero sin perfil de supervisor que «autorice» el ingreso manual: la clave debe ser de un supervisor de bodega.</w:t>
      </w:r>
    </w:p>
    <w:p>
      <w:pPr>
        <w:pStyle w:val="ListBullet"/>
        <w:spacing w:after="80"/>
        <w:ind w:left="567"/>
      </w:pPr>
      <w:r>
        <w:rPr>
          <w:rFonts w:ascii="Calibri" w:hAnsi="Calibri" w:eastAsia="Calibri"/>
          <w:b w:val="0"/>
          <w:i w:val="0"/>
          <w:color w:val="1F2A37"/>
          <w:sz w:val="22"/>
        </w:rPr>
        <w:t>Salir a ruta sin ruta o sin escanear todos los bultos del manifiesto.</w:t>
      </w:r>
    </w:p>
    <w:p>
      <w:pPr>
        <w:pStyle w:val="ListBullet"/>
        <w:spacing w:after="80"/>
        <w:ind w:left="567"/>
      </w:pPr>
      <w:r>
        <w:rPr>
          <w:rFonts w:ascii="Calibri" w:hAnsi="Calibri" w:eastAsia="Calibri"/>
          <w:b w:val="0"/>
          <w:i w:val="0"/>
          <w:color w:val="1F2A37"/>
          <w:sz w:val="22"/>
        </w:rPr>
        <w:t>Confundir la ruta de despacho (a dónde va el camión) con la ruta comercial de Facturación (la de las comisiones).</w:t>
      </w:r>
    </w:p>
    <w:p>
      <w:pPr>
        <w:pStyle w:val="ListBullet"/>
        <w:spacing w:after="80"/>
        <w:ind w:left="567"/>
      </w:pPr>
      <w:r>
        <w:rPr>
          <w:rFonts w:ascii="Calibri" w:hAnsi="Calibri" w:eastAsia="Calibri"/>
          <w:b w:val="0"/>
          <w:i w:val="0"/>
          <w:color w:val="1F2A37"/>
          <w:sz w:val="22"/>
        </w:rPr>
        <w:t>Confirmar Entregado sin el nombre de quien recibió.</w:t>
      </w:r>
    </w:p>
    <w:p>
      <w:pPr>
        <w:spacing w:before="360"/>
      </w:pPr>
      <w:r>
        <w:rPr>
          <w:rFonts w:ascii="Calibri" w:hAnsi="Calibri" w:eastAsia="Calibri"/>
          <w:b w:val="0"/>
          <w:i/>
          <w:color w:val="5C5C5C"/>
          <w:sz w:val="19"/>
        </w:rPr>
        <w:t>Documento generado a partir de capturas reales de SeePOS. La factura crédito n.º 6 y la ruta son de demostración para este manual.</w:t>
      </w:r>
    </w:p>
    <w:sectPr w:rsidR="00FC693F" w:rsidRPr="0006063C" w:rsidSect="00034616">
      <w:headerReference w:type="default" r:id="rId9"/>
      <w:footerReference w:type="default" r:id="rId10"/>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5C5C"/>
        <w:sz w:val="17"/>
      </w:rPr>
      <w:t>Capturas tomadas del sistema real  ·  No incluye claves de acceso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C5C5C"/>
        <w:sz w:val="18"/>
      </w:rPr>
      <w:t>SeePOS  ·  Manual operativo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