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306D7" w14:textId="1D788209" w:rsidR="0086286D" w:rsidRDefault="004B29A7" w:rsidP="0086286D">
      <w:pPr>
        <w:rPr>
          <w:b/>
          <w:bCs/>
          <w:color w:val="FFFFFF" w:themeColor="background1"/>
          <w:sz w:val="52"/>
          <w:szCs w:val="52"/>
        </w:rPr>
      </w:pPr>
      <w:r>
        <w:rPr>
          <w:b/>
          <w:bCs/>
          <w:noProof/>
          <w:color w:val="FFFFFF" w:themeColor="background1"/>
          <w:sz w:val="52"/>
          <w:szCs w:val="52"/>
        </w:rPr>
        <mc:AlternateContent>
          <mc:Choice Requires="wps">
            <w:drawing>
              <wp:anchor distT="0" distB="0" distL="114300" distR="114300" simplePos="0" relativeHeight="251659264" behindDoc="1" locked="0" layoutInCell="1" allowOverlap="1" wp14:anchorId="332153B5" wp14:editId="73693E52">
                <wp:simplePos x="0" y="0"/>
                <wp:positionH relativeFrom="page">
                  <wp:posOffset>-91440</wp:posOffset>
                </wp:positionH>
                <wp:positionV relativeFrom="paragraph">
                  <wp:posOffset>-967740</wp:posOffset>
                </wp:positionV>
                <wp:extent cx="7825740" cy="10820400"/>
                <wp:effectExtent l="0" t="0" r="22860" b="19050"/>
                <wp:wrapNone/>
                <wp:docPr id="506343021" name="Rectangle 2"/>
                <wp:cNvGraphicFramePr/>
                <a:graphic xmlns:a="http://schemas.openxmlformats.org/drawingml/2006/main">
                  <a:graphicData uri="http://schemas.microsoft.com/office/word/2010/wordprocessingShape">
                    <wps:wsp>
                      <wps:cNvSpPr/>
                      <wps:spPr>
                        <a:xfrm>
                          <a:off x="0" y="0"/>
                          <a:ext cx="7825740" cy="10820400"/>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D4437" id="Rectangle 2" o:spid="_x0000_s1026" style="position:absolute;margin-left:-7.2pt;margin-top:-76.2pt;width:616.2pt;height:85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" fillcolor="#ed7d31 [3205]" strokecolor="white [3201]" strokeweight="1.5pt">
                <w10:wrap anchorx="page"/>
              </v:rect>
            </w:pict>
          </mc:Fallback>
        </mc:AlternateContent>
      </w:r>
    </w:p>
    <w:p w14:paraId="6CC879D1" w14:textId="51AA8CA9" w:rsidR="0086286D" w:rsidRPr="0086286D" w:rsidRDefault="0086286D" w:rsidP="0086286D">
      <w:pPr>
        <w:rPr>
          <w:b/>
          <w:bCs/>
          <w:color w:val="FFFFFF" w:themeColor="background1"/>
          <w:sz w:val="52"/>
          <w:szCs w:val="52"/>
        </w:rPr>
      </w:pPr>
      <w:r w:rsidRPr="0086286D">
        <w:rPr>
          <w:b/>
          <w:bCs/>
          <w:color w:val="FFFFFF" w:themeColor="background1"/>
          <w:sz w:val="52"/>
          <w:szCs w:val="52"/>
        </w:rPr>
        <w:t>BITS PILANI, K.K. BIRLA GOA CAMPUS</w:t>
      </w:r>
    </w:p>
    <w:p w14:paraId="61F6337F" w14:textId="246530E4" w:rsidR="0086286D" w:rsidRPr="0086286D" w:rsidRDefault="0086286D" w:rsidP="0086286D">
      <w:pPr>
        <w:rPr>
          <w:color w:val="F2F2F2" w:themeColor="background1" w:themeShade="F2"/>
          <w:sz w:val="36"/>
          <w:szCs w:val="36"/>
        </w:rPr>
      </w:pPr>
      <w:r w:rsidRPr="0086286D">
        <w:rPr>
          <w:color w:val="F2F2F2" w:themeColor="background1" w:themeShade="F2"/>
          <w:sz w:val="36"/>
          <w:szCs w:val="36"/>
        </w:rPr>
        <w:t>SEMESTER I</w:t>
      </w:r>
      <w:r w:rsidR="00073A52">
        <w:rPr>
          <w:color w:val="F2F2F2" w:themeColor="background1" w:themeShade="F2"/>
          <w:sz w:val="36"/>
          <w:szCs w:val="36"/>
        </w:rPr>
        <w:t>I</w:t>
      </w:r>
      <w:r w:rsidRPr="0086286D">
        <w:rPr>
          <w:color w:val="F2F2F2" w:themeColor="background1" w:themeShade="F2"/>
          <w:sz w:val="36"/>
          <w:szCs w:val="36"/>
        </w:rPr>
        <w:t>- 2024-25</w:t>
      </w:r>
    </w:p>
    <w:p w14:paraId="32DEDC7C" w14:textId="77777777" w:rsidR="0086286D" w:rsidRDefault="0086286D" w:rsidP="0086286D">
      <w:pPr>
        <w:rPr>
          <w:color w:val="F2F2F2" w:themeColor="background1" w:themeShade="F2"/>
          <w:sz w:val="36"/>
          <w:szCs w:val="36"/>
        </w:rPr>
      </w:pPr>
    </w:p>
    <w:p w14:paraId="39CB10E0" w14:textId="77777777" w:rsidR="0086286D" w:rsidRDefault="0086286D" w:rsidP="0086286D">
      <w:pPr>
        <w:rPr>
          <w:color w:val="F2F2F2" w:themeColor="background1" w:themeShade="F2"/>
          <w:sz w:val="36"/>
          <w:szCs w:val="36"/>
        </w:rPr>
      </w:pPr>
    </w:p>
    <w:p w14:paraId="3D22709E" w14:textId="1FA9D1BF" w:rsidR="0086286D" w:rsidRPr="0086286D" w:rsidRDefault="0086286D" w:rsidP="0086286D">
      <w:pPr>
        <w:rPr>
          <w:b/>
          <w:bCs/>
          <w:color w:val="F2F2F2" w:themeColor="background1" w:themeShade="F2"/>
          <w:sz w:val="36"/>
          <w:szCs w:val="36"/>
        </w:rPr>
      </w:pPr>
      <w:r w:rsidRPr="0086286D">
        <w:rPr>
          <w:b/>
          <w:bCs/>
          <w:color w:val="F2F2F2" w:themeColor="background1" w:themeShade="F2"/>
          <w:sz w:val="36"/>
          <w:szCs w:val="36"/>
        </w:rPr>
        <w:t>Assignment-I</w:t>
      </w:r>
      <w:r w:rsidR="00686A56">
        <w:rPr>
          <w:b/>
          <w:bCs/>
          <w:color w:val="F2F2F2" w:themeColor="background1" w:themeShade="F2"/>
          <w:sz w:val="36"/>
          <w:szCs w:val="36"/>
        </w:rPr>
        <w:t>I</w:t>
      </w:r>
    </w:p>
    <w:p w14:paraId="6D47434C" w14:textId="5933C925" w:rsidR="0086286D" w:rsidRPr="0086286D" w:rsidRDefault="0086286D" w:rsidP="0086286D">
      <w:pPr>
        <w:rPr>
          <w:color w:val="F2F2F2" w:themeColor="background1" w:themeShade="F2"/>
          <w:sz w:val="36"/>
          <w:szCs w:val="36"/>
        </w:rPr>
      </w:pPr>
      <w:r w:rsidRPr="0086286D">
        <w:rPr>
          <w:b/>
          <w:bCs/>
          <w:color w:val="F2F2F2" w:themeColor="background1" w:themeShade="F2"/>
          <w:sz w:val="36"/>
          <w:szCs w:val="36"/>
        </w:rPr>
        <w:t>Course No.</w:t>
      </w:r>
      <w:r>
        <w:rPr>
          <w:color w:val="F2F2F2" w:themeColor="background1" w:themeShade="F2"/>
          <w:sz w:val="36"/>
          <w:szCs w:val="36"/>
        </w:rPr>
        <w:t>:</w:t>
      </w:r>
      <w:r w:rsidRPr="0086286D">
        <w:rPr>
          <w:color w:val="F2F2F2" w:themeColor="background1" w:themeShade="F2"/>
          <w:sz w:val="36"/>
          <w:szCs w:val="36"/>
        </w:rPr>
        <w:t xml:space="preserve"> ECON F215</w:t>
      </w:r>
    </w:p>
    <w:p w14:paraId="61EDBC02" w14:textId="77777777" w:rsidR="0086286D" w:rsidRDefault="0086286D" w:rsidP="0086286D">
      <w:pPr>
        <w:rPr>
          <w:color w:val="F2F2F2" w:themeColor="background1" w:themeShade="F2"/>
          <w:sz w:val="36"/>
          <w:szCs w:val="36"/>
        </w:rPr>
      </w:pPr>
      <w:r w:rsidRPr="0086286D">
        <w:rPr>
          <w:b/>
          <w:bCs/>
          <w:color w:val="F2F2F2" w:themeColor="background1" w:themeShade="F2"/>
          <w:sz w:val="36"/>
          <w:szCs w:val="36"/>
        </w:rPr>
        <w:t>Course Title</w:t>
      </w:r>
      <w:r w:rsidRPr="0086286D">
        <w:rPr>
          <w:color w:val="F2F2F2" w:themeColor="background1" w:themeShade="F2"/>
          <w:sz w:val="36"/>
          <w:szCs w:val="36"/>
        </w:rPr>
        <w:t>: Computational Economics</w:t>
      </w:r>
    </w:p>
    <w:p w14:paraId="1C5CD158" w14:textId="76CE50A1" w:rsidR="0086286D" w:rsidRPr="0086286D" w:rsidRDefault="0086286D" w:rsidP="0086286D">
      <w:pPr>
        <w:rPr>
          <w:color w:val="F2F2F2" w:themeColor="background1" w:themeShade="F2"/>
          <w:sz w:val="36"/>
          <w:szCs w:val="36"/>
        </w:rPr>
      </w:pPr>
      <w:r w:rsidRPr="0086286D">
        <w:rPr>
          <w:b/>
          <w:bCs/>
          <w:color w:val="F2F2F2" w:themeColor="background1" w:themeShade="F2"/>
          <w:sz w:val="36"/>
          <w:szCs w:val="36"/>
        </w:rPr>
        <w:t>Course Instructor In-Charge</w:t>
      </w:r>
      <w:r>
        <w:rPr>
          <w:color w:val="F2F2F2" w:themeColor="background1" w:themeShade="F2"/>
          <w:sz w:val="36"/>
          <w:szCs w:val="36"/>
        </w:rPr>
        <w:t>: Dr. Sandip Sarkar</w:t>
      </w:r>
    </w:p>
    <w:p w14:paraId="78528D3D" w14:textId="6F42DF8D" w:rsidR="0086286D" w:rsidRPr="0086286D" w:rsidRDefault="0086286D" w:rsidP="0086286D">
      <w:pPr>
        <w:rPr>
          <w:color w:val="F2F2F2" w:themeColor="background1" w:themeShade="F2"/>
          <w:sz w:val="36"/>
          <w:szCs w:val="36"/>
        </w:rPr>
      </w:pPr>
      <w:r w:rsidRPr="0086286D">
        <w:rPr>
          <w:b/>
          <w:bCs/>
          <w:color w:val="F2F2F2" w:themeColor="background1" w:themeShade="F2"/>
          <w:sz w:val="36"/>
          <w:szCs w:val="36"/>
        </w:rPr>
        <w:t>Submission deadline</w:t>
      </w:r>
      <w:r w:rsidRPr="0086286D">
        <w:rPr>
          <w:color w:val="F2F2F2" w:themeColor="background1" w:themeShade="F2"/>
          <w:sz w:val="36"/>
          <w:szCs w:val="36"/>
        </w:rPr>
        <w:t xml:space="preserve">: </w:t>
      </w:r>
      <w:r w:rsidR="00686A56">
        <w:rPr>
          <w:color w:val="F2F2F2" w:themeColor="background1" w:themeShade="F2"/>
          <w:sz w:val="36"/>
          <w:szCs w:val="36"/>
        </w:rPr>
        <w:t>27</w:t>
      </w:r>
      <w:r w:rsidRPr="0086286D">
        <w:rPr>
          <w:color w:val="F2F2F2" w:themeColor="background1" w:themeShade="F2"/>
          <w:sz w:val="36"/>
          <w:szCs w:val="36"/>
        </w:rPr>
        <w:t>/0</w:t>
      </w:r>
      <w:r w:rsidR="00686A56">
        <w:rPr>
          <w:color w:val="F2F2F2" w:themeColor="background1" w:themeShade="F2"/>
          <w:sz w:val="36"/>
          <w:szCs w:val="36"/>
        </w:rPr>
        <w:t>4</w:t>
      </w:r>
      <w:r w:rsidRPr="0086286D">
        <w:rPr>
          <w:color w:val="F2F2F2" w:themeColor="background1" w:themeShade="F2"/>
          <w:sz w:val="36"/>
          <w:szCs w:val="36"/>
        </w:rPr>
        <w:t>/2025</w:t>
      </w:r>
    </w:p>
    <w:p w14:paraId="2651CE5C" w14:textId="76F79680" w:rsidR="00275A6A" w:rsidRDefault="0086286D" w:rsidP="0086286D">
      <w:pPr>
        <w:rPr>
          <w:color w:val="F2F2F2" w:themeColor="background1" w:themeShade="F2"/>
          <w:sz w:val="36"/>
          <w:szCs w:val="36"/>
        </w:rPr>
      </w:pPr>
      <w:r w:rsidRPr="0086286D">
        <w:rPr>
          <w:b/>
          <w:bCs/>
          <w:color w:val="F2F2F2" w:themeColor="background1" w:themeShade="F2"/>
          <w:sz w:val="36"/>
          <w:szCs w:val="36"/>
        </w:rPr>
        <w:t xml:space="preserve">Date of </w:t>
      </w:r>
      <w:r>
        <w:rPr>
          <w:b/>
          <w:bCs/>
          <w:color w:val="F2F2F2" w:themeColor="background1" w:themeShade="F2"/>
          <w:sz w:val="36"/>
          <w:szCs w:val="36"/>
        </w:rPr>
        <w:t>P</w:t>
      </w:r>
      <w:r w:rsidRPr="0086286D">
        <w:rPr>
          <w:b/>
          <w:bCs/>
          <w:color w:val="F2F2F2" w:themeColor="background1" w:themeShade="F2"/>
          <w:sz w:val="36"/>
          <w:szCs w:val="36"/>
        </w:rPr>
        <w:t>resentation</w:t>
      </w:r>
      <w:r w:rsidRPr="0086286D">
        <w:rPr>
          <w:color w:val="F2F2F2" w:themeColor="background1" w:themeShade="F2"/>
          <w:sz w:val="36"/>
          <w:szCs w:val="36"/>
        </w:rPr>
        <w:t xml:space="preserve">: </w:t>
      </w:r>
      <w:r w:rsidR="00686A56">
        <w:rPr>
          <w:color w:val="F2F2F2" w:themeColor="background1" w:themeShade="F2"/>
          <w:sz w:val="36"/>
          <w:szCs w:val="36"/>
        </w:rPr>
        <w:t>28</w:t>
      </w:r>
      <w:r w:rsidRPr="0086286D">
        <w:rPr>
          <w:color w:val="F2F2F2" w:themeColor="background1" w:themeShade="F2"/>
          <w:sz w:val="36"/>
          <w:szCs w:val="36"/>
        </w:rPr>
        <w:t>/0</w:t>
      </w:r>
      <w:r w:rsidR="00686A56">
        <w:rPr>
          <w:color w:val="F2F2F2" w:themeColor="background1" w:themeShade="F2"/>
          <w:sz w:val="36"/>
          <w:szCs w:val="36"/>
        </w:rPr>
        <w:t>4</w:t>
      </w:r>
      <w:r w:rsidRPr="0086286D">
        <w:rPr>
          <w:color w:val="F2F2F2" w:themeColor="background1" w:themeShade="F2"/>
          <w:sz w:val="36"/>
          <w:szCs w:val="36"/>
        </w:rPr>
        <w:t>/2025</w:t>
      </w:r>
    </w:p>
    <w:p w14:paraId="1913AA2A" w14:textId="3D4AE8C5" w:rsidR="0086286D" w:rsidRDefault="0086286D" w:rsidP="0086286D">
      <w:pPr>
        <w:rPr>
          <w:color w:val="F2F2F2" w:themeColor="background1" w:themeShade="F2"/>
          <w:sz w:val="36"/>
          <w:szCs w:val="36"/>
        </w:rPr>
      </w:pPr>
      <w:r>
        <w:rPr>
          <w:noProof/>
        </w:rPr>
        <w:drawing>
          <wp:anchor distT="0" distB="0" distL="114300" distR="114300" simplePos="0" relativeHeight="251658240" behindDoc="1" locked="0" layoutInCell="1" allowOverlap="1" wp14:anchorId="46CF9797" wp14:editId="730832FB">
            <wp:simplePos x="0" y="0"/>
            <wp:positionH relativeFrom="margin">
              <wp:align>center</wp:align>
            </wp:positionH>
            <wp:positionV relativeFrom="paragraph">
              <wp:posOffset>148590</wp:posOffset>
            </wp:positionV>
            <wp:extent cx="2630170" cy="2630170"/>
            <wp:effectExtent l="0" t="0" r="0" b="0"/>
            <wp:wrapTight wrapText="bothSides">
              <wp:wrapPolygon edited="0">
                <wp:start x="8292" y="0"/>
                <wp:lineTo x="7040" y="313"/>
                <wp:lineTo x="3285" y="2190"/>
                <wp:lineTo x="1252" y="5006"/>
                <wp:lineTo x="0" y="7509"/>
                <wp:lineTo x="0" y="11577"/>
                <wp:lineTo x="2347" y="12516"/>
                <wp:lineTo x="3442" y="15019"/>
                <wp:lineTo x="5632" y="17522"/>
                <wp:lineTo x="4380" y="19869"/>
                <wp:lineTo x="4850" y="20182"/>
                <wp:lineTo x="7822" y="21433"/>
                <wp:lineTo x="8292" y="21433"/>
                <wp:lineTo x="13141" y="21433"/>
                <wp:lineTo x="13611" y="21433"/>
                <wp:lineTo x="16583" y="20182"/>
                <wp:lineTo x="17209" y="20025"/>
                <wp:lineTo x="16896" y="19086"/>
                <wp:lineTo x="15958" y="17522"/>
                <wp:lineTo x="17991" y="15019"/>
                <wp:lineTo x="18930" y="12516"/>
                <wp:lineTo x="21433" y="11421"/>
                <wp:lineTo x="21433" y="7509"/>
                <wp:lineTo x="20182" y="5006"/>
                <wp:lineTo x="18617" y="2972"/>
                <wp:lineTo x="18148" y="2190"/>
                <wp:lineTo x="14393" y="313"/>
                <wp:lineTo x="13141" y="0"/>
                <wp:lineTo x="8292" y="0"/>
              </wp:wrapPolygon>
            </wp:wrapTight>
            <wp:docPr id="520838141" name="Picture 1" descr="BITS Pilani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S Pilani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0170" cy="2630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DD79A1" w14:textId="5118BE57" w:rsidR="0086286D" w:rsidRDefault="0086286D" w:rsidP="0086286D">
      <w:pPr>
        <w:rPr>
          <w:color w:val="F2F2F2" w:themeColor="background1" w:themeShade="F2"/>
          <w:sz w:val="36"/>
          <w:szCs w:val="36"/>
        </w:rPr>
      </w:pPr>
    </w:p>
    <w:p w14:paraId="282C3BEE" w14:textId="77777777" w:rsidR="0086286D" w:rsidRDefault="0086286D" w:rsidP="0086286D">
      <w:pPr>
        <w:rPr>
          <w:color w:val="F2F2F2" w:themeColor="background1" w:themeShade="F2"/>
          <w:sz w:val="36"/>
          <w:szCs w:val="36"/>
        </w:rPr>
      </w:pPr>
    </w:p>
    <w:p w14:paraId="073E34B8" w14:textId="77777777" w:rsidR="0086286D" w:rsidRDefault="0086286D" w:rsidP="0086286D">
      <w:pPr>
        <w:rPr>
          <w:color w:val="F2F2F2" w:themeColor="background1" w:themeShade="F2"/>
          <w:sz w:val="36"/>
          <w:szCs w:val="36"/>
        </w:rPr>
      </w:pPr>
    </w:p>
    <w:p w14:paraId="5959B47B" w14:textId="77777777" w:rsidR="0086286D" w:rsidRDefault="0086286D" w:rsidP="0086286D">
      <w:pPr>
        <w:rPr>
          <w:color w:val="F2F2F2" w:themeColor="background1" w:themeShade="F2"/>
          <w:sz w:val="36"/>
          <w:szCs w:val="36"/>
        </w:rPr>
      </w:pPr>
    </w:p>
    <w:p w14:paraId="48215B1C" w14:textId="77777777" w:rsidR="0086286D" w:rsidRDefault="0086286D" w:rsidP="0086286D">
      <w:pPr>
        <w:rPr>
          <w:color w:val="F2F2F2" w:themeColor="background1" w:themeShade="F2"/>
          <w:sz w:val="36"/>
          <w:szCs w:val="36"/>
        </w:rPr>
      </w:pPr>
    </w:p>
    <w:p w14:paraId="1F3DD593" w14:textId="77777777" w:rsidR="0086286D" w:rsidRDefault="0086286D" w:rsidP="0086286D">
      <w:pPr>
        <w:rPr>
          <w:color w:val="F2F2F2" w:themeColor="background1" w:themeShade="F2"/>
          <w:sz w:val="36"/>
          <w:szCs w:val="36"/>
        </w:rPr>
      </w:pPr>
    </w:p>
    <w:p w14:paraId="3A09B7D2" w14:textId="77777777" w:rsidR="0086286D" w:rsidRDefault="0086286D" w:rsidP="0086286D">
      <w:pPr>
        <w:rPr>
          <w:color w:val="F2F2F2" w:themeColor="background1" w:themeShade="F2"/>
          <w:sz w:val="36"/>
          <w:szCs w:val="36"/>
        </w:rPr>
      </w:pPr>
    </w:p>
    <w:p w14:paraId="5B71DCBA" w14:textId="797D4EFB" w:rsidR="0086286D" w:rsidRPr="00FB1C55" w:rsidRDefault="0086286D" w:rsidP="0086286D">
      <w:pPr>
        <w:jc w:val="center"/>
        <w:rPr>
          <w:b/>
          <w:bCs/>
          <w:color w:val="F2F2F2" w:themeColor="background1" w:themeShade="F2"/>
          <w:sz w:val="36"/>
          <w:szCs w:val="36"/>
        </w:rPr>
      </w:pPr>
      <w:r w:rsidRPr="00FB1C55">
        <w:rPr>
          <w:b/>
          <w:bCs/>
          <w:color w:val="F2F2F2" w:themeColor="background1" w:themeShade="F2"/>
          <w:sz w:val="36"/>
          <w:szCs w:val="36"/>
        </w:rPr>
        <w:t>Suvid Singhal</w:t>
      </w:r>
    </w:p>
    <w:p w14:paraId="2CBF9E0C" w14:textId="4A3454AC" w:rsidR="00844E94" w:rsidRDefault="0086286D" w:rsidP="0086286D">
      <w:pPr>
        <w:jc w:val="center"/>
        <w:rPr>
          <w:b/>
          <w:bCs/>
          <w:color w:val="F2F2F2" w:themeColor="background1" w:themeShade="F2"/>
          <w:sz w:val="36"/>
          <w:szCs w:val="36"/>
        </w:rPr>
      </w:pPr>
      <w:r w:rsidRPr="00FB1C55">
        <w:rPr>
          <w:b/>
          <w:bCs/>
          <w:color w:val="F2F2F2" w:themeColor="background1" w:themeShade="F2"/>
          <w:sz w:val="36"/>
          <w:szCs w:val="36"/>
        </w:rPr>
        <w:t>2023B3A70972P</w:t>
      </w:r>
    </w:p>
    <w:p w14:paraId="65F5C268" w14:textId="2101FCEA" w:rsidR="00194101" w:rsidRPr="00D221F6" w:rsidRDefault="00844E94" w:rsidP="00194101">
      <w:pPr>
        <w:jc w:val="center"/>
        <w:rPr>
          <w:b/>
          <w:bCs/>
          <w:sz w:val="40"/>
          <w:szCs w:val="40"/>
        </w:rPr>
      </w:pPr>
      <w:r w:rsidRPr="00194101">
        <w:rPr>
          <w:b/>
          <w:bCs/>
          <w:sz w:val="36"/>
          <w:szCs w:val="36"/>
        </w:rPr>
        <w:br w:type="page"/>
      </w:r>
      <w:r w:rsidR="00194101" w:rsidRPr="00D221F6">
        <w:rPr>
          <w:b/>
          <w:bCs/>
          <w:sz w:val="40"/>
          <w:szCs w:val="40"/>
        </w:rPr>
        <w:lastRenderedPageBreak/>
        <w:t>The Legacy of Colonial Land Tenure Systems in India:</w:t>
      </w:r>
    </w:p>
    <w:p w14:paraId="0ABFD847" w14:textId="3DD315BD" w:rsidR="00194101" w:rsidRPr="00D221F6" w:rsidRDefault="00194101" w:rsidP="00194101">
      <w:pPr>
        <w:jc w:val="center"/>
        <w:rPr>
          <w:b/>
          <w:bCs/>
          <w:sz w:val="40"/>
          <w:szCs w:val="40"/>
        </w:rPr>
      </w:pPr>
      <w:r w:rsidRPr="00D221F6">
        <w:rPr>
          <w:b/>
          <w:bCs/>
          <w:sz w:val="40"/>
          <w:szCs w:val="40"/>
        </w:rPr>
        <w:t>A Replication and Analysis of Banerjee &amp; Iyer (2005)</w:t>
      </w:r>
    </w:p>
    <w:p w14:paraId="39F013CC" w14:textId="7CD8D556" w:rsidR="0086286D" w:rsidRDefault="0086286D" w:rsidP="00844E94">
      <w:pPr>
        <w:rPr>
          <w:b/>
          <w:bCs/>
          <w:color w:val="F2F2F2" w:themeColor="background1" w:themeShade="F2"/>
          <w:sz w:val="36"/>
          <w:szCs w:val="36"/>
        </w:rPr>
      </w:pPr>
    </w:p>
    <w:p w14:paraId="2CB4BB40" w14:textId="0DBB19FB" w:rsidR="00D221F6" w:rsidRPr="00D221F6" w:rsidRDefault="00D221F6" w:rsidP="00844E94">
      <w:pPr>
        <w:rPr>
          <w:b/>
          <w:bCs/>
          <w:sz w:val="36"/>
          <w:szCs w:val="36"/>
        </w:rPr>
      </w:pPr>
      <w:r w:rsidRPr="00D221F6">
        <w:rPr>
          <w:b/>
          <w:bCs/>
          <w:sz w:val="36"/>
          <w:szCs w:val="36"/>
        </w:rPr>
        <w:t>Introduction</w:t>
      </w:r>
    </w:p>
    <w:p w14:paraId="0D2FB7EA" w14:textId="77777777" w:rsidR="00D221F6" w:rsidRPr="00D221F6" w:rsidRDefault="00D221F6" w:rsidP="00D221F6">
      <w:pPr>
        <w:rPr>
          <w:sz w:val="28"/>
          <w:szCs w:val="28"/>
        </w:rPr>
      </w:pPr>
      <w:r w:rsidRPr="00D221F6">
        <w:rPr>
          <w:b/>
          <w:bCs/>
          <w:sz w:val="28"/>
          <w:szCs w:val="28"/>
        </w:rPr>
        <w:t>Research Question:</w:t>
      </w:r>
      <w:r>
        <w:rPr>
          <w:sz w:val="28"/>
          <w:szCs w:val="28"/>
        </w:rPr>
        <w:t xml:space="preserve"> </w:t>
      </w:r>
      <w:r w:rsidRPr="00D221F6">
        <w:rPr>
          <w:sz w:val="28"/>
          <w:szCs w:val="28"/>
        </w:rPr>
        <w:t>Do historical institutions have a persistent impact on modern economic outcomes?</w:t>
      </w:r>
    </w:p>
    <w:p w14:paraId="571BBFED" w14:textId="516F11EC" w:rsidR="00D221F6" w:rsidRPr="00D221F6" w:rsidRDefault="00D221F6" w:rsidP="00D221F6">
      <w:pPr>
        <w:rPr>
          <w:sz w:val="28"/>
          <w:szCs w:val="28"/>
        </w:rPr>
      </w:pPr>
      <w:r w:rsidRPr="00D221F6">
        <w:rPr>
          <w:sz w:val="28"/>
          <w:szCs w:val="28"/>
        </w:rPr>
        <w:t xml:space="preserve">The role of historical institutions in shaping modern economic outcomes has been a growing field of inquiry in economics. Banerjee and Iyer (2005) provide a </w:t>
      </w:r>
      <w:r>
        <w:rPr>
          <w:sz w:val="28"/>
          <w:szCs w:val="28"/>
        </w:rPr>
        <w:t>big</w:t>
      </w:r>
      <w:r w:rsidRPr="00D221F6">
        <w:rPr>
          <w:sz w:val="28"/>
          <w:szCs w:val="28"/>
        </w:rPr>
        <w:t xml:space="preserve"> contribution by analysing how different land revenue systems introduced by the British colonial administration in India influenced long-term agricultural development.</w:t>
      </w:r>
    </w:p>
    <w:p w14:paraId="5E9EDCBC" w14:textId="70A88088" w:rsidR="00D221F6" w:rsidRPr="00D221F6" w:rsidRDefault="00D221F6" w:rsidP="00D221F6">
      <w:pPr>
        <w:rPr>
          <w:sz w:val="28"/>
          <w:szCs w:val="28"/>
        </w:rPr>
      </w:pPr>
      <w:r w:rsidRPr="00D221F6">
        <w:rPr>
          <w:sz w:val="28"/>
          <w:szCs w:val="28"/>
        </w:rPr>
        <w:t>This report aims to replicate and analyse the instrumental variable (IV) results from Table 4 of Banerjee and Iyer (2005) using R, verifying the impact of land tenure systems on agricultural investments and productivity.</w:t>
      </w:r>
    </w:p>
    <w:p w14:paraId="513E761A" w14:textId="4B4D7D10" w:rsidR="00194101" w:rsidRDefault="00194101" w:rsidP="00844E94">
      <w:pPr>
        <w:rPr>
          <w:sz w:val="28"/>
          <w:szCs w:val="28"/>
        </w:rPr>
      </w:pPr>
    </w:p>
    <w:p w14:paraId="4F890AC2" w14:textId="28D443D4" w:rsidR="00D221F6" w:rsidRDefault="00D221F6" w:rsidP="00844E94">
      <w:pPr>
        <w:rPr>
          <w:b/>
          <w:bCs/>
          <w:sz w:val="36"/>
          <w:szCs w:val="36"/>
        </w:rPr>
      </w:pPr>
      <w:r w:rsidRPr="00D221F6">
        <w:rPr>
          <w:b/>
          <w:bCs/>
          <w:sz w:val="36"/>
          <w:szCs w:val="36"/>
        </w:rPr>
        <w:t>Historical Background</w:t>
      </w:r>
    </w:p>
    <w:p w14:paraId="524B761E" w14:textId="647D909F" w:rsidR="00D221F6" w:rsidRPr="00D221F6" w:rsidRDefault="00D221F6" w:rsidP="00D221F6">
      <w:pPr>
        <w:rPr>
          <w:sz w:val="28"/>
          <w:szCs w:val="28"/>
        </w:rPr>
      </w:pPr>
      <w:r w:rsidRPr="00D221F6">
        <w:rPr>
          <w:sz w:val="28"/>
          <w:szCs w:val="28"/>
        </w:rPr>
        <w:t>British colonial rule in India introduced three primary land revenue systems:</w:t>
      </w:r>
    </w:p>
    <w:p w14:paraId="6059C88A" w14:textId="402203AC" w:rsidR="00D221F6" w:rsidRPr="00D221F6" w:rsidRDefault="00D221F6" w:rsidP="00D221F6">
      <w:pPr>
        <w:pStyle w:val="ListParagraph"/>
        <w:numPr>
          <w:ilvl w:val="0"/>
          <w:numId w:val="5"/>
        </w:numPr>
        <w:rPr>
          <w:sz w:val="28"/>
          <w:szCs w:val="28"/>
        </w:rPr>
      </w:pPr>
      <w:r w:rsidRPr="00FC3A2C">
        <w:rPr>
          <w:b/>
          <w:bCs/>
          <w:sz w:val="28"/>
          <w:szCs w:val="28"/>
        </w:rPr>
        <w:t>Zamindari system</w:t>
      </w:r>
      <w:r w:rsidRPr="00D221F6">
        <w:rPr>
          <w:sz w:val="28"/>
          <w:szCs w:val="28"/>
        </w:rPr>
        <w:t xml:space="preserve"> (landlord-based): Revenue was collected through landlords who had ownership rights over the land.</w:t>
      </w:r>
    </w:p>
    <w:p w14:paraId="1864EB90" w14:textId="73F3A424" w:rsidR="00D221F6" w:rsidRPr="00D221F6" w:rsidRDefault="00D221F6" w:rsidP="00D221F6">
      <w:pPr>
        <w:pStyle w:val="ListParagraph"/>
        <w:numPr>
          <w:ilvl w:val="0"/>
          <w:numId w:val="5"/>
        </w:numPr>
        <w:rPr>
          <w:sz w:val="28"/>
          <w:szCs w:val="28"/>
        </w:rPr>
      </w:pPr>
      <w:r w:rsidRPr="00FC3A2C">
        <w:rPr>
          <w:b/>
          <w:bCs/>
          <w:sz w:val="28"/>
          <w:szCs w:val="28"/>
        </w:rPr>
        <w:t>Ryotwari system</w:t>
      </w:r>
      <w:r w:rsidRPr="00D221F6">
        <w:rPr>
          <w:sz w:val="28"/>
          <w:szCs w:val="28"/>
        </w:rPr>
        <w:t xml:space="preserve"> (non-landlord-based): Revenue was collected directly from cultivators.</w:t>
      </w:r>
    </w:p>
    <w:p w14:paraId="72ADA849" w14:textId="77777777" w:rsidR="00D221F6" w:rsidRPr="00D221F6" w:rsidRDefault="00D221F6" w:rsidP="00D221F6">
      <w:pPr>
        <w:pStyle w:val="ListParagraph"/>
        <w:numPr>
          <w:ilvl w:val="0"/>
          <w:numId w:val="5"/>
        </w:numPr>
        <w:rPr>
          <w:sz w:val="28"/>
          <w:szCs w:val="28"/>
        </w:rPr>
      </w:pPr>
      <w:r w:rsidRPr="00FC3A2C">
        <w:rPr>
          <w:b/>
          <w:bCs/>
          <w:sz w:val="28"/>
          <w:szCs w:val="28"/>
        </w:rPr>
        <w:t>Mahalwari system</w:t>
      </w:r>
      <w:r w:rsidRPr="00D221F6">
        <w:rPr>
          <w:sz w:val="28"/>
          <w:szCs w:val="28"/>
        </w:rPr>
        <w:t xml:space="preserve"> (village-based): Revenue was assessed at the village community level.</w:t>
      </w:r>
    </w:p>
    <w:p w14:paraId="70595157" w14:textId="6BE5BAEA" w:rsidR="00D221F6" w:rsidRPr="00D221F6" w:rsidRDefault="00D221F6" w:rsidP="00D221F6">
      <w:pPr>
        <w:rPr>
          <w:sz w:val="28"/>
          <w:szCs w:val="28"/>
        </w:rPr>
      </w:pPr>
      <w:r w:rsidRPr="00D221F6">
        <w:rPr>
          <w:sz w:val="28"/>
          <w:szCs w:val="28"/>
        </w:rPr>
        <w:t>The choice of system was not based purely on geography or agricultural potential but was heavily influenced by the timing of British conquest. Areas brought under British rule between 1820–1856 were more likely to receive non-landlord systems due to ideological shifts in colonial policy.</w:t>
      </w:r>
    </w:p>
    <w:p w14:paraId="2D9266C6" w14:textId="77777777" w:rsidR="00D221F6" w:rsidRDefault="00D221F6" w:rsidP="00D221F6">
      <w:pPr>
        <w:rPr>
          <w:sz w:val="28"/>
          <w:szCs w:val="28"/>
        </w:rPr>
      </w:pPr>
      <w:r w:rsidRPr="00D221F6">
        <w:rPr>
          <w:sz w:val="28"/>
          <w:szCs w:val="28"/>
        </w:rPr>
        <w:t>Banerjee and Iyer hypothesize that these historical differences persist, with non-landlord regions achieving better long-term economic performance, particularly in agriculture.</w:t>
      </w:r>
    </w:p>
    <w:p w14:paraId="339FF8F0" w14:textId="68098AE1" w:rsidR="00D221F6" w:rsidRPr="00D221F6" w:rsidRDefault="00D221F6" w:rsidP="00D221F6">
      <w:pPr>
        <w:rPr>
          <w:b/>
          <w:bCs/>
          <w:sz w:val="36"/>
          <w:szCs w:val="36"/>
        </w:rPr>
      </w:pPr>
      <w:r w:rsidRPr="00D221F6">
        <w:rPr>
          <w:b/>
          <w:bCs/>
          <w:sz w:val="36"/>
          <w:szCs w:val="36"/>
        </w:rPr>
        <w:lastRenderedPageBreak/>
        <w:t>Data Description</w:t>
      </w:r>
    </w:p>
    <w:p w14:paraId="57D1C871" w14:textId="738DA003" w:rsidR="00D221F6" w:rsidRDefault="00D221F6" w:rsidP="00844E94">
      <w:pPr>
        <w:rPr>
          <w:sz w:val="28"/>
          <w:szCs w:val="28"/>
        </w:rPr>
      </w:pPr>
      <w:r w:rsidRPr="00D221F6">
        <w:rPr>
          <w:sz w:val="28"/>
          <w:szCs w:val="28"/>
        </w:rPr>
        <w:t>The dataset used in this study comes from Banerjee and Iyer</w:t>
      </w:r>
      <w:r w:rsidR="00004A7A">
        <w:rPr>
          <w:sz w:val="28"/>
          <w:szCs w:val="28"/>
        </w:rPr>
        <w:t>’</w:t>
      </w:r>
      <w:r w:rsidRPr="00D221F6">
        <w:rPr>
          <w:sz w:val="28"/>
          <w:szCs w:val="28"/>
        </w:rPr>
        <w:t>s replication files, originally shared in Stata format via openICPSR.</w:t>
      </w:r>
    </w:p>
    <w:p w14:paraId="101BA583" w14:textId="4D977538" w:rsidR="00D221F6" w:rsidRDefault="00D221F6" w:rsidP="00844E94">
      <w:pPr>
        <w:rPr>
          <w:sz w:val="28"/>
          <w:szCs w:val="28"/>
        </w:rPr>
      </w:pPr>
      <w:r>
        <w:rPr>
          <w:sz w:val="28"/>
          <w:szCs w:val="28"/>
        </w:rPr>
        <w:t xml:space="preserve">Link to the Dataset: </w:t>
      </w:r>
      <w:hyperlink r:id="rId6" w:tgtFrame="_blank" w:history="1">
        <w:r w:rsidRPr="00D221F6">
          <w:rPr>
            <w:rStyle w:val="Hyperlink"/>
            <w:sz w:val="28"/>
            <w:szCs w:val="28"/>
          </w:rPr>
          <w:t>https://www.openicpsr.org/openicpsr/project/116059/version/V1/view</w:t>
        </w:r>
      </w:hyperlink>
    </w:p>
    <w:p w14:paraId="1A307E6A" w14:textId="77777777" w:rsidR="00D221F6" w:rsidRPr="00D221F6" w:rsidRDefault="00D221F6" w:rsidP="00D221F6">
      <w:pPr>
        <w:rPr>
          <w:sz w:val="28"/>
          <w:szCs w:val="28"/>
        </w:rPr>
      </w:pPr>
      <w:r w:rsidRPr="00D221F6">
        <w:rPr>
          <w:sz w:val="28"/>
          <w:szCs w:val="28"/>
        </w:rPr>
        <w:t>Key variables used:</w:t>
      </w:r>
    </w:p>
    <w:p w14:paraId="12754A3F" w14:textId="50A20805" w:rsidR="00D221F6" w:rsidRPr="00D221F6" w:rsidRDefault="00D221F6" w:rsidP="00D221F6">
      <w:pPr>
        <w:pStyle w:val="ListParagraph"/>
        <w:numPr>
          <w:ilvl w:val="0"/>
          <w:numId w:val="6"/>
        </w:numPr>
        <w:rPr>
          <w:sz w:val="28"/>
          <w:szCs w:val="28"/>
        </w:rPr>
      </w:pPr>
      <w:r w:rsidRPr="00D221F6">
        <w:rPr>
          <w:sz w:val="28"/>
          <w:szCs w:val="28"/>
        </w:rPr>
        <w:t>Dependent variables: Agricultural outcomes such as irrigation share</w:t>
      </w:r>
      <w:r>
        <w:rPr>
          <w:sz w:val="28"/>
          <w:szCs w:val="28"/>
        </w:rPr>
        <w:t xml:space="preserve"> (</w:t>
      </w:r>
      <w:r w:rsidRPr="00D221F6">
        <w:rPr>
          <w:sz w:val="28"/>
          <w:szCs w:val="28"/>
          <w:highlight w:val="lightGray"/>
        </w:rPr>
        <w:t>irr_g</w:t>
      </w:r>
      <w:r>
        <w:rPr>
          <w:sz w:val="28"/>
          <w:szCs w:val="28"/>
        </w:rPr>
        <w:t>)</w:t>
      </w:r>
      <w:r w:rsidRPr="00D221F6">
        <w:rPr>
          <w:sz w:val="28"/>
          <w:szCs w:val="28"/>
        </w:rPr>
        <w:t>, fertilizer use, HYV (High Yield Variety) adoption, and crop yields.</w:t>
      </w:r>
    </w:p>
    <w:p w14:paraId="0A1C8E18" w14:textId="65F1C096" w:rsidR="00D221F6" w:rsidRPr="00D221F6" w:rsidRDefault="00D221F6" w:rsidP="00D221F6">
      <w:pPr>
        <w:pStyle w:val="ListParagraph"/>
        <w:numPr>
          <w:ilvl w:val="0"/>
          <w:numId w:val="6"/>
        </w:numPr>
        <w:rPr>
          <w:sz w:val="28"/>
          <w:szCs w:val="28"/>
        </w:rPr>
      </w:pPr>
      <w:r w:rsidRPr="00D221F6">
        <w:rPr>
          <w:sz w:val="28"/>
          <w:szCs w:val="28"/>
        </w:rPr>
        <w:t xml:space="preserve">Main explanatory variable: </w:t>
      </w:r>
      <w:r w:rsidRPr="00D221F6">
        <w:rPr>
          <w:sz w:val="28"/>
          <w:szCs w:val="28"/>
          <w:highlight w:val="lightGray"/>
        </w:rPr>
        <w:t>p_nland</w:t>
      </w:r>
      <w:r w:rsidRPr="00D221F6">
        <w:rPr>
          <w:sz w:val="28"/>
          <w:szCs w:val="28"/>
        </w:rPr>
        <w:t xml:space="preserve"> — proportion of land under non-landlord systems.</w:t>
      </w:r>
    </w:p>
    <w:p w14:paraId="541BD7BB" w14:textId="77777777" w:rsidR="00D221F6" w:rsidRPr="00D221F6" w:rsidRDefault="00D221F6" w:rsidP="00D221F6">
      <w:pPr>
        <w:pStyle w:val="ListParagraph"/>
        <w:numPr>
          <w:ilvl w:val="0"/>
          <w:numId w:val="6"/>
        </w:numPr>
        <w:rPr>
          <w:sz w:val="28"/>
          <w:szCs w:val="28"/>
        </w:rPr>
      </w:pPr>
      <w:r w:rsidRPr="00D221F6">
        <w:rPr>
          <w:sz w:val="28"/>
          <w:szCs w:val="28"/>
        </w:rPr>
        <w:t xml:space="preserve">Instrumental variable: </w:t>
      </w:r>
      <w:r w:rsidRPr="00D221F6">
        <w:rPr>
          <w:sz w:val="28"/>
          <w:szCs w:val="28"/>
          <w:highlight w:val="lightGray"/>
        </w:rPr>
        <w:t>britdum</w:t>
      </w:r>
      <w:r w:rsidRPr="00D221F6">
        <w:rPr>
          <w:sz w:val="28"/>
          <w:szCs w:val="28"/>
        </w:rPr>
        <w:t xml:space="preserve"> — dummy equal to 1 if the district came under British control between 1820 and 1856.</w:t>
      </w:r>
    </w:p>
    <w:p w14:paraId="0A6992F8" w14:textId="77777777" w:rsidR="00D221F6" w:rsidRPr="00D221F6" w:rsidRDefault="00D221F6" w:rsidP="00D221F6">
      <w:pPr>
        <w:pStyle w:val="ListParagraph"/>
        <w:numPr>
          <w:ilvl w:val="0"/>
          <w:numId w:val="6"/>
        </w:numPr>
        <w:rPr>
          <w:sz w:val="28"/>
          <w:szCs w:val="28"/>
        </w:rPr>
      </w:pPr>
      <w:r w:rsidRPr="00D221F6">
        <w:rPr>
          <w:sz w:val="28"/>
          <w:szCs w:val="28"/>
        </w:rPr>
        <w:t>Controls: Rainfall (</w:t>
      </w:r>
      <w:r w:rsidRPr="00D221F6">
        <w:rPr>
          <w:sz w:val="28"/>
          <w:szCs w:val="28"/>
          <w:highlight w:val="lightGray"/>
        </w:rPr>
        <w:t>totrain</w:t>
      </w:r>
      <w:r w:rsidRPr="00D221F6">
        <w:rPr>
          <w:sz w:val="28"/>
          <w:szCs w:val="28"/>
        </w:rPr>
        <w:t>), altitude (</w:t>
      </w:r>
      <w:r w:rsidRPr="00D221F6">
        <w:rPr>
          <w:sz w:val="28"/>
          <w:szCs w:val="28"/>
          <w:highlight w:val="lightGray"/>
        </w:rPr>
        <w:t>alt</w:t>
      </w:r>
      <w:r w:rsidRPr="00D221F6">
        <w:rPr>
          <w:sz w:val="28"/>
          <w:szCs w:val="28"/>
        </w:rPr>
        <w:t>), latitude (</w:t>
      </w:r>
      <w:r w:rsidRPr="00D221F6">
        <w:rPr>
          <w:sz w:val="28"/>
          <w:szCs w:val="28"/>
          <w:highlight w:val="lightGray"/>
        </w:rPr>
        <w:t>lat</w:t>
      </w:r>
      <w:r w:rsidRPr="00D221F6">
        <w:rPr>
          <w:sz w:val="28"/>
          <w:szCs w:val="28"/>
        </w:rPr>
        <w:t>), coastal dummy (</w:t>
      </w:r>
      <w:r w:rsidRPr="00D221F6">
        <w:rPr>
          <w:sz w:val="28"/>
          <w:szCs w:val="28"/>
          <w:highlight w:val="lightGray"/>
        </w:rPr>
        <w:t>coastal</w:t>
      </w:r>
      <w:r w:rsidRPr="00D221F6">
        <w:rPr>
          <w:sz w:val="28"/>
          <w:szCs w:val="28"/>
        </w:rPr>
        <w:t>).</w:t>
      </w:r>
    </w:p>
    <w:p w14:paraId="6620FB82" w14:textId="416D95E8" w:rsidR="00D221F6" w:rsidRDefault="00D221F6" w:rsidP="00D221F6">
      <w:pPr>
        <w:rPr>
          <w:sz w:val="28"/>
          <w:szCs w:val="28"/>
        </w:rPr>
      </w:pPr>
      <w:r w:rsidRPr="00D221F6">
        <w:rPr>
          <w:sz w:val="28"/>
          <w:szCs w:val="28"/>
        </w:rPr>
        <w:t>Data transformations included computing the area under HYV for other cereals (i.e., crops excluding rice and wheat).</w:t>
      </w:r>
      <w:r>
        <w:rPr>
          <w:sz w:val="28"/>
          <w:szCs w:val="28"/>
        </w:rPr>
        <w:t xml:space="preserve"> For that, we just subtracted area of rice and wheat from the total irrigated area.</w:t>
      </w:r>
    </w:p>
    <w:p w14:paraId="7C6A0A9D" w14:textId="29B6383C" w:rsidR="00D221F6" w:rsidRDefault="00D221F6" w:rsidP="00D221F6">
      <w:pPr>
        <w:rPr>
          <w:b/>
          <w:bCs/>
          <w:sz w:val="36"/>
          <w:szCs w:val="36"/>
        </w:rPr>
      </w:pPr>
      <w:r w:rsidRPr="00D221F6">
        <w:rPr>
          <w:b/>
          <w:bCs/>
          <w:sz w:val="36"/>
          <w:szCs w:val="36"/>
        </w:rPr>
        <w:t>Regression and Causal Inference</w:t>
      </w:r>
    </w:p>
    <w:p w14:paraId="3EC761F2" w14:textId="677B6B3B" w:rsidR="00D221F6" w:rsidRPr="00D221F6" w:rsidRDefault="00D221F6" w:rsidP="00D221F6">
      <w:pPr>
        <w:rPr>
          <w:b/>
          <w:bCs/>
          <w:sz w:val="32"/>
          <w:szCs w:val="32"/>
        </w:rPr>
      </w:pPr>
      <w:r w:rsidRPr="00D221F6">
        <w:rPr>
          <w:b/>
          <w:bCs/>
          <w:sz w:val="32"/>
          <w:szCs w:val="32"/>
        </w:rPr>
        <w:t>OLS Estimation</w:t>
      </w:r>
    </w:p>
    <w:p w14:paraId="5F74C475" w14:textId="02B43652" w:rsidR="00D221F6" w:rsidRDefault="00D221F6" w:rsidP="00D221F6">
      <w:pPr>
        <w:rPr>
          <w:sz w:val="28"/>
          <w:szCs w:val="28"/>
        </w:rPr>
      </w:pPr>
      <w:r w:rsidRPr="00D221F6">
        <w:rPr>
          <w:sz w:val="28"/>
          <w:szCs w:val="28"/>
        </w:rPr>
        <w:t>Initially, an OLS regression was performed, regressing various agricultural outcomes on the non-landlord proportion (</w:t>
      </w:r>
      <w:r w:rsidRPr="00D221F6">
        <w:rPr>
          <w:sz w:val="28"/>
          <w:szCs w:val="28"/>
          <w:highlight w:val="lightGray"/>
        </w:rPr>
        <w:t>p_nland</w:t>
      </w:r>
      <w:r w:rsidRPr="00D221F6">
        <w:rPr>
          <w:sz w:val="28"/>
          <w:szCs w:val="28"/>
        </w:rPr>
        <w:t>) while controlling for geographic factors. However, simple OLS estimates may be biased due to potential endogeneity: British administrators may have chosen different land systems based on unobservable district characteristics.</w:t>
      </w:r>
    </w:p>
    <w:p w14:paraId="1B9CEDD5" w14:textId="77777777" w:rsidR="00D221F6" w:rsidRDefault="00D221F6" w:rsidP="00D221F6">
      <w:pPr>
        <w:rPr>
          <w:sz w:val="28"/>
          <w:szCs w:val="28"/>
        </w:rPr>
      </w:pPr>
    </w:p>
    <w:p w14:paraId="774AEF9D" w14:textId="660D3545" w:rsidR="00D221F6" w:rsidRPr="00D221F6" w:rsidRDefault="00D221F6" w:rsidP="00D221F6">
      <w:pPr>
        <w:rPr>
          <w:b/>
          <w:bCs/>
          <w:sz w:val="32"/>
          <w:szCs w:val="32"/>
        </w:rPr>
      </w:pPr>
      <w:r w:rsidRPr="00D221F6">
        <w:rPr>
          <w:b/>
          <w:bCs/>
          <w:sz w:val="32"/>
          <w:szCs w:val="32"/>
        </w:rPr>
        <w:t>Addressing Endogeneity: Instrumental Variables (IV)</w:t>
      </w:r>
    </w:p>
    <w:p w14:paraId="27CFBE75" w14:textId="5649F08E" w:rsidR="00D221F6" w:rsidRPr="00DA576F" w:rsidRDefault="00D221F6" w:rsidP="00D221F6">
      <w:pPr>
        <w:rPr>
          <w:b/>
          <w:bCs/>
          <w:sz w:val="28"/>
          <w:szCs w:val="28"/>
        </w:rPr>
      </w:pPr>
      <w:r w:rsidRPr="00DA576F">
        <w:rPr>
          <w:b/>
          <w:bCs/>
          <w:sz w:val="28"/>
          <w:szCs w:val="28"/>
        </w:rPr>
        <w:t>To correct for endogeneity:</w:t>
      </w:r>
    </w:p>
    <w:p w14:paraId="56D05AA7" w14:textId="6D9E498E" w:rsidR="00D221F6" w:rsidRPr="00D221F6" w:rsidRDefault="00D221F6" w:rsidP="00D221F6">
      <w:pPr>
        <w:rPr>
          <w:sz w:val="28"/>
          <w:szCs w:val="28"/>
        </w:rPr>
      </w:pPr>
      <w:r w:rsidRPr="00D221F6">
        <w:rPr>
          <w:sz w:val="28"/>
          <w:szCs w:val="28"/>
        </w:rPr>
        <w:t xml:space="preserve">An IV approach was implemented, using </w:t>
      </w:r>
      <w:r w:rsidRPr="00D221F6">
        <w:rPr>
          <w:sz w:val="28"/>
          <w:szCs w:val="28"/>
          <w:highlight w:val="lightGray"/>
        </w:rPr>
        <w:t>britdum</w:t>
      </w:r>
      <w:r w:rsidRPr="00D221F6">
        <w:rPr>
          <w:sz w:val="28"/>
          <w:szCs w:val="28"/>
        </w:rPr>
        <w:t xml:space="preserve"> as an instrument for </w:t>
      </w:r>
      <w:r w:rsidRPr="00D221F6">
        <w:rPr>
          <w:sz w:val="28"/>
          <w:szCs w:val="28"/>
          <w:highlight w:val="lightGray"/>
        </w:rPr>
        <w:t>p_nland</w:t>
      </w:r>
      <w:r w:rsidRPr="00D221F6">
        <w:rPr>
          <w:sz w:val="28"/>
          <w:szCs w:val="28"/>
        </w:rPr>
        <w:t>.</w:t>
      </w:r>
    </w:p>
    <w:p w14:paraId="3D334879" w14:textId="71543566" w:rsidR="00D221F6" w:rsidRPr="00D221F6" w:rsidRDefault="00D221F6" w:rsidP="00D221F6">
      <w:pPr>
        <w:rPr>
          <w:sz w:val="28"/>
          <w:szCs w:val="28"/>
        </w:rPr>
      </w:pPr>
      <w:r w:rsidRPr="00D221F6">
        <w:rPr>
          <w:sz w:val="28"/>
          <w:szCs w:val="28"/>
        </w:rPr>
        <w:t xml:space="preserve">The first stage regresses </w:t>
      </w:r>
      <w:r w:rsidRPr="00D221F6">
        <w:rPr>
          <w:sz w:val="28"/>
          <w:szCs w:val="28"/>
          <w:highlight w:val="lightGray"/>
        </w:rPr>
        <w:t>p_nland</w:t>
      </w:r>
      <w:r w:rsidRPr="00D221F6">
        <w:rPr>
          <w:sz w:val="28"/>
          <w:szCs w:val="28"/>
        </w:rPr>
        <w:t xml:space="preserve"> on </w:t>
      </w:r>
      <w:r w:rsidRPr="00D221F6">
        <w:rPr>
          <w:sz w:val="28"/>
          <w:szCs w:val="28"/>
          <w:highlight w:val="lightGray"/>
        </w:rPr>
        <w:t>britdum</w:t>
      </w:r>
      <w:r w:rsidRPr="00D221F6">
        <w:rPr>
          <w:sz w:val="28"/>
          <w:szCs w:val="28"/>
        </w:rPr>
        <w:t xml:space="preserve"> and geographic controls.</w:t>
      </w:r>
    </w:p>
    <w:p w14:paraId="2CCA20EF" w14:textId="6F4CD354" w:rsidR="00D221F6" w:rsidRPr="00D221F6" w:rsidRDefault="00D221F6" w:rsidP="00D221F6">
      <w:pPr>
        <w:rPr>
          <w:sz w:val="28"/>
          <w:szCs w:val="28"/>
        </w:rPr>
      </w:pPr>
      <w:r w:rsidRPr="00D221F6">
        <w:rPr>
          <w:sz w:val="28"/>
          <w:szCs w:val="28"/>
        </w:rPr>
        <w:lastRenderedPageBreak/>
        <w:t xml:space="preserve">The second stage uses the predicted </w:t>
      </w:r>
      <w:r w:rsidRPr="00D73EEB">
        <w:rPr>
          <w:sz w:val="28"/>
          <w:szCs w:val="28"/>
          <w:highlight w:val="lightGray"/>
        </w:rPr>
        <w:t>p_nland</w:t>
      </w:r>
      <w:r w:rsidRPr="00D221F6">
        <w:rPr>
          <w:sz w:val="28"/>
          <w:szCs w:val="28"/>
        </w:rPr>
        <w:t xml:space="preserve"> values to estimate effects on agricultural outcomes</w:t>
      </w:r>
    </w:p>
    <w:p w14:paraId="778BC2A3" w14:textId="36CB799F" w:rsidR="00D221F6" w:rsidRPr="00D221F6" w:rsidRDefault="00D221F6" w:rsidP="00D221F6">
      <w:pPr>
        <w:rPr>
          <w:sz w:val="28"/>
          <w:szCs w:val="28"/>
        </w:rPr>
      </w:pPr>
      <w:r w:rsidRPr="00D221F6">
        <w:rPr>
          <w:sz w:val="28"/>
          <w:szCs w:val="28"/>
        </w:rPr>
        <w:t>Instrument validity assumptions:</w:t>
      </w:r>
    </w:p>
    <w:p w14:paraId="4C941FBE" w14:textId="46917BDF" w:rsidR="00D221F6" w:rsidRPr="008C41BD" w:rsidRDefault="00D221F6" w:rsidP="008C41BD">
      <w:pPr>
        <w:pStyle w:val="ListParagraph"/>
        <w:numPr>
          <w:ilvl w:val="0"/>
          <w:numId w:val="10"/>
        </w:numPr>
        <w:rPr>
          <w:sz w:val="28"/>
          <w:szCs w:val="28"/>
        </w:rPr>
      </w:pPr>
      <w:r w:rsidRPr="008C41BD">
        <w:rPr>
          <w:b/>
          <w:bCs/>
          <w:sz w:val="28"/>
          <w:szCs w:val="28"/>
        </w:rPr>
        <w:t>Relevance:</w:t>
      </w:r>
      <w:r w:rsidRPr="008C41BD">
        <w:rPr>
          <w:sz w:val="28"/>
          <w:szCs w:val="28"/>
        </w:rPr>
        <w:t xml:space="preserve"> Conquest timing is strongly correlated with the likelihood of a non-landlord system (confirmed via first-stage results).</w:t>
      </w:r>
    </w:p>
    <w:p w14:paraId="5044170E" w14:textId="4E9DF120" w:rsidR="00D221F6" w:rsidRPr="008C41BD" w:rsidRDefault="00D221F6" w:rsidP="008C41BD">
      <w:pPr>
        <w:pStyle w:val="ListParagraph"/>
        <w:numPr>
          <w:ilvl w:val="0"/>
          <w:numId w:val="10"/>
        </w:numPr>
        <w:rPr>
          <w:sz w:val="28"/>
          <w:szCs w:val="28"/>
        </w:rPr>
      </w:pPr>
      <w:r w:rsidRPr="008C41BD">
        <w:rPr>
          <w:b/>
          <w:bCs/>
          <w:sz w:val="28"/>
          <w:szCs w:val="28"/>
        </w:rPr>
        <w:t>Exclusion:</w:t>
      </w:r>
      <w:r w:rsidRPr="008C41BD">
        <w:rPr>
          <w:sz w:val="28"/>
          <w:szCs w:val="28"/>
        </w:rPr>
        <w:t xml:space="preserve"> Conquest timing affects current agricultural productivity only through its impact on land tenure systems, not through other channels.</w:t>
      </w:r>
    </w:p>
    <w:p w14:paraId="0A0CA154" w14:textId="77777777" w:rsidR="00D73EEB" w:rsidRDefault="00D73EEB" w:rsidP="00D221F6">
      <w:pPr>
        <w:rPr>
          <w:sz w:val="28"/>
          <w:szCs w:val="28"/>
        </w:rPr>
      </w:pPr>
    </w:p>
    <w:p w14:paraId="0D07ED08" w14:textId="1DC0D3BA" w:rsidR="00D73EEB" w:rsidRDefault="00D73EEB" w:rsidP="00D221F6">
      <w:pPr>
        <w:rPr>
          <w:b/>
          <w:bCs/>
          <w:sz w:val="36"/>
          <w:szCs w:val="36"/>
        </w:rPr>
      </w:pPr>
      <w:r w:rsidRPr="00D73EEB">
        <w:rPr>
          <w:b/>
          <w:bCs/>
          <w:sz w:val="36"/>
          <w:szCs w:val="36"/>
        </w:rPr>
        <w:t>Results</w:t>
      </w:r>
    </w:p>
    <w:p w14:paraId="0384FD18" w14:textId="5B777068" w:rsidR="00D73EEB" w:rsidRDefault="00D73EEB" w:rsidP="00D221F6">
      <w:pPr>
        <w:rPr>
          <w:sz w:val="28"/>
          <w:szCs w:val="28"/>
        </w:rPr>
      </w:pPr>
      <w:r w:rsidRPr="00D73EEB">
        <w:rPr>
          <w:sz w:val="28"/>
          <w:szCs w:val="28"/>
        </w:rPr>
        <w:t>Below are the results replicating Table 4 from Banerjee and Iyer (2005)</w:t>
      </w:r>
      <w:r>
        <w:rPr>
          <w:sz w:val="28"/>
          <w:szCs w:val="28"/>
        </w:rPr>
        <w:t>:</w:t>
      </w:r>
    </w:p>
    <w:p w14:paraId="1F5C8C98" w14:textId="10203820" w:rsidR="00D73EEB" w:rsidRDefault="00E863E0" w:rsidP="00D221F6">
      <w:pPr>
        <w:rPr>
          <w:noProof/>
          <w:sz w:val="28"/>
          <w:szCs w:val="28"/>
        </w:rPr>
      </w:pPr>
      <w:r>
        <w:rPr>
          <w:noProof/>
          <w:sz w:val="28"/>
          <w:szCs w:val="28"/>
        </w:rPr>
        <w:drawing>
          <wp:anchor distT="0" distB="0" distL="114300" distR="114300" simplePos="0" relativeHeight="251660288" behindDoc="1" locked="0" layoutInCell="1" allowOverlap="1" wp14:anchorId="345D6AF9" wp14:editId="187A8731">
            <wp:simplePos x="0" y="0"/>
            <wp:positionH relativeFrom="margin">
              <wp:align>center</wp:align>
            </wp:positionH>
            <wp:positionV relativeFrom="paragraph">
              <wp:posOffset>400050</wp:posOffset>
            </wp:positionV>
            <wp:extent cx="5867400" cy="4399915"/>
            <wp:effectExtent l="0" t="0" r="0" b="635"/>
            <wp:wrapTight wrapText="bothSides">
              <wp:wrapPolygon edited="0">
                <wp:start x="0" y="0"/>
                <wp:lineTo x="0" y="21510"/>
                <wp:lineTo x="21530" y="21510"/>
                <wp:lineTo x="21530" y="0"/>
                <wp:lineTo x="0" y="0"/>
              </wp:wrapPolygon>
            </wp:wrapTight>
            <wp:docPr id="1697966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66001" name="Picture 169796600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7400" cy="4399915"/>
                    </a:xfrm>
                    <a:prstGeom prst="rect">
                      <a:avLst/>
                    </a:prstGeom>
                  </pic:spPr>
                </pic:pic>
              </a:graphicData>
            </a:graphic>
            <wp14:sizeRelH relativeFrom="page">
              <wp14:pctWidth>0</wp14:pctWidth>
            </wp14:sizeRelH>
            <wp14:sizeRelV relativeFrom="page">
              <wp14:pctHeight>0</wp14:pctHeight>
            </wp14:sizeRelV>
          </wp:anchor>
        </w:drawing>
      </w:r>
    </w:p>
    <w:p w14:paraId="102691AE" w14:textId="77777777" w:rsidR="00E863E0" w:rsidRPr="00E863E0" w:rsidRDefault="00E863E0" w:rsidP="00E863E0">
      <w:pPr>
        <w:rPr>
          <w:noProof/>
          <w:sz w:val="28"/>
          <w:szCs w:val="28"/>
        </w:rPr>
      </w:pPr>
      <w:r w:rsidRPr="00E863E0">
        <w:rPr>
          <w:b/>
          <w:bCs/>
          <w:noProof/>
          <w:sz w:val="28"/>
          <w:szCs w:val="28"/>
        </w:rPr>
        <w:t>Notes</w:t>
      </w:r>
      <w:r w:rsidRPr="00E863E0">
        <w:rPr>
          <w:noProof/>
          <w:sz w:val="28"/>
          <w:szCs w:val="28"/>
        </w:rPr>
        <w:t>: Standard errors in parentheses.</w:t>
      </w:r>
    </w:p>
    <w:p w14:paraId="0EF06462" w14:textId="0BF102CF" w:rsidR="00E863E0" w:rsidRPr="00E863E0" w:rsidRDefault="00E863E0" w:rsidP="00E863E0">
      <w:pPr>
        <w:rPr>
          <w:noProof/>
          <w:sz w:val="28"/>
          <w:szCs w:val="28"/>
        </w:rPr>
      </w:pPr>
      <w:r w:rsidRPr="00E863E0">
        <w:rPr>
          <w:noProof/>
          <w:sz w:val="28"/>
          <w:szCs w:val="28"/>
        </w:rPr>
        <w:t>OLS regressions control for latitude, altitude, and rainfall.</w:t>
      </w:r>
      <w:r>
        <w:rPr>
          <w:noProof/>
          <w:sz w:val="28"/>
          <w:szCs w:val="28"/>
        </w:rPr>
        <w:t xml:space="preserve"> </w:t>
      </w:r>
      <w:r w:rsidRPr="00E863E0">
        <w:rPr>
          <w:noProof/>
          <w:sz w:val="28"/>
          <w:szCs w:val="28"/>
        </w:rPr>
        <w:t>IV regressions use britdum as an instrument for p_nland.</w:t>
      </w:r>
    </w:p>
    <w:p w14:paraId="7BAAE112" w14:textId="3F61968B" w:rsidR="00332EC5" w:rsidRDefault="00332EC5" w:rsidP="00D221F6">
      <w:pPr>
        <w:rPr>
          <w:noProof/>
          <w:sz w:val="28"/>
          <w:szCs w:val="28"/>
        </w:rPr>
      </w:pPr>
      <w:r>
        <w:rPr>
          <w:noProof/>
          <w:sz w:val="28"/>
          <w:szCs w:val="28"/>
        </w:rPr>
        <w:lastRenderedPageBreak/>
        <w:drawing>
          <wp:anchor distT="0" distB="0" distL="114300" distR="114300" simplePos="0" relativeHeight="251661312" behindDoc="1" locked="0" layoutInCell="1" allowOverlap="1" wp14:anchorId="14DEA312" wp14:editId="0AD3727D">
            <wp:simplePos x="0" y="0"/>
            <wp:positionH relativeFrom="margin">
              <wp:align>center</wp:align>
            </wp:positionH>
            <wp:positionV relativeFrom="paragraph">
              <wp:posOffset>0</wp:posOffset>
            </wp:positionV>
            <wp:extent cx="5181600" cy="9490075"/>
            <wp:effectExtent l="0" t="0" r="0" b="0"/>
            <wp:wrapTight wrapText="bothSides">
              <wp:wrapPolygon edited="0">
                <wp:start x="2859" y="87"/>
                <wp:lineTo x="318" y="434"/>
                <wp:lineTo x="476" y="564"/>
                <wp:lineTo x="10800" y="867"/>
                <wp:lineTo x="8974" y="867"/>
                <wp:lineTo x="8974" y="954"/>
                <wp:lineTo x="11594" y="1561"/>
                <wp:lineTo x="318" y="2081"/>
                <wp:lineTo x="397" y="2515"/>
                <wp:lineTo x="7147" y="2948"/>
                <wp:lineTo x="476" y="3078"/>
                <wp:lineTo x="476" y="3382"/>
                <wp:lineTo x="11118" y="3642"/>
                <wp:lineTo x="397" y="3946"/>
                <wp:lineTo x="397" y="4249"/>
                <wp:lineTo x="10800" y="4336"/>
                <wp:lineTo x="397" y="4856"/>
                <wp:lineTo x="476" y="5984"/>
                <wp:lineTo x="7147" y="6417"/>
                <wp:lineTo x="476" y="6547"/>
                <wp:lineTo x="476" y="6894"/>
                <wp:lineTo x="17232" y="7111"/>
                <wp:lineTo x="476" y="7414"/>
                <wp:lineTo x="476" y="7761"/>
                <wp:lineTo x="10800" y="7805"/>
                <wp:lineTo x="397" y="8282"/>
                <wp:lineTo x="397" y="9409"/>
                <wp:lineTo x="7862" y="9886"/>
                <wp:lineTo x="476" y="10016"/>
                <wp:lineTo x="476" y="10319"/>
                <wp:lineTo x="17232" y="10580"/>
                <wp:lineTo x="476" y="10883"/>
                <wp:lineTo x="476" y="11187"/>
                <wp:lineTo x="10800" y="11273"/>
                <wp:lineTo x="397" y="11750"/>
                <wp:lineTo x="397" y="12878"/>
                <wp:lineTo x="7862" y="13355"/>
                <wp:lineTo x="476" y="13485"/>
                <wp:lineTo x="476" y="13788"/>
                <wp:lineTo x="17232" y="14048"/>
                <wp:lineTo x="476" y="14352"/>
                <wp:lineTo x="476" y="14655"/>
                <wp:lineTo x="10800" y="14742"/>
                <wp:lineTo x="1350" y="15132"/>
                <wp:lineTo x="397" y="15219"/>
                <wp:lineTo x="397" y="15436"/>
                <wp:lineTo x="1191" y="16130"/>
                <wp:lineTo x="318" y="16130"/>
                <wp:lineTo x="476" y="16346"/>
                <wp:lineTo x="10800" y="16823"/>
                <wp:lineTo x="476" y="16953"/>
                <wp:lineTo x="476" y="17257"/>
                <wp:lineTo x="11118" y="17517"/>
                <wp:lineTo x="397" y="17734"/>
                <wp:lineTo x="397" y="20986"/>
                <wp:lineTo x="9053" y="21072"/>
                <wp:lineTo x="9053" y="21376"/>
                <wp:lineTo x="12547" y="21463"/>
                <wp:lineTo x="20091" y="21463"/>
                <wp:lineTo x="21203" y="21376"/>
                <wp:lineTo x="21282" y="20552"/>
                <wp:lineTo x="18821" y="20292"/>
                <wp:lineTo x="18821" y="18211"/>
                <wp:lineTo x="20726" y="18124"/>
                <wp:lineTo x="21362" y="17777"/>
                <wp:lineTo x="18979" y="17517"/>
                <wp:lineTo x="19218" y="16130"/>
                <wp:lineTo x="18900" y="15696"/>
                <wp:lineTo x="18582" y="15436"/>
                <wp:lineTo x="19218" y="15262"/>
                <wp:lineTo x="18821" y="14742"/>
                <wp:lineTo x="16915" y="14742"/>
                <wp:lineTo x="19218" y="14569"/>
                <wp:lineTo x="19297" y="12617"/>
                <wp:lineTo x="18821" y="12184"/>
                <wp:lineTo x="18503" y="11967"/>
                <wp:lineTo x="19218" y="11794"/>
                <wp:lineTo x="18821" y="11273"/>
                <wp:lineTo x="16915" y="11273"/>
                <wp:lineTo x="19218" y="11100"/>
                <wp:lineTo x="19218" y="9192"/>
                <wp:lineTo x="18900" y="8802"/>
                <wp:lineTo x="18503" y="8498"/>
                <wp:lineTo x="19218" y="8325"/>
                <wp:lineTo x="18821" y="7805"/>
                <wp:lineTo x="19138" y="7675"/>
                <wp:lineTo x="19138" y="5333"/>
                <wp:lineTo x="18741" y="5030"/>
                <wp:lineTo x="19456" y="4900"/>
                <wp:lineTo x="19297" y="4206"/>
                <wp:lineTo x="18979" y="3642"/>
                <wp:lineTo x="19297" y="3078"/>
                <wp:lineTo x="18900" y="2255"/>
                <wp:lineTo x="21282" y="2211"/>
                <wp:lineTo x="21282" y="2125"/>
                <wp:lineTo x="18582" y="1561"/>
                <wp:lineTo x="21441" y="954"/>
                <wp:lineTo x="21124" y="867"/>
                <wp:lineTo x="20806" y="867"/>
                <wp:lineTo x="21362" y="477"/>
                <wp:lineTo x="18821" y="87"/>
                <wp:lineTo x="2859" y="87"/>
              </wp:wrapPolygon>
            </wp:wrapTight>
            <wp:docPr id="1405116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16939" name="Picture 4"/>
                    <pic:cNvPicPr/>
                  </pic:nvPicPr>
                  <pic:blipFill rotWithShape="1">
                    <a:blip r:embed="rId8" cstate="print">
                      <a:extLst>
                        <a:ext uri="{28A0092B-C50C-407E-A947-70E740481C1C}">
                          <a14:useLocalDpi xmlns:a14="http://schemas.microsoft.com/office/drawing/2010/main" val="0"/>
                        </a:ext>
                      </a:extLst>
                    </a:blip>
                    <a:srcRect l="-822" r="28742"/>
                    <a:stretch/>
                  </pic:blipFill>
                  <pic:spPr bwMode="auto">
                    <a:xfrm>
                      <a:off x="0" y="0"/>
                      <a:ext cx="5181600" cy="9490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3842AC" w14:textId="77777777" w:rsidR="002A6B78" w:rsidRDefault="002A6B78" w:rsidP="002A6B78">
      <w:pPr>
        <w:rPr>
          <w:sz w:val="28"/>
          <w:szCs w:val="28"/>
        </w:rPr>
      </w:pPr>
      <w:r w:rsidRPr="002A6B78">
        <w:rPr>
          <w:b/>
          <w:bCs/>
          <w:sz w:val="28"/>
          <w:szCs w:val="28"/>
        </w:rPr>
        <w:lastRenderedPageBreak/>
        <w:t>Notes</w:t>
      </w:r>
      <w:r w:rsidRPr="002A6B78">
        <w:rPr>
          <w:sz w:val="28"/>
          <w:szCs w:val="28"/>
        </w:rPr>
        <w:t>: Controls include rainfall, altitude, latitude, and coastal dummy. State fixed effects included in (2).</w:t>
      </w:r>
    </w:p>
    <w:p w14:paraId="58946AAB" w14:textId="77777777" w:rsidR="00EE3A6B" w:rsidRDefault="00EE3A6B" w:rsidP="002A6B78">
      <w:pPr>
        <w:rPr>
          <w:sz w:val="28"/>
          <w:szCs w:val="28"/>
        </w:rPr>
      </w:pPr>
    </w:p>
    <w:p w14:paraId="6646575E" w14:textId="379638C5" w:rsidR="00EE3A6B" w:rsidRDefault="00EE3A6B" w:rsidP="002A6B78">
      <w:pPr>
        <w:rPr>
          <w:sz w:val="28"/>
          <w:szCs w:val="28"/>
        </w:rPr>
      </w:pPr>
      <w:r w:rsidRPr="00EE3A6B">
        <w:rPr>
          <w:b/>
          <w:bCs/>
          <w:sz w:val="28"/>
          <w:szCs w:val="28"/>
        </w:rPr>
        <w:t>Important</w:t>
      </w:r>
      <w:r>
        <w:rPr>
          <w:b/>
          <w:bCs/>
          <w:sz w:val="28"/>
          <w:szCs w:val="28"/>
        </w:rPr>
        <w:t xml:space="preserve"> Observation</w:t>
      </w:r>
      <w:r w:rsidRPr="00EE3A6B">
        <w:rPr>
          <w:b/>
          <w:bCs/>
          <w:sz w:val="28"/>
          <w:szCs w:val="28"/>
        </w:rPr>
        <w:t>:</w:t>
      </w:r>
      <w:r>
        <w:rPr>
          <w:sz w:val="28"/>
          <w:szCs w:val="28"/>
        </w:rPr>
        <w:t xml:space="preserve"> </w:t>
      </w:r>
      <w:r w:rsidRPr="00EE3A6B">
        <w:rPr>
          <w:sz w:val="28"/>
          <w:szCs w:val="28"/>
        </w:rPr>
        <w:t>Without state fixed effects, the relationship between conquest timing and non-landlord share appears negative, likely due to confounding by differences across states. Some states may have had earlier conquests and landlord systems, others later and non-landlord systems. When we include state fixed effects, we remove these cross-state biases. The positive coefficient after controlling for state confirms that, within states, conquest between 1820 and 1856 led to a higher share of non-landlord systems, as expected based on the historical institutional change</w:t>
      </w:r>
      <w:r w:rsidR="00351D57">
        <w:rPr>
          <w:sz w:val="28"/>
          <w:szCs w:val="28"/>
        </w:rPr>
        <w:t>.</w:t>
      </w:r>
    </w:p>
    <w:p w14:paraId="664783E4" w14:textId="010533CE" w:rsidR="00351D57" w:rsidRDefault="00351D57" w:rsidP="002A6B78">
      <w:pPr>
        <w:rPr>
          <w:sz w:val="28"/>
          <w:szCs w:val="28"/>
        </w:rPr>
      </w:pPr>
      <w:r>
        <w:rPr>
          <w:sz w:val="28"/>
          <w:szCs w:val="28"/>
        </w:rPr>
        <w:t xml:space="preserve">The negative coefficient and difference in results for the instrument can also be attributed to these missing dependent variables in our version of the dataset: </w:t>
      </w:r>
    </w:p>
    <w:p w14:paraId="4338FA45" w14:textId="42749F8C" w:rsidR="00351D57" w:rsidRPr="00351D57" w:rsidRDefault="00351D57" w:rsidP="00351D57">
      <w:pPr>
        <w:pStyle w:val="ListParagraph"/>
        <w:numPr>
          <w:ilvl w:val="0"/>
          <w:numId w:val="11"/>
        </w:numPr>
        <w:rPr>
          <w:sz w:val="28"/>
          <w:szCs w:val="28"/>
        </w:rPr>
      </w:pPr>
      <w:r w:rsidRPr="00351D57">
        <w:rPr>
          <w:sz w:val="28"/>
          <w:szCs w:val="28"/>
        </w:rPr>
        <w:t>Date of British land revenue control (continuous)</w:t>
      </w:r>
    </w:p>
    <w:p w14:paraId="14640ACE" w14:textId="402765AE" w:rsidR="00351D57" w:rsidRPr="00351D57" w:rsidRDefault="00351D57" w:rsidP="00351D57">
      <w:pPr>
        <w:pStyle w:val="ListParagraph"/>
        <w:numPr>
          <w:ilvl w:val="0"/>
          <w:numId w:val="11"/>
        </w:numPr>
        <w:rPr>
          <w:sz w:val="28"/>
          <w:szCs w:val="28"/>
        </w:rPr>
      </w:pPr>
      <w:r w:rsidRPr="00351D57">
        <w:rPr>
          <w:sz w:val="28"/>
          <w:szCs w:val="28"/>
        </w:rPr>
        <w:t>Date of British land revenue control squared (continuous</w:t>
      </w:r>
      <w:r w:rsidRPr="00351D57">
        <w:rPr>
          <w:sz w:val="28"/>
          <w:szCs w:val="28"/>
        </w:rPr>
        <w:t>)</w:t>
      </w:r>
    </w:p>
    <w:p w14:paraId="2BC97436" w14:textId="07F2E7B0" w:rsidR="00D73EEB" w:rsidRDefault="00D73EEB" w:rsidP="00D221F6">
      <w:pPr>
        <w:rPr>
          <w:sz w:val="28"/>
          <w:szCs w:val="28"/>
        </w:rPr>
      </w:pPr>
    </w:p>
    <w:p w14:paraId="66B0E2E6" w14:textId="5A05E478" w:rsidR="002A6B78" w:rsidRPr="00FA4CB2" w:rsidRDefault="00FA4CB2" w:rsidP="00D221F6">
      <w:pPr>
        <w:rPr>
          <w:b/>
          <w:bCs/>
          <w:sz w:val="36"/>
          <w:szCs w:val="36"/>
        </w:rPr>
      </w:pPr>
      <w:r w:rsidRPr="00FA4CB2">
        <w:rPr>
          <w:b/>
          <w:bCs/>
          <w:sz w:val="36"/>
          <w:szCs w:val="36"/>
        </w:rPr>
        <w:t>Interpretations</w:t>
      </w:r>
    </w:p>
    <w:p w14:paraId="3F9F0B0A" w14:textId="77777777" w:rsidR="00FA4CB2" w:rsidRPr="00FA4CB2" w:rsidRDefault="00FA4CB2" w:rsidP="00FA4CB2">
      <w:pPr>
        <w:rPr>
          <w:sz w:val="28"/>
          <w:szCs w:val="28"/>
        </w:rPr>
      </w:pPr>
      <w:r w:rsidRPr="00FA4CB2">
        <w:rPr>
          <w:sz w:val="28"/>
          <w:szCs w:val="28"/>
        </w:rPr>
        <w:t>The results strongly support the hypothesis that non-landlord systems had a positive long-term impact on agricultural investments and productivity:</w:t>
      </w:r>
    </w:p>
    <w:p w14:paraId="23FA3219" w14:textId="77777777" w:rsidR="00FA4CB2" w:rsidRPr="00FA4CB2" w:rsidRDefault="00FA4CB2" w:rsidP="00FA4CB2">
      <w:pPr>
        <w:pStyle w:val="ListParagraph"/>
        <w:numPr>
          <w:ilvl w:val="0"/>
          <w:numId w:val="7"/>
        </w:numPr>
        <w:rPr>
          <w:sz w:val="28"/>
          <w:szCs w:val="28"/>
        </w:rPr>
      </w:pPr>
      <w:r w:rsidRPr="00FA4CB2">
        <w:rPr>
          <w:sz w:val="28"/>
          <w:szCs w:val="28"/>
        </w:rPr>
        <w:t>Higher fertilizer usage and HYV adoption rates are observed in non-landlord areas.</w:t>
      </w:r>
    </w:p>
    <w:p w14:paraId="2773D3D4" w14:textId="77777777" w:rsidR="00FA4CB2" w:rsidRPr="00FA4CB2" w:rsidRDefault="00FA4CB2" w:rsidP="00FA4CB2">
      <w:pPr>
        <w:pStyle w:val="ListParagraph"/>
        <w:numPr>
          <w:ilvl w:val="0"/>
          <w:numId w:val="7"/>
        </w:numPr>
        <w:rPr>
          <w:sz w:val="28"/>
          <w:szCs w:val="28"/>
        </w:rPr>
      </w:pPr>
      <w:r w:rsidRPr="00FA4CB2">
        <w:rPr>
          <w:sz w:val="28"/>
          <w:szCs w:val="28"/>
        </w:rPr>
        <w:t>Crop yields are significantly higher, even after correcting for endogeneity through IV.</w:t>
      </w:r>
    </w:p>
    <w:p w14:paraId="7F16A7B3" w14:textId="77777777" w:rsidR="00FA4CB2" w:rsidRPr="00FA4CB2" w:rsidRDefault="00FA4CB2" w:rsidP="00FA4CB2">
      <w:pPr>
        <w:rPr>
          <w:sz w:val="28"/>
          <w:szCs w:val="28"/>
        </w:rPr>
      </w:pPr>
      <w:r w:rsidRPr="00FA4CB2">
        <w:rPr>
          <w:sz w:val="28"/>
          <w:szCs w:val="28"/>
        </w:rPr>
        <w:t>Key interpretation points:</w:t>
      </w:r>
    </w:p>
    <w:p w14:paraId="7B780040" w14:textId="77777777" w:rsidR="00FA4CB2" w:rsidRPr="00FA4CB2" w:rsidRDefault="00FA4CB2" w:rsidP="00FA4CB2">
      <w:pPr>
        <w:pStyle w:val="ListParagraph"/>
        <w:numPr>
          <w:ilvl w:val="0"/>
          <w:numId w:val="8"/>
        </w:numPr>
        <w:rPr>
          <w:sz w:val="28"/>
          <w:szCs w:val="28"/>
        </w:rPr>
      </w:pPr>
      <w:r w:rsidRPr="00FA4CB2">
        <w:rPr>
          <w:sz w:val="28"/>
          <w:szCs w:val="28"/>
        </w:rPr>
        <w:t>IV estimates are generally larger in magnitude than OLS, implying that simple OLS likely underestimates the true causal effect.</w:t>
      </w:r>
    </w:p>
    <w:p w14:paraId="5237DA07" w14:textId="574B831F" w:rsidR="00FA4CB2" w:rsidRPr="00FA4CB2" w:rsidRDefault="00FA4CB2" w:rsidP="00FA4CB2">
      <w:pPr>
        <w:pStyle w:val="ListParagraph"/>
        <w:numPr>
          <w:ilvl w:val="0"/>
          <w:numId w:val="8"/>
        </w:numPr>
        <w:rPr>
          <w:sz w:val="28"/>
          <w:szCs w:val="28"/>
        </w:rPr>
      </w:pPr>
      <w:r w:rsidRPr="00FA4CB2">
        <w:rPr>
          <w:sz w:val="28"/>
          <w:szCs w:val="28"/>
        </w:rPr>
        <w:t>For the "other cereals area under HYV," large coefficients arise due to the dependent variable being measured in absolute area units (hectares)</w:t>
      </w:r>
    </w:p>
    <w:p w14:paraId="6FCD5120" w14:textId="77777777" w:rsidR="00FA4CB2" w:rsidRDefault="00FA4CB2" w:rsidP="00FA4CB2">
      <w:pPr>
        <w:rPr>
          <w:sz w:val="28"/>
          <w:szCs w:val="28"/>
        </w:rPr>
      </w:pPr>
      <w:r w:rsidRPr="00FA4CB2">
        <w:rPr>
          <w:sz w:val="28"/>
          <w:szCs w:val="28"/>
        </w:rPr>
        <w:t>In the first-stage regressions, the conquest dummy (</w:t>
      </w:r>
      <w:r w:rsidRPr="00FA4CB2">
        <w:rPr>
          <w:sz w:val="28"/>
          <w:szCs w:val="28"/>
          <w:highlight w:val="lightGray"/>
        </w:rPr>
        <w:t>britdum</w:t>
      </w:r>
      <w:r w:rsidRPr="00FA4CB2">
        <w:rPr>
          <w:sz w:val="28"/>
          <w:szCs w:val="28"/>
        </w:rPr>
        <w:t>) is strongly correlated with the non-landlord share, confirming instrument relevance.</w:t>
      </w:r>
    </w:p>
    <w:p w14:paraId="777C67E2" w14:textId="77777777" w:rsidR="00AB6BA6" w:rsidRDefault="00AB6BA6" w:rsidP="00FA4CB2">
      <w:pPr>
        <w:rPr>
          <w:sz w:val="28"/>
          <w:szCs w:val="28"/>
        </w:rPr>
      </w:pPr>
    </w:p>
    <w:p w14:paraId="175E2712" w14:textId="7FE58AF0" w:rsidR="00AB6BA6" w:rsidRPr="00AB6BA6" w:rsidRDefault="00AB6BA6" w:rsidP="00AB6BA6">
      <w:pPr>
        <w:rPr>
          <w:sz w:val="28"/>
          <w:szCs w:val="28"/>
        </w:rPr>
      </w:pPr>
      <w:r w:rsidRPr="00AB6BA6">
        <w:rPr>
          <w:sz w:val="28"/>
          <w:szCs w:val="28"/>
        </w:rPr>
        <w:lastRenderedPageBreak/>
        <w:t>While interpreting the results, several alternative explanations must be considered and addressed:</w:t>
      </w:r>
    </w:p>
    <w:p w14:paraId="120DA819" w14:textId="77777777" w:rsidR="00AB6BA6" w:rsidRPr="00AB6BA6" w:rsidRDefault="00AB6BA6" w:rsidP="00AB6BA6">
      <w:pPr>
        <w:pStyle w:val="ListParagraph"/>
        <w:numPr>
          <w:ilvl w:val="0"/>
          <w:numId w:val="9"/>
        </w:numPr>
        <w:rPr>
          <w:b/>
          <w:bCs/>
          <w:sz w:val="28"/>
          <w:szCs w:val="28"/>
        </w:rPr>
      </w:pPr>
      <w:r w:rsidRPr="00AB6BA6">
        <w:rPr>
          <w:b/>
          <w:bCs/>
          <w:sz w:val="28"/>
          <w:szCs w:val="28"/>
        </w:rPr>
        <w:t>Selection into Land Systems:</w:t>
      </w:r>
    </w:p>
    <w:p w14:paraId="793EC356" w14:textId="24101113" w:rsidR="00AB6BA6" w:rsidRPr="00AB6BA6" w:rsidRDefault="00AB6BA6" w:rsidP="00AB6BA6">
      <w:pPr>
        <w:pStyle w:val="ListParagraph"/>
        <w:rPr>
          <w:sz w:val="28"/>
          <w:szCs w:val="28"/>
        </w:rPr>
      </w:pPr>
      <w:r w:rsidRPr="00AB6BA6">
        <w:rPr>
          <w:sz w:val="28"/>
          <w:szCs w:val="28"/>
        </w:rPr>
        <w:t>British administrators did not assign landlord systems based on agricultural productivity. Instead, ideological shifts around 1820 determined whether newly conquered districts received zamindari settlements.</w:t>
      </w:r>
    </w:p>
    <w:p w14:paraId="77D8AF21" w14:textId="77777777" w:rsidR="00AB6BA6" w:rsidRPr="00AB6BA6" w:rsidRDefault="00AB6BA6" w:rsidP="00AB6BA6">
      <w:pPr>
        <w:pStyle w:val="ListParagraph"/>
        <w:numPr>
          <w:ilvl w:val="0"/>
          <w:numId w:val="9"/>
        </w:numPr>
        <w:rPr>
          <w:b/>
          <w:bCs/>
          <w:sz w:val="28"/>
          <w:szCs w:val="28"/>
        </w:rPr>
      </w:pPr>
      <w:r w:rsidRPr="00AB6BA6">
        <w:rPr>
          <w:b/>
          <w:bCs/>
          <w:sz w:val="28"/>
          <w:szCs w:val="28"/>
        </w:rPr>
        <w:t>Endogeneity of Conquest Timing:</w:t>
      </w:r>
    </w:p>
    <w:p w14:paraId="3A2AA4F8" w14:textId="63CB0E04" w:rsidR="00AB6BA6" w:rsidRPr="00AB6BA6" w:rsidRDefault="00AB6BA6" w:rsidP="00AB6BA6">
      <w:pPr>
        <w:pStyle w:val="ListParagraph"/>
        <w:rPr>
          <w:sz w:val="28"/>
          <w:szCs w:val="28"/>
        </w:rPr>
      </w:pPr>
      <w:r w:rsidRPr="00AB6BA6">
        <w:rPr>
          <w:sz w:val="28"/>
          <w:szCs w:val="28"/>
        </w:rPr>
        <w:t>The order of British conquest was shaped by political resistance and military strategy, not by economic factors like land fertility or wealth.</w:t>
      </w:r>
    </w:p>
    <w:p w14:paraId="11078115" w14:textId="77777777" w:rsidR="00AB6BA6" w:rsidRPr="00AB6BA6" w:rsidRDefault="00AB6BA6" w:rsidP="00AB6BA6">
      <w:pPr>
        <w:pStyle w:val="ListParagraph"/>
        <w:numPr>
          <w:ilvl w:val="0"/>
          <w:numId w:val="9"/>
        </w:numPr>
        <w:rPr>
          <w:b/>
          <w:bCs/>
          <w:sz w:val="28"/>
          <w:szCs w:val="28"/>
        </w:rPr>
      </w:pPr>
      <w:r w:rsidRPr="00AB6BA6">
        <w:rPr>
          <w:b/>
          <w:bCs/>
          <w:sz w:val="28"/>
          <w:szCs w:val="28"/>
        </w:rPr>
        <w:t>Contemporary Policy Differences:</w:t>
      </w:r>
    </w:p>
    <w:p w14:paraId="746321DF" w14:textId="4216125B" w:rsidR="00AB6BA6" w:rsidRPr="00AB6BA6" w:rsidRDefault="00AB6BA6" w:rsidP="00AB6BA6">
      <w:pPr>
        <w:pStyle w:val="ListParagraph"/>
        <w:rPr>
          <w:sz w:val="28"/>
          <w:szCs w:val="28"/>
        </w:rPr>
      </w:pPr>
      <w:r w:rsidRPr="00AB6BA6">
        <w:rPr>
          <w:sz w:val="28"/>
          <w:szCs w:val="28"/>
        </w:rPr>
        <w:t>Inclusion of geographic controls and state fixed effects demonstrates that modern policy variations are unlikely to explain the observed differences.</w:t>
      </w:r>
    </w:p>
    <w:p w14:paraId="1A175D6D" w14:textId="77777777" w:rsidR="00AB6BA6" w:rsidRPr="00AB6BA6" w:rsidRDefault="00AB6BA6" w:rsidP="00AB6BA6">
      <w:pPr>
        <w:pStyle w:val="ListParagraph"/>
        <w:numPr>
          <w:ilvl w:val="0"/>
          <w:numId w:val="9"/>
        </w:numPr>
        <w:rPr>
          <w:b/>
          <w:bCs/>
          <w:sz w:val="28"/>
          <w:szCs w:val="28"/>
        </w:rPr>
      </w:pPr>
      <w:r w:rsidRPr="00AB6BA6">
        <w:rPr>
          <w:b/>
          <w:bCs/>
          <w:sz w:val="28"/>
          <w:szCs w:val="28"/>
        </w:rPr>
        <w:t>Other Historical Institutions:</w:t>
      </w:r>
    </w:p>
    <w:p w14:paraId="66964AAC" w14:textId="4F0D08C3" w:rsidR="00AB6BA6" w:rsidRPr="00AB6BA6" w:rsidRDefault="00AB6BA6" w:rsidP="00AB6BA6">
      <w:pPr>
        <w:pStyle w:val="ListParagraph"/>
        <w:rPr>
          <w:sz w:val="28"/>
          <w:szCs w:val="28"/>
        </w:rPr>
      </w:pPr>
      <w:r w:rsidRPr="00AB6BA6">
        <w:rPr>
          <w:sz w:val="28"/>
          <w:szCs w:val="28"/>
        </w:rPr>
        <w:t>The focus on British-administered districts minimizes confounding from differing local institutions.</w:t>
      </w:r>
    </w:p>
    <w:p w14:paraId="2EBB895E" w14:textId="77777777" w:rsidR="00AB6BA6" w:rsidRPr="00AB6BA6" w:rsidRDefault="00AB6BA6" w:rsidP="00AB6BA6">
      <w:pPr>
        <w:pStyle w:val="ListParagraph"/>
        <w:numPr>
          <w:ilvl w:val="0"/>
          <w:numId w:val="9"/>
        </w:numPr>
        <w:rPr>
          <w:b/>
          <w:bCs/>
          <w:sz w:val="28"/>
          <w:szCs w:val="28"/>
        </w:rPr>
      </w:pPr>
      <w:r w:rsidRPr="00AB6BA6">
        <w:rPr>
          <w:b/>
          <w:bCs/>
          <w:sz w:val="28"/>
          <w:szCs w:val="28"/>
        </w:rPr>
        <w:t>Direct Effects of Early British Rule:</w:t>
      </w:r>
    </w:p>
    <w:p w14:paraId="6B91AFAA" w14:textId="77777777" w:rsidR="00AB6BA6" w:rsidRPr="00AB6BA6" w:rsidRDefault="00AB6BA6" w:rsidP="00AB6BA6">
      <w:pPr>
        <w:pStyle w:val="ListParagraph"/>
        <w:rPr>
          <w:sz w:val="28"/>
          <w:szCs w:val="28"/>
        </w:rPr>
      </w:pPr>
      <w:r w:rsidRPr="00AB6BA6">
        <w:rPr>
          <w:sz w:val="28"/>
          <w:szCs w:val="28"/>
        </w:rPr>
        <w:t>Historical evidence suggests that early British control was primarily extractive and is unlikely to have independently fostered long-term agricultural development.</w:t>
      </w:r>
    </w:p>
    <w:p w14:paraId="319742CF" w14:textId="77777777" w:rsidR="00FA4CB2" w:rsidRDefault="00FA4CB2" w:rsidP="00D221F6">
      <w:pPr>
        <w:rPr>
          <w:sz w:val="28"/>
          <w:szCs w:val="28"/>
        </w:rPr>
      </w:pPr>
    </w:p>
    <w:p w14:paraId="54BAE55A" w14:textId="0DB0317E" w:rsidR="00D73EEB" w:rsidRPr="00847099" w:rsidRDefault="00847099" w:rsidP="00D221F6">
      <w:pPr>
        <w:rPr>
          <w:b/>
          <w:bCs/>
          <w:sz w:val="36"/>
          <w:szCs w:val="36"/>
        </w:rPr>
      </w:pPr>
      <w:r w:rsidRPr="00847099">
        <w:rPr>
          <w:b/>
          <w:bCs/>
          <w:sz w:val="36"/>
          <w:szCs w:val="36"/>
        </w:rPr>
        <w:t>Conclusion</w:t>
      </w:r>
    </w:p>
    <w:p w14:paraId="700F5E1D" w14:textId="77777777" w:rsidR="009A7680" w:rsidRPr="009A7680" w:rsidRDefault="009A7680" w:rsidP="009A7680">
      <w:pPr>
        <w:rPr>
          <w:sz w:val="28"/>
          <w:szCs w:val="28"/>
        </w:rPr>
      </w:pPr>
      <w:r w:rsidRPr="009A7680">
        <w:rPr>
          <w:sz w:val="28"/>
          <w:szCs w:val="28"/>
        </w:rPr>
        <w:t>This replication confirms that colonial institutions have deep and persistent impacts on modern economic outcomes.</w:t>
      </w:r>
    </w:p>
    <w:p w14:paraId="189A6DA8" w14:textId="77777777" w:rsidR="009A7680" w:rsidRPr="009A7680" w:rsidRDefault="009A7680" w:rsidP="009A7680">
      <w:pPr>
        <w:rPr>
          <w:sz w:val="28"/>
          <w:szCs w:val="28"/>
        </w:rPr>
      </w:pPr>
      <w:r w:rsidRPr="009A7680">
        <w:rPr>
          <w:sz w:val="28"/>
          <w:szCs w:val="28"/>
        </w:rPr>
        <w:t>Landlord-based systems hindered long-run agricultural development, while non-landlord systems fostered greater investments in irrigation, technology adoption, and crop yields.</w:t>
      </w:r>
    </w:p>
    <w:p w14:paraId="776D87E4" w14:textId="77777777" w:rsidR="009A7680" w:rsidRPr="009A7680" w:rsidRDefault="009A7680" w:rsidP="009A7680">
      <w:pPr>
        <w:rPr>
          <w:sz w:val="28"/>
          <w:szCs w:val="28"/>
        </w:rPr>
      </w:pPr>
      <w:r w:rsidRPr="009A7680">
        <w:rPr>
          <w:sz w:val="28"/>
          <w:szCs w:val="28"/>
        </w:rPr>
        <w:t>These findings align with broader theories emphasizing the critical role of historical institutions in shaping current prosperity.</w:t>
      </w:r>
    </w:p>
    <w:p w14:paraId="380652CC" w14:textId="7A8E92C7" w:rsidR="00D73EEB" w:rsidRDefault="00D73EEB" w:rsidP="00D221F6">
      <w:pPr>
        <w:rPr>
          <w:sz w:val="28"/>
          <w:szCs w:val="28"/>
        </w:rPr>
      </w:pPr>
    </w:p>
    <w:p w14:paraId="11DAAFFE" w14:textId="065BB1BC" w:rsidR="00D73EEB" w:rsidRDefault="002B560F" w:rsidP="00D221F6">
      <w:pPr>
        <w:rPr>
          <w:sz w:val="28"/>
          <w:szCs w:val="28"/>
        </w:rPr>
      </w:pPr>
      <w:r>
        <w:rPr>
          <w:sz w:val="28"/>
          <w:szCs w:val="28"/>
        </w:rPr>
        <w:t xml:space="preserve">Link to paper: </w:t>
      </w:r>
      <w:hyperlink r:id="rId9" w:history="1">
        <w:r w:rsidRPr="00F61186">
          <w:rPr>
            <w:rStyle w:val="Hyperlink"/>
            <w:sz w:val="28"/>
            <w:szCs w:val="28"/>
          </w:rPr>
          <w:t>https://www.jstor.org/stable/pdf/4132711</w:t>
        </w:r>
      </w:hyperlink>
    </w:p>
    <w:p w14:paraId="049F71A6" w14:textId="0743F4B0" w:rsidR="002B560F" w:rsidRPr="00D73EEB" w:rsidRDefault="002B560F" w:rsidP="00D221F6">
      <w:pPr>
        <w:rPr>
          <w:sz w:val="28"/>
          <w:szCs w:val="28"/>
        </w:rPr>
      </w:pPr>
      <w:r>
        <w:rPr>
          <w:sz w:val="28"/>
          <w:szCs w:val="28"/>
        </w:rPr>
        <w:t xml:space="preserve">Link to R code: </w:t>
      </w:r>
      <w:hyperlink r:id="rId10" w:history="1">
        <w:r w:rsidRPr="00F61186">
          <w:rPr>
            <w:rStyle w:val="Hyperlink"/>
            <w:sz w:val="28"/>
            <w:szCs w:val="28"/>
          </w:rPr>
          <w:t>https://pastebin.com/WDzppdZx</w:t>
        </w:r>
      </w:hyperlink>
    </w:p>
    <w:sectPr w:rsidR="002B560F" w:rsidRPr="00D73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53520"/>
    <w:multiLevelType w:val="hybridMultilevel"/>
    <w:tmpl w:val="9366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20312C"/>
    <w:multiLevelType w:val="hybridMultilevel"/>
    <w:tmpl w:val="467A1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42367E"/>
    <w:multiLevelType w:val="hybridMultilevel"/>
    <w:tmpl w:val="700AB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B052BC"/>
    <w:multiLevelType w:val="hybridMultilevel"/>
    <w:tmpl w:val="63004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BD5B7A"/>
    <w:multiLevelType w:val="hybridMultilevel"/>
    <w:tmpl w:val="2D5E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7211B7"/>
    <w:multiLevelType w:val="hybridMultilevel"/>
    <w:tmpl w:val="8A625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097066"/>
    <w:multiLevelType w:val="hybridMultilevel"/>
    <w:tmpl w:val="C5C4841A"/>
    <w:lvl w:ilvl="0" w:tplc="2E48075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7B1609"/>
    <w:multiLevelType w:val="hybridMultilevel"/>
    <w:tmpl w:val="628625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6C66DE0"/>
    <w:multiLevelType w:val="hybridMultilevel"/>
    <w:tmpl w:val="D91EE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8E65D2"/>
    <w:multiLevelType w:val="hybridMultilevel"/>
    <w:tmpl w:val="3516E1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E202BF"/>
    <w:multiLevelType w:val="hybridMultilevel"/>
    <w:tmpl w:val="628625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1946868">
    <w:abstractNumId w:val="6"/>
  </w:num>
  <w:num w:numId="2" w16cid:durableId="1134833387">
    <w:abstractNumId w:val="9"/>
  </w:num>
  <w:num w:numId="3" w16cid:durableId="1981570515">
    <w:abstractNumId w:val="10"/>
  </w:num>
  <w:num w:numId="4" w16cid:durableId="323096422">
    <w:abstractNumId w:val="7"/>
  </w:num>
  <w:num w:numId="5" w16cid:durableId="449279228">
    <w:abstractNumId w:val="2"/>
  </w:num>
  <w:num w:numId="6" w16cid:durableId="51469989">
    <w:abstractNumId w:val="1"/>
  </w:num>
  <w:num w:numId="7" w16cid:durableId="1910844420">
    <w:abstractNumId w:val="5"/>
  </w:num>
  <w:num w:numId="8" w16cid:durableId="125978045">
    <w:abstractNumId w:val="0"/>
  </w:num>
  <w:num w:numId="9" w16cid:durableId="371080492">
    <w:abstractNumId w:val="8"/>
  </w:num>
  <w:num w:numId="10" w16cid:durableId="1807551256">
    <w:abstractNumId w:val="4"/>
  </w:num>
  <w:num w:numId="11" w16cid:durableId="1051148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86D"/>
    <w:rsid w:val="00004A7A"/>
    <w:rsid w:val="0007347A"/>
    <w:rsid w:val="00073A52"/>
    <w:rsid w:val="000A4E4F"/>
    <w:rsid w:val="000B1AD8"/>
    <w:rsid w:val="000C3D7D"/>
    <w:rsid w:val="001159F8"/>
    <w:rsid w:val="00154764"/>
    <w:rsid w:val="00194101"/>
    <w:rsid w:val="00197B06"/>
    <w:rsid w:val="002008D3"/>
    <w:rsid w:val="00210FC1"/>
    <w:rsid w:val="00213BE5"/>
    <w:rsid w:val="0022342D"/>
    <w:rsid w:val="002606F4"/>
    <w:rsid w:val="00275A6A"/>
    <w:rsid w:val="002A6B78"/>
    <w:rsid w:val="002B560F"/>
    <w:rsid w:val="00312E11"/>
    <w:rsid w:val="00332EC5"/>
    <w:rsid w:val="00345B50"/>
    <w:rsid w:val="00351D57"/>
    <w:rsid w:val="00360868"/>
    <w:rsid w:val="003A26CC"/>
    <w:rsid w:val="003B01EB"/>
    <w:rsid w:val="003B23E0"/>
    <w:rsid w:val="003B4064"/>
    <w:rsid w:val="003D444C"/>
    <w:rsid w:val="004721DA"/>
    <w:rsid w:val="0049085A"/>
    <w:rsid w:val="004A2B8C"/>
    <w:rsid w:val="004B29A7"/>
    <w:rsid w:val="004B4B50"/>
    <w:rsid w:val="004E3466"/>
    <w:rsid w:val="00524D0B"/>
    <w:rsid w:val="00533B77"/>
    <w:rsid w:val="00574C31"/>
    <w:rsid w:val="00595B0C"/>
    <w:rsid w:val="005C59CC"/>
    <w:rsid w:val="005E7C38"/>
    <w:rsid w:val="006733A7"/>
    <w:rsid w:val="00673F63"/>
    <w:rsid w:val="0068253D"/>
    <w:rsid w:val="00686A56"/>
    <w:rsid w:val="006A625C"/>
    <w:rsid w:val="006D1E73"/>
    <w:rsid w:val="006F2AA4"/>
    <w:rsid w:val="007164ED"/>
    <w:rsid w:val="007213D6"/>
    <w:rsid w:val="007B42EA"/>
    <w:rsid w:val="007B73B2"/>
    <w:rsid w:val="007C70C7"/>
    <w:rsid w:val="007D1931"/>
    <w:rsid w:val="00804CC1"/>
    <w:rsid w:val="0081637C"/>
    <w:rsid w:val="00821849"/>
    <w:rsid w:val="00844E94"/>
    <w:rsid w:val="00847099"/>
    <w:rsid w:val="0086286D"/>
    <w:rsid w:val="008B1070"/>
    <w:rsid w:val="008C41BD"/>
    <w:rsid w:val="009448D1"/>
    <w:rsid w:val="009521BC"/>
    <w:rsid w:val="00956FC1"/>
    <w:rsid w:val="009A7680"/>
    <w:rsid w:val="00A707B0"/>
    <w:rsid w:val="00AA6D8D"/>
    <w:rsid w:val="00AB3187"/>
    <w:rsid w:val="00AB6BA6"/>
    <w:rsid w:val="00B7197F"/>
    <w:rsid w:val="00BF000F"/>
    <w:rsid w:val="00C030A7"/>
    <w:rsid w:val="00C15583"/>
    <w:rsid w:val="00C25201"/>
    <w:rsid w:val="00C50A6C"/>
    <w:rsid w:val="00C526B8"/>
    <w:rsid w:val="00C527D3"/>
    <w:rsid w:val="00CE5697"/>
    <w:rsid w:val="00D221F6"/>
    <w:rsid w:val="00D3060A"/>
    <w:rsid w:val="00D54D60"/>
    <w:rsid w:val="00D73EEB"/>
    <w:rsid w:val="00DA576F"/>
    <w:rsid w:val="00DC4EF0"/>
    <w:rsid w:val="00DF149C"/>
    <w:rsid w:val="00E23D93"/>
    <w:rsid w:val="00E8108E"/>
    <w:rsid w:val="00E863E0"/>
    <w:rsid w:val="00E93880"/>
    <w:rsid w:val="00EC440F"/>
    <w:rsid w:val="00EC6F0D"/>
    <w:rsid w:val="00ED26B2"/>
    <w:rsid w:val="00EE3A6B"/>
    <w:rsid w:val="00F040CB"/>
    <w:rsid w:val="00F150E7"/>
    <w:rsid w:val="00F508C1"/>
    <w:rsid w:val="00F66970"/>
    <w:rsid w:val="00F75072"/>
    <w:rsid w:val="00FA4CB2"/>
    <w:rsid w:val="00FA7C52"/>
    <w:rsid w:val="00FB1C55"/>
    <w:rsid w:val="00FC3A2C"/>
    <w:rsid w:val="00FC3B04"/>
    <w:rsid w:val="00FD1B59"/>
    <w:rsid w:val="00FF7D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5050,#f60,#e5c81b,#ee9012,#e28810"/>
    </o:shapedefaults>
    <o:shapelayout v:ext="edit">
      <o:idmap v:ext="edit" data="1"/>
    </o:shapelayout>
  </w:shapeDefaults>
  <w:decimalSymbol w:val="."/>
  <w:listSeparator w:val=","/>
  <w14:docId w14:val="675498FE"/>
  <w15:chartTrackingRefBased/>
  <w15:docId w15:val="{C9A1A1EA-E03B-400E-AD5E-AECF625A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072"/>
  </w:style>
  <w:style w:type="paragraph" w:styleId="Heading1">
    <w:name w:val="heading 1"/>
    <w:basedOn w:val="Normal"/>
    <w:next w:val="Normal"/>
    <w:link w:val="Heading1Char"/>
    <w:uiPriority w:val="9"/>
    <w:qFormat/>
    <w:rsid w:val="0086286D"/>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86286D"/>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6286D"/>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8628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28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28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8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8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8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86D"/>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86286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6286D"/>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8628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28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28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8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8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86D"/>
    <w:rPr>
      <w:rFonts w:eastAsiaTheme="majorEastAsia" w:cstheme="majorBidi"/>
      <w:color w:val="272727" w:themeColor="text1" w:themeTint="D8"/>
    </w:rPr>
  </w:style>
  <w:style w:type="paragraph" w:styleId="Title">
    <w:name w:val="Title"/>
    <w:basedOn w:val="Normal"/>
    <w:next w:val="Normal"/>
    <w:link w:val="TitleChar"/>
    <w:uiPriority w:val="10"/>
    <w:qFormat/>
    <w:rsid w:val="0086286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6286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6286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6286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6286D"/>
    <w:pPr>
      <w:spacing w:before="160"/>
      <w:jc w:val="center"/>
    </w:pPr>
    <w:rPr>
      <w:i/>
      <w:iCs/>
      <w:color w:val="404040" w:themeColor="text1" w:themeTint="BF"/>
    </w:rPr>
  </w:style>
  <w:style w:type="character" w:customStyle="1" w:styleId="QuoteChar">
    <w:name w:val="Quote Char"/>
    <w:basedOn w:val="DefaultParagraphFont"/>
    <w:link w:val="Quote"/>
    <w:uiPriority w:val="29"/>
    <w:rsid w:val="0086286D"/>
    <w:rPr>
      <w:i/>
      <w:iCs/>
      <w:color w:val="404040" w:themeColor="text1" w:themeTint="BF"/>
    </w:rPr>
  </w:style>
  <w:style w:type="paragraph" w:styleId="ListParagraph">
    <w:name w:val="List Paragraph"/>
    <w:basedOn w:val="Normal"/>
    <w:uiPriority w:val="34"/>
    <w:qFormat/>
    <w:rsid w:val="0086286D"/>
    <w:pPr>
      <w:ind w:left="720"/>
      <w:contextualSpacing/>
    </w:pPr>
  </w:style>
  <w:style w:type="character" w:styleId="IntenseEmphasis">
    <w:name w:val="Intense Emphasis"/>
    <w:basedOn w:val="DefaultParagraphFont"/>
    <w:uiPriority w:val="21"/>
    <w:qFormat/>
    <w:rsid w:val="0086286D"/>
    <w:rPr>
      <w:i/>
      <w:iCs/>
      <w:color w:val="2F5496" w:themeColor="accent1" w:themeShade="BF"/>
    </w:rPr>
  </w:style>
  <w:style w:type="paragraph" w:styleId="IntenseQuote">
    <w:name w:val="Intense Quote"/>
    <w:basedOn w:val="Normal"/>
    <w:next w:val="Normal"/>
    <w:link w:val="IntenseQuoteChar"/>
    <w:uiPriority w:val="30"/>
    <w:qFormat/>
    <w:rsid w:val="008628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286D"/>
    <w:rPr>
      <w:i/>
      <w:iCs/>
      <w:color w:val="2F5496" w:themeColor="accent1" w:themeShade="BF"/>
    </w:rPr>
  </w:style>
  <w:style w:type="character" w:styleId="IntenseReference">
    <w:name w:val="Intense Reference"/>
    <w:basedOn w:val="DefaultParagraphFont"/>
    <w:uiPriority w:val="32"/>
    <w:qFormat/>
    <w:rsid w:val="0086286D"/>
    <w:rPr>
      <w:b/>
      <w:bCs/>
      <w:smallCaps/>
      <w:color w:val="2F5496" w:themeColor="accent1" w:themeShade="BF"/>
      <w:spacing w:val="5"/>
    </w:rPr>
  </w:style>
  <w:style w:type="character" w:styleId="PlaceholderText">
    <w:name w:val="Placeholder Text"/>
    <w:basedOn w:val="DefaultParagraphFont"/>
    <w:uiPriority w:val="99"/>
    <w:semiHidden/>
    <w:rsid w:val="00E8108E"/>
    <w:rPr>
      <w:color w:val="666666"/>
    </w:rPr>
  </w:style>
  <w:style w:type="character" w:styleId="Hyperlink">
    <w:name w:val="Hyperlink"/>
    <w:basedOn w:val="DefaultParagraphFont"/>
    <w:uiPriority w:val="99"/>
    <w:unhideWhenUsed/>
    <w:rsid w:val="002606F4"/>
    <w:rPr>
      <w:color w:val="0563C1" w:themeColor="hyperlink"/>
      <w:u w:val="single"/>
    </w:rPr>
  </w:style>
  <w:style w:type="character" w:styleId="UnresolvedMention">
    <w:name w:val="Unresolved Mention"/>
    <w:basedOn w:val="DefaultParagraphFont"/>
    <w:uiPriority w:val="99"/>
    <w:semiHidden/>
    <w:unhideWhenUsed/>
    <w:rsid w:val="002606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83524">
      <w:bodyDiv w:val="1"/>
      <w:marLeft w:val="0"/>
      <w:marRight w:val="0"/>
      <w:marTop w:val="0"/>
      <w:marBottom w:val="0"/>
      <w:divBdr>
        <w:top w:val="none" w:sz="0" w:space="0" w:color="auto"/>
        <w:left w:val="none" w:sz="0" w:space="0" w:color="auto"/>
        <w:bottom w:val="none" w:sz="0" w:space="0" w:color="auto"/>
        <w:right w:val="none" w:sz="0" w:space="0" w:color="auto"/>
      </w:divBdr>
    </w:div>
    <w:div w:id="219176720">
      <w:bodyDiv w:val="1"/>
      <w:marLeft w:val="0"/>
      <w:marRight w:val="0"/>
      <w:marTop w:val="0"/>
      <w:marBottom w:val="0"/>
      <w:divBdr>
        <w:top w:val="none" w:sz="0" w:space="0" w:color="auto"/>
        <w:left w:val="none" w:sz="0" w:space="0" w:color="auto"/>
        <w:bottom w:val="none" w:sz="0" w:space="0" w:color="auto"/>
        <w:right w:val="none" w:sz="0" w:space="0" w:color="auto"/>
      </w:divBdr>
    </w:div>
    <w:div w:id="382484842">
      <w:bodyDiv w:val="1"/>
      <w:marLeft w:val="0"/>
      <w:marRight w:val="0"/>
      <w:marTop w:val="0"/>
      <w:marBottom w:val="0"/>
      <w:divBdr>
        <w:top w:val="none" w:sz="0" w:space="0" w:color="auto"/>
        <w:left w:val="none" w:sz="0" w:space="0" w:color="auto"/>
        <w:bottom w:val="none" w:sz="0" w:space="0" w:color="auto"/>
        <w:right w:val="none" w:sz="0" w:space="0" w:color="auto"/>
      </w:divBdr>
    </w:div>
    <w:div w:id="465514786">
      <w:bodyDiv w:val="1"/>
      <w:marLeft w:val="0"/>
      <w:marRight w:val="0"/>
      <w:marTop w:val="0"/>
      <w:marBottom w:val="0"/>
      <w:divBdr>
        <w:top w:val="none" w:sz="0" w:space="0" w:color="auto"/>
        <w:left w:val="none" w:sz="0" w:space="0" w:color="auto"/>
        <w:bottom w:val="none" w:sz="0" w:space="0" w:color="auto"/>
        <w:right w:val="none" w:sz="0" w:space="0" w:color="auto"/>
      </w:divBdr>
    </w:div>
    <w:div w:id="719016391">
      <w:bodyDiv w:val="1"/>
      <w:marLeft w:val="0"/>
      <w:marRight w:val="0"/>
      <w:marTop w:val="0"/>
      <w:marBottom w:val="0"/>
      <w:divBdr>
        <w:top w:val="none" w:sz="0" w:space="0" w:color="auto"/>
        <w:left w:val="none" w:sz="0" w:space="0" w:color="auto"/>
        <w:bottom w:val="none" w:sz="0" w:space="0" w:color="auto"/>
        <w:right w:val="none" w:sz="0" w:space="0" w:color="auto"/>
      </w:divBdr>
      <w:divsChild>
        <w:div w:id="668945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534173">
      <w:bodyDiv w:val="1"/>
      <w:marLeft w:val="0"/>
      <w:marRight w:val="0"/>
      <w:marTop w:val="0"/>
      <w:marBottom w:val="0"/>
      <w:divBdr>
        <w:top w:val="none" w:sz="0" w:space="0" w:color="auto"/>
        <w:left w:val="none" w:sz="0" w:space="0" w:color="auto"/>
        <w:bottom w:val="none" w:sz="0" w:space="0" w:color="auto"/>
        <w:right w:val="none" w:sz="0" w:space="0" w:color="auto"/>
      </w:divBdr>
    </w:div>
    <w:div w:id="1400906563">
      <w:bodyDiv w:val="1"/>
      <w:marLeft w:val="0"/>
      <w:marRight w:val="0"/>
      <w:marTop w:val="0"/>
      <w:marBottom w:val="0"/>
      <w:divBdr>
        <w:top w:val="none" w:sz="0" w:space="0" w:color="auto"/>
        <w:left w:val="none" w:sz="0" w:space="0" w:color="auto"/>
        <w:bottom w:val="none" w:sz="0" w:space="0" w:color="auto"/>
        <w:right w:val="none" w:sz="0" w:space="0" w:color="auto"/>
      </w:divBdr>
      <w:divsChild>
        <w:div w:id="1223323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48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icpsr.org/openicpsr/project/116059/version/V1/view"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astebin.com/WDzppdZx" TargetMode="External"/><Relationship Id="rId4" Type="http://schemas.openxmlformats.org/officeDocument/2006/relationships/webSettings" Target="webSettings.xml"/><Relationship Id="rId9" Type="http://schemas.openxmlformats.org/officeDocument/2006/relationships/hyperlink" Target="https://www.jstor.org/stable/pdf/41327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3740</TotalTime>
  <Pages>7</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Suvid Singhal</dc:creator>
  <cp:keywords/>
  <dc:description/>
  <cp:lastModifiedBy>Suvid Singhal</cp:lastModifiedBy>
  <cp:revision>89</cp:revision>
  <cp:lastPrinted>2025-02-15T14:07:00Z</cp:lastPrinted>
  <dcterms:created xsi:type="dcterms:W3CDTF">2025-02-12T16:16:00Z</dcterms:created>
  <dcterms:modified xsi:type="dcterms:W3CDTF">2025-04-27T16:25:00Z</dcterms:modified>
</cp:coreProperties>
</file>