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0172B6"/>
        </w:pBdr>
        <w:spacing w:after="40"/>
      </w:pPr>
      <w:r>
        <w:rPr>
          <w:b/>
          <w:i w:val="0"/>
          <w:color w:val="2C3E50"/>
          <w:sz w:val="38"/>
        </w:rPr>
        <w:t>Credit Risk Portfolio Monitor</w:t>
      </w:r>
      <w:r>
        <w:rPr>
          <w:b w:val="0"/>
          <w:i w:val="0"/>
          <w:color w:val="0172B6"/>
          <w:sz w:val="24"/>
        </w:rPr>
        <w:t xml:space="preserve">   Product Brief</w:t>
      </w:r>
    </w:p>
    <w:p>
      <w:pPr>
        <w:spacing w:after="20"/>
      </w:pPr>
      <w:r>
        <w:rPr>
          <w:b w:val="0"/>
          <w:i/>
          <w:color w:val="64748B"/>
          <w:sz w:val="20"/>
        </w:rPr>
        <w:t>See where portfolio risk sits, score every loan account with reasons, and surface accounts that behave unusually - in one dashboard.</w:t>
      </w:r>
    </w:p>
    <w:p>
      <w:r>
        <w:rPr>
          <w:b w:val="0"/>
          <w:i/>
          <w:color w:val="64748B"/>
          <w:sz w:val="16"/>
        </w:rPr>
        <w:t>Written for: bank credit-risk leadership (CRO, Head of Portfolio Risk, Head of Collections) deciding whether to pilot this. Figures are from the synthetic 14,685-account, $601M portfolio.</w:t>
      </w:r>
    </w:p>
    <w:p>
      <w:pPr>
        <w:keepNext/>
        <w:spacing w:before="120" w:after="40"/>
        <w:pBdr>
          <w:bottom w:val="single" w:sz="4" w:space="1" w:color="E2E8F0"/>
        </w:pBdr>
      </w:pPr>
      <w:r>
        <w:rPr>
          <w:b/>
          <w:i w:val="0"/>
          <w:color w:val="0172B6"/>
          <w:sz w:val="19"/>
        </w:rPr>
        <w:t>THE PROBLEM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Risk is seen late and in pieces. </w:t>
      </w:r>
      <w:r>
        <w:rPr>
          <w:b w:val="0"/>
          <w:i w:val="0"/>
          <w:sz w:val="19"/>
        </w:rPr>
        <w:t>Customer, loan, bureau, repayment and collections data live in five tables. Joining them is manual, so the book is reviewed in static reports - often after accounts are already delinquent.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Concentrations are hidden. </w:t>
      </w:r>
      <w:r>
        <w:rPr>
          <w:b w:val="0"/>
          <w:i w:val="0"/>
          <w:sz w:val="19"/>
        </w:rPr>
        <w:t>Mortgages are 10% of accounts but 52% of exposure and 65% of defaulted exposure. Customers earning under $60k are 22% of exposure but 34% of defaulted exposure. Interest rates are flat (11.8-12.0%) across income bands whose default rates range from 9.5% to 32%.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Scores without reasons, alerts without priority. </w:t>
      </w:r>
      <w:r>
        <w:rPr>
          <w:b w:val="0"/>
          <w:i w:val="0"/>
          <w:sz w:val="19"/>
        </w:rPr>
        <w:t>Reviewers cannot see why an account is risky, and early-warning signals arrive unranked - there is no work queue sized to analyst capacity.</w:t>
      </w:r>
    </w:p>
    <w:p>
      <w:pPr>
        <w:keepNext/>
        <w:spacing w:before="120" w:after="40"/>
        <w:pBdr>
          <w:bottom w:val="single" w:sz="4" w:space="1" w:color="E2E8F0"/>
        </w:pBdr>
      </w:pPr>
      <w:r>
        <w:rPr>
          <w:b/>
          <w:i w:val="0"/>
          <w:color w:val="0172B6"/>
          <w:sz w:val="19"/>
        </w:rPr>
        <w:t>TARGET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364"/>
        <w:gridCol w:w="3364"/>
        <w:gridCol w:w="3364"/>
      </w:tblGrid>
      <w:tr>
        <w:tc>
          <w:tcPr>
            <w:tcW w:type="dxa" w:w="2948"/>
            <w:shd w:val="clear" w:color="auto" w:fill="E8F4FC"/>
          </w:tcPr>
          <w:p>
            <w:r/>
            <w:r>
              <w:rPr>
                <w:b/>
                <w:i w:val="0"/>
                <w:color w:val="2C3E50"/>
                <w:sz w:val="18"/>
              </w:rPr>
              <w:t>User</w:t>
            </w:r>
          </w:p>
        </w:tc>
        <w:tc>
          <w:tcPr>
            <w:tcW w:type="dxa" w:w="4535"/>
            <w:shd w:val="clear" w:color="auto" w:fill="E8F4FC"/>
          </w:tcPr>
          <w:p>
            <w:r/>
            <w:r>
              <w:rPr>
                <w:b/>
                <w:i w:val="0"/>
                <w:color w:val="2C3E50"/>
                <w:sz w:val="18"/>
              </w:rPr>
              <w:t>Job to be done</w:t>
            </w:r>
          </w:p>
        </w:tc>
        <w:tc>
          <w:tcPr>
            <w:tcW w:type="dxa" w:w="2608"/>
            <w:shd w:val="clear" w:color="auto" w:fill="E8F4FC"/>
          </w:tcPr>
          <w:p>
            <w:r/>
            <w:r>
              <w:rPr>
                <w:b/>
                <w:i w:val="0"/>
                <w:color w:val="2C3E50"/>
                <w:sz w:val="18"/>
              </w:rPr>
              <w:t>Uses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i w:val="0"/>
                <w:color w:val="2C3E50"/>
                <w:sz w:val="18"/>
              </w:rPr>
              <w:t>Portfolio risk analyst  (primary, daily)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Find risky segments, explain one account's score, work the alert queue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Portfolio and Account views, Anomaly 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i w:val="0"/>
                <w:color w:val="2C3E50"/>
                <w:sz w:val="18"/>
              </w:rPr>
              <w:t>CRO / Head of Credit Risk  (decision-maker, monthly)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Know concentrations, risk-band mix and model health; set appetite and limits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Portfolio view, model card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i w:val="0"/>
                <w:color w:val="2C3E50"/>
                <w:sz w:val="18"/>
              </w:rPr>
              <w:t>Collections early-warning lead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Receive confirmed escalations and act on them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Anomaly review outcomes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i w:val="0"/>
                <w:color w:val="2C3E50"/>
                <w:sz w:val="18"/>
              </w:rPr>
              <w:t>Model risk and compliance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Check leakage, fairness and the audit trail before sign-off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Model card, assumptions log, audit log</w:t>
            </w:r>
          </w:p>
        </w:tc>
      </w:tr>
    </w:tbl>
    <w:p>
      <w:pPr>
        <w:keepNext/>
        <w:spacing w:before="120" w:after="40"/>
        <w:pBdr>
          <w:bottom w:val="single" w:sz="4" w:space="1" w:color="E2E8F0"/>
        </w:pBdr>
      </w:pPr>
      <w:r>
        <w:rPr>
          <w:b/>
          <w:i w:val="0"/>
          <w:color w:val="0172B6"/>
          <w:sz w:val="19"/>
        </w:rPr>
        <w:t>WHAT IT DOES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One clean dataset. </w:t>
      </w:r>
      <w:r>
        <w:rPr>
          <w:b w:val="0"/>
          <w:i w:val="0"/>
          <w:sz w:val="19"/>
        </w:rPr>
        <w:t>Five tables joined to one row per loan account; every data-quality fix is logged with its count and treatment.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A risk score with reasons. </w:t>
      </w:r>
      <w:r>
        <w:rPr>
          <w:b w:val="0"/>
          <w:i w:val="0"/>
          <w:sz w:val="19"/>
        </w:rPr>
        <w:t>Probability of default (XGBoost, with a logistic-regression benchmark) and SHAP drivers per account. Test AUC 0.68, KS 0.28 - moderate, but well calibrated: the High and Very High bands hold 25% of accounts, 41% of exposure and 65% of defaulted exposure (30% default vs 8% in the Low band).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An interactive dashboard. </w:t>
      </w:r>
      <w:r>
        <w:rPr>
          <w:b w:val="0"/>
          <w:i w:val="0"/>
          <w:sz w:val="19"/>
        </w:rPr>
        <w:t>Portfolio view (risk bands, exposure, filters, drill-down, cross-cuts, vintage trends) and Account view (score, drivers, 12-month repayment, bureau lines).</w:t>
      </w:r>
    </w:p>
    <w:p>
      <w:pPr>
        <w:spacing w:after="30"/>
        <w:ind w:left="215" w:hanging="170"/>
      </w:pPr>
      <w:r>
        <w:rPr>
          <w:b w:val="0"/>
          <w:i w:val="0"/>
          <w:color w:val="0172B6"/>
          <w:sz w:val="19"/>
        </w:rPr>
        <w:t xml:space="preserve">•  </w:t>
      </w:r>
      <w:r>
        <w:rPr>
          <w:b/>
          <w:i w:val="0"/>
          <w:color w:val="2C3E50"/>
          <w:sz w:val="19"/>
        </w:rPr>
        <w:t xml:space="preserve">An embedded AI feature - Anomaly watch. </w:t>
      </w:r>
      <w:r>
        <w:rPr>
          <w:b w:val="0"/>
          <w:i w:val="0"/>
          <w:sz w:val="19"/>
        </w:rPr>
        <w:t>Three unsupervised detectors (own-history DPD spike, peer-segment outlier, bureau-vs-repayment divergence) feed a ranked review queue. An analyst confirms or dismisses each alert and every decision is logged. Nothing is automated.</w:t>
      </w:r>
    </w:p>
    <w:p>
      <w:pPr>
        <w:keepNext/>
        <w:spacing w:before="120" w:after="40"/>
        <w:pBdr>
          <w:bottom w:val="single" w:sz="4" w:space="1" w:color="E2E8F0"/>
        </w:pBdr>
      </w:pPr>
      <w:r>
        <w:rPr>
          <w:b/>
          <w:i w:val="0"/>
          <w:color w:val="0172B6"/>
          <w:sz w:val="19"/>
        </w:rPr>
        <w:t>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ayout w:type="fixed"/>
      </w:tblPr>
      <w:tblGrid>
        <w:gridCol w:w="5046"/>
        <w:gridCol w:w="5046"/>
      </w:tblGrid>
      <w:tr>
        <w:tc>
          <w:tcPr>
            <w:tcW w:type="dxa" w:w="5046"/>
            <w:shd w:val="clear" w:color="auto" w:fill="E3F8F1"/>
          </w:tcPr>
          <w:p>
            <w:r/>
            <w:r>
              <w:rPr>
                <w:b/>
                <w:i w:val="0"/>
                <w:color w:val="2BA882"/>
                <w:sz w:val="18"/>
              </w:rPr>
              <w:t>IN - built in this project</w:t>
            </w:r>
          </w:p>
        </w:tc>
        <w:tc>
          <w:tcPr>
            <w:tcW w:type="dxa" w:w="5046"/>
            <w:shd w:val="clear" w:color="auto" w:fill="FEE2E2"/>
          </w:tcPr>
          <w:p>
            <w:r/>
            <w:r>
              <w:rPr>
                <w:b/>
                <w:i w:val="0"/>
                <w:color w:val="991B1B"/>
                <w:sz w:val="18"/>
              </w:rPr>
              <w:t>OUT - not built, not claimed</w:t>
            </w:r>
          </w:p>
        </w:tc>
      </w:tr>
      <w:tr>
        <w:tc>
          <w:tcPr>
            <w:tcW w:type="dxa" w:w="5046"/>
            <w:shd w:val="clear" w:color="auto" w:fill="F8FAFC"/>
          </w:tcPr>
          <w:p>
            <w:pPr>
              <w:spacing w:after="30"/>
              <w:ind w:left="170" w:hanging="170"/>
            </w:pPr>
            <w:r/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Ingestion, validation and data-quality handling for all 5 tables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Portfolio analytics: income, employment, region, age, loan type, cross-cuts, 5 insights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PD model: baseline + XGBoost, AUC / KS / Gini, SHAP, calibration, fairness check, PSI / CSI monitoring plan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Streamlit dashboard with filters, drill-down and account view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Anomaly watch with human review and audit log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Model card, assumptions log, architecture diagrams, pitch deck</w:t>
            </w:r>
          </w:p>
        </w:tc>
        <w:tc>
          <w:tcPr>
            <w:tcW w:type="dxa" w:w="5046"/>
            <w:shd w:val="clear" w:color="auto" w:fill="F8FAFC"/>
          </w:tcPr>
          <w:p>
            <w:pPr>
              <w:spacing w:after="30"/>
              <w:ind w:left="170" w:hanging="170"/>
            </w:pPr>
            <w:r/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Automated credit decisions (auto-decline, repricing, limit changes)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Loss given default, expected-loss or provisioning numbers (no recovery data)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Calendar-time forecasting (repayment months carry no dates)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Production integration: core-banking feeds, SSO, case management, real-time scoring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LLM "Ask the Portfolio" chat (anomaly detection chosen instead)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 w:val="0"/>
                <w:i w:val="0"/>
                <w:sz w:val="18"/>
              </w:rPr>
              <w:t>Regulatory model validation and sign-off</w:t>
            </w:r>
          </w:p>
        </w:tc>
      </w:tr>
    </w:tbl>
    <w:p>
      <w:pPr>
        <w:keepNext/>
        <w:spacing w:before="120" w:after="40"/>
        <w:pBdr>
          <w:bottom w:val="single" w:sz="4" w:space="1" w:color="E2E8F0"/>
        </w:pBdr>
      </w:pPr>
      <w:r>
        <w:rPr>
          <w:b/>
          <w:i w:val="0"/>
          <w:color w:val="0172B6"/>
          <w:sz w:val="19"/>
        </w:rPr>
        <w:t>PILOT SUCCESS MEASURES AND GUARDRAILS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20" w:type="dxa"/>
          <w:left w:w="0" w:type="dxa"/>
          <w:bottom w:w="20" w:type="dxa"/>
          <w:right w:w="110" w:type="dxa"/>
        </w:tblCellMar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b/>
                <w:i w:val="0"/>
                <w:color w:val="2C3E50"/>
                <w:sz w:val="18"/>
              </w:rPr>
              <w:t>How we would know it works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Time to answer "where is the risk and why?" </w:t>
            </w:r>
            <w:r>
              <w:rPr>
                <w:b w:val="0"/>
                <w:i w:val="0"/>
                <w:sz w:val="18"/>
              </w:rPr>
              <w:t>- baseline vs pilot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Alert confirm rate by detector </w:t>
            </w:r>
            <w:r>
              <w:rPr>
                <w:b w:val="0"/>
                <w:i w:val="0"/>
                <w:sz w:val="18"/>
              </w:rPr>
              <w:t>- retune any detector dismissed &gt; 70% of the time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Score stability </w:t>
            </w:r>
            <w:r>
              <w:rPr>
                <w:b w:val="0"/>
                <w:i w:val="0"/>
                <w:sz w:val="18"/>
              </w:rPr>
              <w:t>- PSI &lt; 0.10; an AUC drop &gt; 0.03 triggers review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Defaulted exposure in High + Very High bands </w:t>
            </w:r>
            <w:r>
              <w:rPr>
                <w:b w:val="0"/>
                <w:i w:val="0"/>
                <w:sz w:val="18"/>
              </w:rPr>
              <w:t>- 65% in this back-test</w:t>
            </w:r>
          </w:p>
        </w:tc>
        <w:tc>
          <w:tcPr>
            <w:tcW w:type="dxa" w:w="5046"/>
          </w:tcPr>
          <w:p>
            <w:r/>
            <w:r>
              <w:rPr>
                <w:b/>
                <w:i w:val="0"/>
                <w:color w:val="2C3E50"/>
                <w:sz w:val="18"/>
              </w:rPr>
              <w:t>Risks and guardrails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Moderate discrimination </w:t>
            </w:r>
            <w:r>
              <w:rPr>
                <w:b w:val="0"/>
                <w:i w:val="0"/>
                <w:sz w:val="18"/>
              </w:rPr>
              <w:t>(AUC 0.68 on noisy synthetic data) - validate on real data before relying on it.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Default definition is assumed </w:t>
            </w:r>
            <w:r>
              <w:rPr>
                <w:b w:val="0"/>
                <w:i w:val="0"/>
                <w:sz w:val="18"/>
              </w:rPr>
              <w:t>(flag treated as an outcome after month 12) - the bank must confirm.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Age is a model input </w:t>
            </w:r>
            <w:r>
              <w:rPr>
                <w:b w:val="0"/>
                <w:i w:val="0"/>
                <w:sz w:val="18"/>
              </w:rPr>
              <w:t>- needs a compliance ruling; gender and marital status are excluded and fairness-tested.</w:t>
            </w:r>
          </w:p>
          <w:p>
            <w:pPr>
              <w:spacing w:after="30"/>
              <w:ind w:left="170" w:hanging="170"/>
            </w:pPr>
            <w:r>
              <w:rPr>
                <w:b w:val="0"/>
                <w:i w:val="0"/>
                <w:color w:val="0172B6"/>
                <w:sz w:val="18"/>
              </w:rPr>
              <w:t xml:space="preserve">•  </w:t>
            </w:r>
            <w:r>
              <w:rPr>
                <w:b/>
                <w:i w:val="0"/>
                <w:color w:val="2C3E50"/>
                <w:sz w:val="18"/>
              </w:rPr>
              <w:t xml:space="preserve">Alerts never act </w:t>
            </w:r>
            <w:r>
              <w:rPr>
                <w:b w:val="0"/>
                <w:i w:val="0"/>
                <w:sz w:val="18"/>
              </w:rPr>
              <w:t>- they cannot change a score, decline credit or contact a customer.</w:t>
            </w:r>
          </w:p>
        </w:tc>
      </w:tr>
    </w:tbl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