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NORTHBRIDGE HOSPITALS - CARDIOLOGY</w:t>
      </w:r>
    </w:p>
    <w:p>
      <w:r>
        <w:rPr>
          <w:b/>
        </w:rPr>
        <w:t>SYNTHETIC SAMPLE REPORT - FICTIONAL PATIENT - NOT REAL PATIENT DATA</w:t>
      </w:r>
    </w:p>
    <w:p>
      <w:r>
        <w:t>Patient: Grace Okafor (fictional)</w:t>
      </w:r>
    </w:p>
    <w:p>
      <w:r>
        <w:t>Age: 52</w:t>
      </w:r>
    </w:p>
    <w:p>
      <w:r>
        <w:t>NHS number: 999 012 3456 (test range)</w:t>
      </w:r>
    </w:p>
    <w:p>
      <w:r>
        <w:t>Date of report: 21 Oct 2026</w:t>
      </w:r>
    </w:p>
    <w:p>
      <w:r>
        <w:t>Referrer: Breast oncology, Northbridge Hospitals</w:t>
      </w:r>
    </w:p>
    <w:p/>
    <w:p>
      <w:r>
        <w:t>Transthoracic echocardiogram.</w:t>
      </w:r>
    </w:p>
    <w:p>
      <w:r>
        <w:t>Clinical indication: HER2-positive breast cancer on trastuzumab; 3-monthly cardiac surveillance.</w:t>
      </w:r>
    </w:p>
    <w:p>
      <w:r>
        <w:t>Findings: Left ventricle normal in size. LVEF 54% (baseline 60%). Global longitudinal strain -18%. No regional wall motion abnormality. No pericardial effusion.</w:t>
      </w:r>
    </w:p>
    <w:p>
      <w:r>
        <w:t>Conclusion: LVEF within normal limits with a modest fall from baseline. Continue trastuzumab.</w:t>
      </w:r>
    </w:p>
    <w:p>
      <w:r>
        <w:t>Recommendation: Repeat echocardiogram in 12 weeks; this will be performed at Valeford Hospitals cardio-oncology service.</w:t>
      </w:r>
    </w:p>
    <w:p/>
    <w:p>
      <w:r>
        <w:t>Reported by: Dr A. Example, Consultant Cardiologist (fictional)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