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97D"/>
          <w:sz w:val="36"/>
        </w:rPr>
        <w:t>Detailed Comparison Report: Physics-Guided Neural Network</w:t>
        <w:br/>
        <w:t>for Suspended Sediment Prediction at Jalkundi Station,</w:t>
        <w:br/>
        <w:t>West Rapti River, Nepal</w:t>
      </w:r>
    </w:p>
    <w:p/>
    <w:p>
      <w:pPr>
        <w:jc w:val="center"/>
      </w:pPr>
      <w:r>
        <w:rPr>
          <w:rFonts w:ascii="Arial" w:hAnsi="Arial"/>
          <w:i/>
          <w:color w:val="444444"/>
          <w:sz w:val="24"/>
        </w:rPr>
        <w:t>Benchmarking Against Published Literature — Key Novelties and Improvement Roadmap</w:t>
        <w:br/>
        <w:t>Prepared for Journal of Hydrology Submission</w:t>
      </w:r>
    </w:p>
    <w:p/>
    <w:p>
      <w:pPr>
        <w:jc w:val="center"/>
      </w:pPr>
      <w:r>
        <w:rPr>
          <w:rFonts w:ascii="Arial" w:hAnsi="Arial"/>
          <w:sz w:val="22"/>
        </w:rPr>
        <w:t>March 2026</w:t>
      </w:r>
    </w:p>
    <w:p>
      <w:r>
        <w:br w:type="page"/>
      </w:r>
    </w:p>
    <w:p>
      <w:pPr>
        <w:pStyle w:val="Heading1"/>
        <w:jc w:val="left"/>
      </w:pPr>
      <w:r>
        <w:rPr>
          <w:rFonts w:ascii="Arial" w:hAnsi="Arial"/>
          <w:color w:val="1F497D"/>
          <w:sz w:val="32"/>
        </w:rPr>
        <w:t>1. Executive Summary</w:t>
      </w:r>
    </w:p>
    <w:p>
      <w:r>
        <w:rPr>
          <w:rFonts w:ascii="Arial" w:hAnsi="Arial"/>
          <w:b w:val="0"/>
          <w:i w:val="0"/>
          <w:sz w:val="22"/>
        </w:rPr>
        <w:t>This report presents a detailed performance evaluation of a Physics-Guided Neural Network (PGNN) developed for daily Suspended Sediment Concentration (SSC) and Suspended Sediment Load (SSL) prediction at Jalkundi gauging station on the West Rapti River, Nepal. The PGNN architecture employs a dual-regime physics constraint framework combining the Yang sediment transport capacity as a physically meaningful ceiling and a wash-load floor constraint, embedded within a residual MLP trained in log-space. Results are benchmarked against five competing machine learning models trained on the same dataset and contextualised against published sediment prediction studies on Himalayan and other monsoon-driven rivers.</w:t>
      </w:r>
    </w:p>
    <w:p/>
    <w:p>
      <w:r>
        <w:rPr>
          <w:rFonts w:ascii="Arial" w:hAnsi="Arial"/>
          <w:b w:val="0"/>
          <w:i w:val="0"/>
          <w:sz w:val="22"/>
        </w:rPr>
        <w:t>The PGNN achieves a test-set R² = 0.644 and NSE = 0.644 for SSC, and R² = 0.796 (NSE = 0.796) for SSL — the best performance among all tested architectures — with a remarkably low percent bias of −2.62% (SSC) and −2.96% (SSL). These metrics are competitive with or exceed the best published results for daily SSC prediction on comparable Himalayan catchments, while also introducing novel physics-informed regularisation that has not previously been applied to Nepali river systems.</w:t>
      </w:r>
    </w:p>
    <w:p/>
    <w:p>
      <w:pPr>
        <w:pStyle w:val="Heading1"/>
        <w:jc w:val="left"/>
      </w:pPr>
      <w:r>
        <w:rPr>
          <w:rFonts w:ascii="Arial" w:hAnsi="Arial"/>
          <w:color w:val="1F497D"/>
          <w:sz w:val="32"/>
        </w:rPr>
        <w:t>2. Study Overview</w:t>
      </w:r>
    </w:p>
    <w:p>
      <w:pPr>
        <w:pStyle w:val="Heading2"/>
        <w:jc w:val="left"/>
      </w:pPr>
      <w:r>
        <w:rPr>
          <w:rFonts w:ascii="Arial" w:hAnsi="Arial"/>
          <w:color w:val="2E74B5"/>
          <w:sz w:val="26"/>
        </w:rPr>
        <w:t>2.1  Site and Data</w:t>
      </w:r>
    </w:p>
    <w:p>
      <w:r>
        <w:rPr>
          <w:rFonts w:ascii="Arial" w:hAnsi="Arial"/>
          <w:b w:val="0"/>
          <w:i w:val="0"/>
          <w:sz w:val="22"/>
        </w:rPr>
        <w:t>Jalkundi station is a key hydrometric point on the West Rapti River, a major tributary of the Ganga flowing through the Terai lowlands of mid-western Nepal. The West Rapti catchment is characterised by steep Himalayan headwaters, high monsoon sediment loads, and pronounced discharge–SSC hysteresis. The dataset comprises daily observations of discharge (m³/s), rainfall (mm), SSC (mg/L), and supporting hydraulic/physical variables (flow depth, velocity, slope, d50) spanning multiple years. After preprocessing and feature engineering, ~1,273 complete daily samples are available, split by water year into training, validation, and test sets.</w:t>
      </w:r>
    </w:p>
    <w:p/>
    <w:p>
      <w:pPr>
        <w:pStyle w:val="Heading2"/>
        <w:jc w:val="left"/>
      </w:pPr>
      <w:r>
        <w:rPr>
          <w:rFonts w:ascii="Arial" w:hAnsi="Arial"/>
          <w:color w:val="2E74B5"/>
          <w:sz w:val="26"/>
        </w:rPr>
        <w:t>2.2  PGNN Architecture</w:t>
      </w:r>
    </w:p>
    <w:p>
      <w:r>
        <w:rPr>
          <w:rFonts w:ascii="Arial" w:hAnsi="Arial"/>
          <w:b w:val="0"/>
          <w:i w:val="0"/>
          <w:sz w:val="22"/>
        </w:rPr>
        <w:t>The primary model (PGNN / PINN Dual-Regime) is a residual Multi-Layer Perceptron with the following key design decisions, each driven by systematic model-selection analysis:</w:t>
      </w:r>
    </w:p>
    <w:p>
      <w:pPr>
        <w:pStyle w:val="ListBullet"/>
        <w:ind w:left="576"/>
      </w:pPr>
      <w:r>
        <w:rPr>
          <w:rFonts w:ascii="Arial" w:hAnsi="Arial"/>
          <w:b/>
          <w:i w:val="0"/>
          <w:sz w:val="22"/>
        </w:rPr>
        <w:t xml:space="preserve">Log-space training: </w:t>
      </w:r>
      <w:r>
        <w:rPr>
          <w:rFonts w:ascii="Arial" w:hAnsi="Arial"/>
          <w:b w:val="0"/>
          <w:i w:val="0"/>
          <w:sz w:val="22"/>
        </w:rPr>
        <w:t>logQ and logSSC are used as input/output targets. The Q–SSC correlation rises from r = 0.393 (raw) to r = 0.527 (log-transformed), markedly improving learnability.</w:t>
      </w:r>
    </w:p>
    <w:p>
      <w:pPr>
        <w:pStyle w:val="ListBullet"/>
        <w:ind w:left="576"/>
      </w:pPr>
      <w:r>
        <w:rPr>
          <w:rFonts w:ascii="Arial" w:hAnsi="Arial"/>
          <w:b/>
          <w:i w:val="0"/>
          <w:sz w:val="22"/>
        </w:rPr>
        <w:t xml:space="preserve">Feature set (19 features): </w:t>
      </w:r>
      <w:r>
        <w:rPr>
          <w:rFonts w:ascii="Arial" w:hAnsi="Arial"/>
          <w:b w:val="0"/>
          <w:i w:val="0"/>
          <w:sz w:val="22"/>
        </w:rPr>
        <w:t>Core discharge predictors (logQ, logQ_lag1/2, dQ, Q_ratio, rising_flag), rainfall and antecedent precipitation index (API, P_MA7), seasonal embeddings (sin/cos day-of-year, monsoon_flag, Q_cumsum_wy), and the log-discharge term for rating-curve residual learning.</w:t>
      </w:r>
    </w:p>
    <w:p>
      <w:pPr>
        <w:pStyle w:val="ListBullet"/>
        <w:ind w:left="576"/>
      </w:pPr>
      <w:r>
        <w:rPr>
          <w:rFonts w:ascii="Arial" w:hAnsi="Arial"/>
          <w:b/>
          <w:i w:val="0"/>
          <w:sz w:val="22"/>
        </w:rPr>
        <w:t xml:space="preserve">SSC autoregressive lags: </w:t>
      </w:r>
      <w:r>
        <w:rPr>
          <w:rFonts w:ascii="Arial" w:hAnsi="Arial"/>
          <w:b w:val="0"/>
          <w:i w:val="0"/>
          <w:sz w:val="22"/>
        </w:rPr>
        <w:t>logSSC_lag1, logSSC_lag2, and dSSC_lag1 are included. Model-selection experiments confirm these contribute +0.5 NSE over all architectures, reflecting sediment 'memory' in monsoon-driven systems.</w:t>
      </w:r>
    </w:p>
    <w:p>
      <w:pPr>
        <w:pStyle w:val="ListBullet"/>
        <w:ind w:left="576"/>
      </w:pPr>
      <w:r>
        <w:rPr>
          <w:rFonts w:ascii="Arial" w:hAnsi="Arial"/>
          <w:b/>
          <w:i w:val="0"/>
          <w:sz w:val="22"/>
        </w:rPr>
        <w:t xml:space="preserve">Dual-regime physics constraints: </w:t>
      </w:r>
      <w:r>
        <w:rPr>
          <w:rFonts w:ascii="Arial" w:hAnsi="Arial"/>
          <w:b w:val="0"/>
          <w:i w:val="0"/>
          <w:sz w:val="22"/>
        </w:rPr>
        <w:t>(i) Wash-load floor — SSC ≥ 3 mg/L at low flow; (ii) Yang (1996) sediment transport capacity ceiling applied during high-flow/monsoon conditions; (iii) mass balance constraint tying daily SSL to the product of SSC × Q.</w:t>
      </w:r>
    </w:p>
    <w:p>
      <w:pPr>
        <w:pStyle w:val="ListBullet"/>
        <w:ind w:left="576"/>
      </w:pPr>
      <w:r>
        <w:rPr>
          <w:rFonts w:ascii="Arial" w:hAnsi="Arial"/>
          <w:b/>
          <w:i w:val="0"/>
          <w:sz w:val="22"/>
        </w:rPr>
        <w:t xml:space="preserve">Two-stage training: </w:t>
      </w:r>
      <w:r>
        <w:rPr>
          <w:rFonts w:ascii="Arial" w:hAnsi="Arial"/>
          <w:b w:val="0"/>
          <w:i w:val="0"/>
          <w:sz w:val="22"/>
        </w:rPr>
        <w:t>Stage 1 is purely data-driven (Huber loss); Stage 2 introduces physics penalty terms with ultra-light weights (λ ≤ 0.001) so that the data loss dominates (&gt;95%).</w:t>
      </w:r>
    </w:p>
    <w:p>
      <w:pPr>
        <w:pStyle w:val="ListBullet"/>
        <w:ind w:left="576"/>
      </w:pPr>
      <w:r>
        <w:rPr>
          <w:rFonts w:ascii="Arial" w:hAnsi="Arial"/>
          <w:b/>
          <w:i w:val="0"/>
          <w:sz w:val="22"/>
        </w:rPr>
        <w:t xml:space="preserve">Interpretability: </w:t>
      </w:r>
      <w:r>
        <w:rPr>
          <w:rFonts w:ascii="Arial" w:hAnsi="Arial"/>
          <w:b w:val="0"/>
          <w:i w:val="0"/>
          <w:sz w:val="22"/>
        </w:rPr>
        <w:t>SHAP feature importance is computed post-training to rank predictor contributions.</w:t>
      </w:r>
    </w:p>
    <w:p/>
    <w:p>
      <w:pPr>
        <w:pStyle w:val="Heading1"/>
        <w:jc w:val="left"/>
      </w:pPr>
      <w:r>
        <w:rPr>
          <w:rFonts w:ascii="Arial" w:hAnsi="Arial"/>
          <w:color w:val="1F497D"/>
          <w:sz w:val="32"/>
        </w:rPr>
        <w:t>3. Internal Model Comparison</w:t>
      </w:r>
    </w:p>
    <w:p>
      <w:r>
        <w:rPr>
          <w:rFonts w:ascii="Arial" w:hAnsi="Arial"/>
          <w:b w:val="0"/>
          <w:i w:val="0"/>
          <w:sz w:val="22"/>
        </w:rPr>
        <w:t>Table 1 summarises performance metrics for all models evaluated on the same test set (held-out water year). Metrics include coefficient of determination (R²), Nash–Sutcliffe Efficiency (NSE), Root Mean Square Error (RMSE in mg/L for SSC and t/day for SSL), and Percent Bias (PBIAS). The PGNN is highlighted.</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232"/>
            <w:shd w:val="clear" w:color="auto" w:fill="1F497D"/>
            <w:vAlign w:val="center"/>
          </w:tcPr>
          <w:p>
            <w:pPr>
              <w:jc w:val="center"/>
            </w:pPr>
            <w:r/>
            <w:r>
              <w:rPr>
                <w:rFonts w:ascii="Arial" w:hAnsi="Arial"/>
                <w:b/>
                <w:i w:val="0"/>
                <w:color w:val="FFFFFF"/>
                <w:sz w:val="18"/>
              </w:rPr>
              <w:t>Model</w:t>
            </w:r>
          </w:p>
        </w:tc>
        <w:tc>
          <w:tcPr>
            <w:tcW w:type="dxa" w:w="1080"/>
            <w:shd w:val="clear" w:color="auto" w:fill="1F497D"/>
            <w:vAlign w:val="center"/>
          </w:tcPr>
          <w:p>
            <w:pPr>
              <w:jc w:val="center"/>
            </w:pPr>
            <w:r/>
            <w:r>
              <w:rPr>
                <w:rFonts w:ascii="Arial" w:hAnsi="Arial"/>
                <w:b/>
                <w:i w:val="0"/>
                <w:color w:val="FFFFFF"/>
                <w:sz w:val="18"/>
              </w:rPr>
              <w:t>Test R²</w:t>
              <w:br/>
              <w:t>(SSC)</w:t>
            </w:r>
          </w:p>
        </w:tc>
        <w:tc>
          <w:tcPr>
            <w:tcW w:type="dxa" w:w="1080"/>
            <w:shd w:val="clear" w:color="auto" w:fill="1F497D"/>
            <w:vAlign w:val="center"/>
          </w:tcPr>
          <w:p>
            <w:pPr>
              <w:jc w:val="center"/>
            </w:pPr>
            <w:r/>
            <w:r>
              <w:rPr>
                <w:rFonts w:ascii="Arial" w:hAnsi="Arial"/>
                <w:b/>
                <w:i w:val="0"/>
                <w:color w:val="FFFFFF"/>
                <w:sz w:val="18"/>
              </w:rPr>
              <w:t>Test NSE</w:t>
              <w:br/>
              <w:t>(SSC)</w:t>
            </w:r>
          </w:p>
        </w:tc>
        <w:tc>
          <w:tcPr>
            <w:tcW w:type="dxa" w:w="1224"/>
            <w:shd w:val="clear" w:color="auto" w:fill="1F497D"/>
            <w:vAlign w:val="center"/>
          </w:tcPr>
          <w:p>
            <w:pPr>
              <w:jc w:val="center"/>
            </w:pPr>
            <w:r/>
            <w:r>
              <w:rPr>
                <w:rFonts w:ascii="Arial" w:hAnsi="Arial"/>
                <w:b/>
                <w:i w:val="0"/>
                <w:color w:val="FFFFFF"/>
                <w:sz w:val="18"/>
              </w:rPr>
              <w:t>RMSE SSC</w:t>
              <w:br/>
              <w:t>(mg/L)</w:t>
            </w:r>
          </w:p>
        </w:tc>
        <w:tc>
          <w:tcPr>
            <w:tcW w:type="dxa" w:w="1152"/>
            <w:shd w:val="clear" w:color="auto" w:fill="1F497D"/>
            <w:vAlign w:val="center"/>
          </w:tcPr>
          <w:p>
            <w:pPr>
              <w:jc w:val="center"/>
            </w:pPr>
            <w:r/>
            <w:r>
              <w:rPr>
                <w:rFonts w:ascii="Arial" w:hAnsi="Arial"/>
                <w:b/>
                <w:i w:val="0"/>
                <w:color w:val="FFFFFF"/>
                <w:sz w:val="18"/>
              </w:rPr>
              <w:t>PBIAS</w:t>
              <w:br/>
              <w:t>SSC (%)</w:t>
            </w:r>
          </w:p>
        </w:tc>
        <w:tc>
          <w:tcPr>
            <w:tcW w:type="dxa" w:w="1080"/>
            <w:shd w:val="clear" w:color="auto" w:fill="1F497D"/>
            <w:vAlign w:val="center"/>
          </w:tcPr>
          <w:p>
            <w:pPr>
              <w:jc w:val="center"/>
            </w:pPr>
            <w:r/>
            <w:r>
              <w:rPr>
                <w:rFonts w:ascii="Arial" w:hAnsi="Arial"/>
                <w:b/>
                <w:i w:val="0"/>
                <w:color w:val="FFFFFF"/>
                <w:sz w:val="18"/>
              </w:rPr>
              <w:t>Test R²</w:t>
              <w:br/>
              <w:t>(SSL)</w:t>
            </w:r>
          </w:p>
        </w:tc>
        <w:tc>
          <w:tcPr>
            <w:tcW w:type="dxa" w:w="1224"/>
            <w:shd w:val="clear" w:color="auto" w:fill="1F497D"/>
            <w:vAlign w:val="center"/>
          </w:tcPr>
          <w:p>
            <w:pPr>
              <w:jc w:val="center"/>
            </w:pPr>
            <w:r/>
            <w:r>
              <w:rPr>
                <w:rFonts w:ascii="Arial" w:hAnsi="Arial"/>
                <w:b/>
                <w:i w:val="0"/>
                <w:color w:val="FFFFFF"/>
                <w:sz w:val="18"/>
              </w:rPr>
              <w:t>RMSE SSL</w:t>
              <w:br/>
              <w:t>(t/day)</w:t>
            </w:r>
          </w:p>
        </w:tc>
      </w:tr>
      <w:tr>
        <w:tc>
          <w:tcPr>
            <w:tcW w:type="dxa" w:w="2232"/>
            <w:shd w:val="clear" w:color="auto" w:fill="DDEEFF"/>
            <w:vAlign w:val="center"/>
          </w:tcPr>
          <w:p>
            <w:pPr>
              <w:jc w:val="center"/>
            </w:pPr>
            <w:r/>
            <w:r>
              <w:rPr>
                <w:rFonts w:ascii="Arial" w:hAnsi="Arial"/>
                <w:b/>
                <w:i w:val="0"/>
                <w:color w:val="1F497D"/>
                <w:sz w:val="18"/>
              </w:rPr>
              <w:t>PGNN (Dual-Regime)*</w:t>
            </w:r>
          </w:p>
        </w:tc>
        <w:tc>
          <w:tcPr>
            <w:tcW w:type="dxa" w:w="1080"/>
            <w:shd w:val="clear" w:color="auto" w:fill="DDEEFF"/>
            <w:vAlign w:val="center"/>
          </w:tcPr>
          <w:p>
            <w:pPr>
              <w:jc w:val="center"/>
            </w:pPr>
            <w:r/>
            <w:r>
              <w:rPr>
                <w:rFonts w:ascii="Arial" w:hAnsi="Arial"/>
                <w:b w:val="0"/>
                <w:i w:val="0"/>
                <w:sz w:val="18"/>
              </w:rPr>
              <w:t>0.644</w:t>
            </w:r>
          </w:p>
        </w:tc>
        <w:tc>
          <w:tcPr>
            <w:tcW w:type="dxa" w:w="1080"/>
            <w:shd w:val="clear" w:color="auto" w:fill="DDEEFF"/>
            <w:vAlign w:val="center"/>
          </w:tcPr>
          <w:p>
            <w:pPr>
              <w:jc w:val="center"/>
            </w:pPr>
            <w:r/>
            <w:r>
              <w:rPr>
                <w:rFonts w:ascii="Arial" w:hAnsi="Arial"/>
                <w:b w:val="0"/>
                <w:i w:val="0"/>
                <w:sz w:val="18"/>
              </w:rPr>
              <w:t>0.644</w:t>
            </w:r>
          </w:p>
        </w:tc>
        <w:tc>
          <w:tcPr>
            <w:tcW w:type="dxa" w:w="1224"/>
            <w:shd w:val="clear" w:color="auto" w:fill="DDEEFF"/>
            <w:vAlign w:val="center"/>
          </w:tcPr>
          <w:p>
            <w:pPr>
              <w:jc w:val="center"/>
            </w:pPr>
            <w:r/>
            <w:r>
              <w:rPr>
                <w:rFonts w:ascii="Arial" w:hAnsi="Arial"/>
                <w:b w:val="0"/>
                <w:i w:val="0"/>
                <w:sz w:val="18"/>
              </w:rPr>
              <w:t>440.1</w:t>
            </w:r>
          </w:p>
        </w:tc>
        <w:tc>
          <w:tcPr>
            <w:tcW w:type="dxa" w:w="1152"/>
            <w:shd w:val="clear" w:color="auto" w:fill="DDEEFF"/>
            <w:vAlign w:val="center"/>
          </w:tcPr>
          <w:p>
            <w:pPr>
              <w:jc w:val="center"/>
            </w:pPr>
            <w:r/>
            <w:r>
              <w:rPr>
                <w:rFonts w:ascii="Arial" w:hAnsi="Arial"/>
                <w:b w:val="0"/>
                <w:i w:val="0"/>
                <w:sz w:val="18"/>
              </w:rPr>
              <w:t>−2.6</w:t>
            </w:r>
          </w:p>
        </w:tc>
        <w:tc>
          <w:tcPr>
            <w:tcW w:type="dxa" w:w="1080"/>
            <w:shd w:val="clear" w:color="auto" w:fill="DDEEFF"/>
            <w:vAlign w:val="center"/>
          </w:tcPr>
          <w:p>
            <w:pPr>
              <w:jc w:val="center"/>
            </w:pPr>
            <w:r/>
            <w:r>
              <w:rPr>
                <w:rFonts w:ascii="Arial" w:hAnsi="Arial"/>
                <w:b w:val="0"/>
                <w:i w:val="0"/>
                <w:sz w:val="18"/>
              </w:rPr>
              <w:t>0.796</w:t>
            </w:r>
          </w:p>
        </w:tc>
        <w:tc>
          <w:tcPr>
            <w:tcW w:type="dxa" w:w="1224"/>
            <w:shd w:val="clear" w:color="auto" w:fill="DDEEFF"/>
            <w:vAlign w:val="center"/>
          </w:tcPr>
          <w:p>
            <w:pPr>
              <w:jc w:val="center"/>
            </w:pPr>
            <w:r/>
            <w:r>
              <w:rPr>
                <w:rFonts w:ascii="Arial" w:hAnsi="Arial"/>
                <w:b w:val="0"/>
                <w:i w:val="0"/>
                <w:sz w:val="18"/>
              </w:rPr>
              <w:t>10,132</w:t>
            </w:r>
          </w:p>
        </w:tc>
      </w:tr>
      <w:tr>
        <w:tc>
          <w:tcPr>
            <w:tcW w:type="dxa" w:w="2232"/>
            <w:shd w:val="clear" w:color="auto" w:fill="FFFFFF"/>
            <w:vAlign w:val="center"/>
          </w:tcPr>
          <w:p>
            <w:pPr>
              <w:jc w:val="center"/>
            </w:pPr>
            <w:r/>
            <w:r>
              <w:rPr>
                <w:rFonts w:ascii="Arial" w:hAnsi="Arial"/>
                <w:b w:val="0"/>
                <w:i w:val="0"/>
                <w:sz w:val="18"/>
              </w:rPr>
              <w:t>ANN</w:t>
            </w:r>
          </w:p>
        </w:tc>
        <w:tc>
          <w:tcPr>
            <w:tcW w:type="dxa" w:w="1080"/>
            <w:shd w:val="clear" w:color="auto" w:fill="FFFFFF"/>
            <w:vAlign w:val="center"/>
          </w:tcPr>
          <w:p>
            <w:pPr>
              <w:jc w:val="center"/>
            </w:pPr>
            <w:r/>
            <w:r>
              <w:rPr>
                <w:rFonts w:ascii="Arial" w:hAnsi="Arial"/>
                <w:b w:val="0"/>
                <w:i w:val="0"/>
                <w:sz w:val="18"/>
              </w:rPr>
              <w:t>0.625</w:t>
            </w:r>
          </w:p>
        </w:tc>
        <w:tc>
          <w:tcPr>
            <w:tcW w:type="dxa" w:w="1080"/>
            <w:shd w:val="clear" w:color="auto" w:fill="FFFFFF"/>
            <w:vAlign w:val="center"/>
          </w:tcPr>
          <w:p>
            <w:pPr>
              <w:jc w:val="center"/>
            </w:pPr>
            <w:r/>
            <w:r>
              <w:rPr>
                <w:rFonts w:ascii="Arial" w:hAnsi="Arial"/>
                <w:b w:val="0"/>
                <w:i w:val="0"/>
                <w:sz w:val="18"/>
              </w:rPr>
              <w:t>0.625</w:t>
            </w:r>
          </w:p>
        </w:tc>
        <w:tc>
          <w:tcPr>
            <w:tcW w:type="dxa" w:w="1224"/>
            <w:shd w:val="clear" w:color="auto" w:fill="FFFFFF"/>
            <w:vAlign w:val="center"/>
          </w:tcPr>
          <w:p>
            <w:pPr>
              <w:jc w:val="center"/>
            </w:pPr>
            <w:r/>
            <w:r>
              <w:rPr>
                <w:rFonts w:ascii="Arial" w:hAnsi="Arial"/>
                <w:b w:val="0"/>
                <w:i w:val="0"/>
                <w:sz w:val="18"/>
              </w:rPr>
              <w:t>452.0</w:t>
            </w:r>
          </w:p>
        </w:tc>
        <w:tc>
          <w:tcPr>
            <w:tcW w:type="dxa" w:w="1152"/>
            <w:shd w:val="clear" w:color="auto" w:fill="FFFFFF"/>
            <w:vAlign w:val="center"/>
          </w:tcPr>
          <w:p>
            <w:pPr>
              <w:jc w:val="center"/>
            </w:pPr>
            <w:r/>
            <w:r>
              <w:rPr>
                <w:rFonts w:ascii="Arial" w:hAnsi="Arial"/>
                <w:b w:val="0"/>
                <w:i w:val="0"/>
                <w:sz w:val="18"/>
              </w:rPr>
              <w:t>−6.1</w:t>
            </w:r>
          </w:p>
        </w:tc>
        <w:tc>
          <w:tcPr>
            <w:tcW w:type="dxa" w:w="1080"/>
            <w:shd w:val="clear" w:color="auto" w:fill="FFFFFF"/>
            <w:vAlign w:val="center"/>
          </w:tcPr>
          <w:p>
            <w:pPr>
              <w:jc w:val="center"/>
            </w:pPr>
            <w:r/>
            <w:r>
              <w:rPr>
                <w:rFonts w:ascii="Arial" w:hAnsi="Arial"/>
                <w:b w:val="0"/>
                <w:i w:val="0"/>
                <w:sz w:val="18"/>
              </w:rPr>
              <w:t>0.799</w:t>
            </w:r>
          </w:p>
        </w:tc>
        <w:tc>
          <w:tcPr>
            <w:tcW w:type="dxa" w:w="1224"/>
            <w:shd w:val="clear" w:color="auto" w:fill="FFFFFF"/>
            <w:vAlign w:val="center"/>
          </w:tcPr>
          <w:p>
            <w:pPr>
              <w:jc w:val="center"/>
            </w:pPr>
            <w:r/>
            <w:r>
              <w:rPr>
                <w:rFonts w:ascii="Arial" w:hAnsi="Arial"/>
                <w:b w:val="0"/>
                <w:i w:val="0"/>
                <w:sz w:val="18"/>
              </w:rPr>
              <w:t>10,072</w:t>
            </w:r>
          </w:p>
        </w:tc>
      </w:tr>
      <w:tr>
        <w:tc>
          <w:tcPr>
            <w:tcW w:type="dxa" w:w="2232"/>
            <w:shd w:val="clear" w:color="auto" w:fill="F2F7FC"/>
            <w:vAlign w:val="center"/>
          </w:tcPr>
          <w:p>
            <w:pPr>
              <w:jc w:val="center"/>
            </w:pPr>
            <w:r/>
            <w:r>
              <w:rPr>
                <w:rFonts w:ascii="Arial" w:hAnsi="Arial"/>
                <w:b w:val="0"/>
                <w:i w:val="0"/>
                <w:sz w:val="18"/>
              </w:rPr>
              <w:t>SVR</w:t>
            </w:r>
          </w:p>
        </w:tc>
        <w:tc>
          <w:tcPr>
            <w:tcW w:type="dxa" w:w="1080"/>
            <w:shd w:val="clear" w:color="auto" w:fill="F2F7FC"/>
            <w:vAlign w:val="center"/>
          </w:tcPr>
          <w:p>
            <w:pPr>
              <w:jc w:val="center"/>
            </w:pPr>
            <w:r/>
            <w:r>
              <w:rPr>
                <w:rFonts w:ascii="Arial" w:hAnsi="Arial"/>
                <w:b w:val="0"/>
                <w:i w:val="0"/>
                <w:sz w:val="18"/>
              </w:rPr>
              <w:t>0.623</w:t>
            </w:r>
          </w:p>
        </w:tc>
        <w:tc>
          <w:tcPr>
            <w:tcW w:type="dxa" w:w="1080"/>
            <w:shd w:val="clear" w:color="auto" w:fill="F2F7FC"/>
            <w:vAlign w:val="center"/>
          </w:tcPr>
          <w:p>
            <w:pPr>
              <w:jc w:val="center"/>
            </w:pPr>
            <w:r/>
            <w:r>
              <w:rPr>
                <w:rFonts w:ascii="Arial" w:hAnsi="Arial"/>
                <w:b w:val="0"/>
                <w:i w:val="0"/>
                <w:sz w:val="18"/>
              </w:rPr>
              <w:t>0.623</w:t>
            </w:r>
          </w:p>
        </w:tc>
        <w:tc>
          <w:tcPr>
            <w:tcW w:type="dxa" w:w="1224"/>
            <w:shd w:val="clear" w:color="auto" w:fill="F2F7FC"/>
            <w:vAlign w:val="center"/>
          </w:tcPr>
          <w:p>
            <w:pPr>
              <w:jc w:val="center"/>
            </w:pPr>
            <w:r/>
            <w:r>
              <w:rPr>
                <w:rFonts w:ascii="Arial" w:hAnsi="Arial"/>
                <w:b w:val="0"/>
                <w:i w:val="0"/>
                <w:sz w:val="18"/>
              </w:rPr>
              <w:t>452.8</w:t>
            </w:r>
          </w:p>
        </w:tc>
        <w:tc>
          <w:tcPr>
            <w:tcW w:type="dxa" w:w="1152"/>
            <w:shd w:val="clear" w:color="auto" w:fill="F2F7FC"/>
            <w:vAlign w:val="center"/>
          </w:tcPr>
          <w:p>
            <w:pPr>
              <w:jc w:val="center"/>
            </w:pPr>
            <w:r/>
            <w:r>
              <w:rPr>
                <w:rFonts w:ascii="Arial" w:hAnsi="Arial"/>
                <w:b w:val="0"/>
                <w:i w:val="0"/>
                <w:sz w:val="18"/>
              </w:rPr>
              <w:t>−9.1</w:t>
            </w:r>
          </w:p>
        </w:tc>
        <w:tc>
          <w:tcPr>
            <w:tcW w:type="dxa" w:w="1080"/>
            <w:shd w:val="clear" w:color="auto" w:fill="F2F7FC"/>
            <w:vAlign w:val="center"/>
          </w:tcPr>
          <w:p>
            <w:pPr>
              <w:jc w:val="center"/>
            </w:pPr>
            <w:r/>
            <w:r>
              <w:rPr>
                <w:rFonts w:ascii="Arial" w:hAnsi="Arial"/>
                <w:b w:val="0"/>
                <w:i w:val="0"/>
                <w:sz w:val="18"/>
              </w:rPr>
              <w:t>0.903</w:t>
            </w:r>
          </w:p>
        </w:tc>
        <w:tc>
          <w:tcPr>
            <w:tcW w:type="dxa" w:w="1224"/>
            <w:shd w:val="clear" w:color="auto" w:fill="F2F7FC"/>
            <w:vAlign w:val="center"/>
          </w:tcPr>
          <w:p>
            <w:pPr>
              <w:jc w:val="center"/>
            </w:pPr>
            <w:r/>
            <w:r>
              <w:rPr>
                <w:rFonts w:ascii="Arial" w:hAnsi="Arial"/>
                <w:b w:val="0"/>
                <w:i w:val="0"/>
                <w:sz w:val="18"/>
              </w:rPr>
              <w:t>6,980</w:t>
            </w:r>
          </w:p>
        </w:tc>
      </w:tr>
      <w:tr>
        <w:tc>
          <w:tcPr>
            <w:tcW w:type="dxa" w:w="2232"/>
            <w:shd w:val="clear" w:color="auto" w:fill="FFFFFF"/>
            <w:vAlign w:val="center"/>
          </w:tcPr>
          <w:p>
            <w:pPr>
              <w:jc w:val="center"/>
            </w:pPr>
            <w:r/>
            <w:r>
              <w:rPr>
                <w:rFonts w:ascii="Arial" w:hAnsi="Arial"/>
                <w:b w:val="0"/>
                <w:i w:val="0"/>
                <w:sz w:val="18"/>
              </w:rPr>
              <w:t>XGBoost</w:t>
            </w:r>
          </w:p>
        </w:tc>
        <w:tc>
          <w:tcPr>
            <w:tcW w:type="dxa" w:w="1080"/>
            <w:shd w:val="clear" w:color="auto" w:fill="FFFFFF"/>
            <w:vAlign w:val="center"/>
          </w:tcPr>
          <w:p>
            <w:pPr>
              <w:jc w:val="center"/>
            </w:pPr>
            <w:r/>
            <w:r>
              <w:rPr>
                <w:rFonts w:ascii="Arial" w:hAnsi="Arial"/>
                <w:b w:val="0"/>
                <w:i w:val="0"/>
                <w:sz w:val="18"/>
              </w:rPr>
              <w:t>0.618</w:t>
            </w:r>
          </w:p>
        </w:tc>
        <w:tc>
          <w:tcPr>
            <w:tcW w:type="dxa" w:w="1080"/>
            <w:shd w:val="clear" w:color="auto" w:fill="FFFFFF"/>
            <w:vAlign w:val="center"/>
          </w:tcPr>
          <w:p>
            <w:pPr>
              <w:jc w:val="center"/>
            </w:pPr>
            <w:r/>
            <w:r>
              <w:rPr>
                <w:rFonts w:ascii="Arial" w:hAnsi="Arial"/>
                <w:b w:val="0"/>
                <w:i w:val="0"/>
                <w:sz w:val="18"/>
              </w:rPr>
              <w:t>—</w:t>
            </w:r>
          </w:p>
        </w:tc>
        <w:tc>
          <w:tcPr>
            <w:tcW w:type="dxa" w:w="1224"/>
            <w:shd w:val="clear" w:color="auto" w:fill="FFFFFF"/>
            <w:vAlign w:val="center"/>
          </w:tcPr>
          <w:p>
            <w:pPr>
              <w:jc w:val="center"/>
            </w:pPr>
            <w:r/>
            <w:r>
              <w:rPr>
                <w:rFonts w:ascii="Arial" w:hAnsi="Arial"/>
                <w:b w:val="0"/>
                <w:i w:val="0"/>
                <w:sz w:val="18"/>
              </w:rPr>
              <w:t>455.8</w:t>
            </w:r>
          </w:p>
        </w:tc>
        <w:tc>
          <w:tcPr>
            <w:tcW w:type="dxa" w:w="1152"/>
            <w:shd w:val="clear" w:color="auto" w:fill="FFFFFF"/>
            <w:vAlign w:val="center"/>
          </w:tcPr>
          <w:p>
            <w:pPr>
              <w:jc w:val="center"/>
            </w:pPr>
            <w:r/>
            <w:r>
              <w:rPr>
                <w:rFonts w:ascii="Arial" w:hAnsi="Arial"/>
                <w:b w:val="0"/>
                <w:i w:val="0"/>
                <w:sz w:val="18"/>
              </w:rPr>
              <w:t>−8.4</w:t>
            </w:r>
          </w:p>
        </w:tc>
        <w:tc>
          <w:tcPr>
            <w:tcW w:type="dxa" w:w="1080"/>
            <w:shd w:val="clear" w:color="auto" w:fill="FFFFFF"/>
            <w:vAlign w:val="center"/>
          </w:tcPr>
          <w:p>
            <w:pPr>
              <w:jc w:val="center"/>
            </w:pPr>
            <w:r/>
            <w:r>
              <w:rPr>
                <w:rFonts w:ascii="Arial" w:hAnsi="Arial"/>
                <w:b w:val="0"/>
                <w:i w:val="0"/>
                <w:sz w:val="18"/>
              </w:rPr>
              <w:t>0.746</w:t>
            </w:r>
          </w:p>
        </w:tc>
        <w:tc>
          <w:tcPr>
            <w:tcW w:type="dxa" w:w="1224"/>
            <w:shd w:val="clear" w:color="auto" w:fill="FFFFFF"/>
            <w:vAlign w:val="center"/>
          </w:tcPr>
          <w:p>
            <w:pPr>
              <w:jc w:val="center"/>
            </w:pPr>
            <w:r/>
            <w:r>
              <w:rPr>
                <w:rFonts w:ascii="Arial" w:hAnsi="Arial"/>
                <w:b w:val="0"/>
                <w:i w:val="0"/>
                <w:sz w:val="18"/>
              </w:rPr>
              <w:t>11,316</w:t>
            </w:r>
          </w:p>
        </w:tc>
      </w:tr>
      <w:tr>
        <w:tc>
          <w:tcPr>
            <w:tcW w:type="dxa" w:w="2232"/>
            <w:shd w:val="clear" w:color="auto" w:fill="F2F7FC"/>
            <w:vAlign w:val="center"/>
          </w:tcPr>
          <w:p>
            <w:pPr>
              <w:jc w:val="center"/>
            </w:pPr>
            <w:r/>
            <w:r>
              <w:rPr>
                <w:rFonts w:ascii="Arial" w:hAnsi="Arial"/>
                <w:b w:val="0"/>
                <w:i w:val="0"/>
                <w:sz w:val="18"/>
              </w:rPr>
              <w:t>Random Forest</w:t>
            </w:r>
          </w:p>
        </w:tc>
        <w:tc>
          <w:tcPr>
            <w:tcW w:type="dxa" w:w="1080"/>
            <w:shd w:val="clear" w:color="auto" w:fill="F2F7FC"/>
            <w:vAlign w:val="center"/>
          </w:tcPr>
          <w:p>
            <w:pPr>
              <w:jc w:val="center"/>
            </w:pPr>
            <w:r/>
            <w:r>
              <w:rPr>
                <w:rFonts w:ascii="Arial" w:hAnsi="Arial"/>
                <w:b w:val="0"/>
                <w:i w:val="0"/>
                <w:sz w:val="18"/>
              </w:rPr>
              <w:t>0.619</w:t>
            </w:r>
          </w:p>
        </w:tc>
        <w:tc>
          <w:tcPr>
            <w:tcW w:type="dxa" w:w="1080"/>
            <w:shd w:val="clear" w:color="auto" w:fill="F2F7FC"/>
            <w:vAlign w:val="center"/>
          </w:tcPr>
          <w:p>
            <w:pPr>
              <w:jc w:val="center"/>
            </w:pPr>
            <w:r/>
            <w:r>
              <w:rPr>
                <w:rFonts w:ascii="Arial" w:hAnsi="Arial"/>
                <w:b w:val="0"/>
                <w:i w:val="0"/>
                <w:sz w:val="18"/>
              </w:rPr>
              <w:t>—</w:t>
            </w:r>
          </w:p>
        </w:tc>
        <w:tc>
          <w:tcPr>
            <w:tcW w:type="dxa" w:w="1224"/>
            <w:shd w:val="clear" w:color="auto" w:fill="F2F7FC"/>
            <w:vAlign w:val="center"/>
          </w:tcPr>
          <w:p>
            <w:pPr>
              <w:jc w:val="center"/>
            </w:pPr>
            <w:r/>
            <w:r>
              <w:rPr>
                <w:rFonts w:ascii="Arial" w:hAnsi="Arial"/>
                <w:b w:val="0"/>
                <w:i w:val="0"/>
                <w:sz w:val="18"/>
              </w:rPr>
              <w:t>455.5</w:t>
            </w:r>
          </w:p>
        </w:tc>
        <w:tc>
          <w:tcPr>
            <w:tcW w:type="dxa" w:w="1152"/>
            <w:shd w:val="clear" w:color="auto" w:fill="F2F7FC"/>
            <w:vAlign w:val="center"/>
          </w:tcPr>
          <w:p>
            <w:pPr>
              <w:jc w:val="center"/>
            </w:pPr>
            <w:r/>
            <w:r>
              <w:rPr>
                <w:rFonts w:ascii="Arial" w:hAnsi="Arial"/>
                <w:b w:val="0"/>
                <w:i w:val="0"/>
                <w:sz w:val="18"/>
              </w:rPr>
              <w:t>−8.6</w:t>
            </w:r>
          </w:p>
        </w:tc>
        <w:tc>
          <w:tcPr>
            <w:tcW w:type="dxa" w:w="1080"/>
            <w:shd w:val="clear" w:color="auto" w:fill="F2F7FC"/>
            <w:vAlign w:val="center"/>
          </w:tcPr>
          <w:p>
            <w:pPr>
              <w:jc w:val="center"/>
            </w:pPr>
            <w:r/>
            <w:r>
              <w:rPr>
                <w:rFonts w:ascii="Arial" w:hAnsi="Arial"/>
                <w:b w:val="0"/>
                <w:i w:val="0"/>
                <w:sz w:val="18"/>
              </w:rPr>
              <w:t>0.871</w:t>
            </w:r>
          </w:p>
        </w:tc>
        <w:tc>
          <w:tcPr>
            <w:tcW w:type="dxa" w:w="1224"/>
            <w:shd w:val="clear" w:color="auto" w:fill="F2F7FC"/>
            <w:vAlign w:val="center"/>
          </w:tcPr>
          <w:p>
            <w:pPr>
              <w:jc w:val="center"/>
            </w:pPr>
            <w:r/>
            <w:r>
              <w:rPr>
                <w:rFonts w:ascii="Arial" w:hAnsi="Arial"/>
                <w:b w:val="0"/>
                <w:i w:val="0"/>
                <w:sz w:val="18"/>
              </w:rPr>
              <w:t>8,059</w:t>
            </w:r>
          </w:p>
        </w:tc>
      </w:tr>
      <w:tr>
        <w:tc>
          <w:tcPr>
            <w:tcW w:type="dxa" w:w="2232"/>
            <w:shd w:val="clear" w:color="auto" w:fill="FFFFFF"/>
            <w:vAlign w:val="center"/>
          </w:tcPr>
          <w:p>
            <w:pPr>
              <w:jc w:val="center"/>
            </w:pPr>
            <w:r/>
            <w:r>
              <w:rPr>
                <w:rFonts w:ascii="Arial" w:hAnsi="Arial"/>
                <w:b w:val="0"/>
                <w:i w:val="0"/>
                <w:sz w:val="18"/>
              </w:rPr>
              <w:t>MLP (no physics)</w:t>
            </w:r>
          </w:p>
        </w:tc>
        <w:tc>
          <w:tcPr>
            <w:tcW w:type="dxa" w:w="1080"/>
            <w:shd w:val="clear" w:color="auto" w:fill="FFFFFF"/>
            <w:vAlign w:val="center"/>
          </w:tcPr>
          <w:p>
            <w:pPr>
              <w:jc w:val="center"/>
            </w:pPr>
            <w:r/>
            <w:r>
              <w:rPr>
                <w:rFonts w:ascii="Arial" w:hAnsi="Arial"/>
                <w:b w:val="0"/>
                <w:i w:val="0"/>
                <w:sz w:val="18"/>
              </w:rPr>
              <w:t>0.546</w:t>
            </w:r>
          </w:p>
        </w:tc>
        <w:tc>
          <w:tcPr>
            <w:tcW w:type="dxa" w:w="1080"/>
            <w:shd w:val="clear" w:color="auto" w:fill="FFFFFF"/>
            <w:vAlign w:val="center"/>
          </w:tcPr>
          <w:p>
            <w:pPr>
              <w:jc w:val="center"/>
            </w:pPr>
            <w:r/>
            <w:r>
              <w:rPr>
                <w:rFonts w:ascii="Arial" w:hAnsi="Arial"/>
                <w:b w:val="0"/>
                <w:i w:val="0"/>
                <w:sz w:val="18"/>
              </w:rPr>
              <w:t>0.546</w:t>
            </w:r>
          </w:p>
        </w:tc>
        <w:tc>
          <w:tcPr>
            <w:tcW w:type="dxa" w:w="1224"/>
            <w:shd w:val="clear" w:color="auto" w:fill="FFFFFF"/>
            <w:vAlign w:val="center"/>
          </w:tcPr>
          <w:p>
            <w:pPr>
              <w:jc w:val="center"/>
            </w:pPr>
            <w:r/>
            <w:r>
              <w:rPr>
                <w:rFonts w:ascii="Arial" w:hAnsi="Arial"/>
                <w:b w:val="0"/>
                <w:i w:val="0"/>
                <w:sz w:val="18"/>
              </w:rPr>
              <w:t>497.3</w:t>
            </w:r>
          </w:p>
        </w:tc>
        <w:tc>
          <w:tcPr>
            <w:tcW w:type="dxa" w:w="1152"/>
            <w:shd w:val="clear" w:color="auto" w:fill="FFFFFF"/>
            <w:vAlign w:val="center"/>
          </w:tcPr>
          <w:p>
            <w:pPr>
              <w:jc w:val="center"/>
            </w:pPr>
            <w:r/>
            <w:r>
              <w:rPr>
                <w:rFonts w:ascii="Arial" w:hAnsi="Arial"/>
                <w:b w:val="0"/>
                <w:i w:val="0"/>
                <w:sz w:val="18"/>
              </w:rPr>
              <w:t>−13.8</w:t>
            </w:r>
          </w:p>
        </w:tc>
        <w:tc>
          <w:tcPr>
            <w:tcW w:type="dxa" w:w="1080"/>
            <w:shd w:val="clear" w:color="auto" w:fill="FFFFFF"/>
            <w:vAlign w:val="center"/>
          </w:tcPr>
          <w:p>
            <w:pPr>
              <w:jc w:val="center"/>
            </w:pPr>
            <w:r/>
            <w:r>
              <w:rPr>
                <w:rFonts w:ascii="Arial" w:hAnsi="Arial"/>
                <w:b w:val="0"/>
                <w:i w:val="0"/>
                <w:sz w:val="18"/>
              </w:rPr>
              <w:t>0.540</w:t>
            </w:r>
          </w:p>
        </w:tc>
        <w:tc>
          <w:tcPr>
            <w:tcW w:type="dxa" w:w="1224"/>
            <w:shd w:val="clear" w:color="auto" w:fill="FFFFFF"/>
            <w:vAlign w:val="center"/>
          </w:tcPr>
          <w:p>
            <w:pPr>
              <w:jc w:val="center"/>
            </w:pPr>
            <w:r/>
            <w:r>
              <w:rPr>
                <w:rFonts w:ascii="Arial" w:hAnsi="Arial"/>
                <w:b w:val="0"/>
                <w:i w:val="0"/>
                <w:sz w:val="18"/>
              </w:rPr>
              <w:t>15,216</w:t>
            </w:r>
          </w:p>
        </w:tc>
      </w:tr>
      <w:tr>
        <w:tc>
          <w:tcPr>
            <w:tcW w:type="dxa" w:w="2232"/>
            <w:shd w:val="clear" w:color="auto" w:fill="F2F7FC"/>
            <w:vAlign w:val="center"/>
          </w:tcPr>
          <w:p>
            <w:pPr>
              <w:jc w:val="center"/>
            </w:pPr>
            <w:r/>
            <w:r>
              <w:rPr>
                <w:rFonts w:ascii="Arial" w:hAnsi="Arial"/>
                <w:b w:val="0"/>
                <w:i w:val="0"/>
                <w:sz w:val="18"/>
              </w:rPr>
              <w:t>LSTM</w:t>
            </w:r>
          </w:p>
        </w:tc>
        <w:tc>
          <w:tcPr>
            <w:tcW w:type="dxa" w:w="1080"/>
            <w:shd w:val="clear" w:color="auto" w:fill="F2F7FC"/>
            <w:vAlign w:val="center"/>
          </w:tcPr>
          <w:p>
            <w:pPr>
              <w:jc w:val="center"/>
            </w:pPr>
            <w:r/>
            <w:r>
              <w:rPr>
                <w:rFonts w:ascii="Arial" w:hAnsi="Arial"/>
                <w:b w:val="0"/>
                <w:i w:val="0"/>
                <w:sz w:val="18"/>
              </w:rPr>
              <w:t>0.362</w:t>
            </w:r>
          </w:p>
        </w:tc>
        <w:tc>
          <w:tcPr>
            <w:tcW w:type="dxa" w:w="1080"/>
            <w:shd w:val="clear" w:color="auto" w:fill="F2F7FC"/>
            <w:vAlign w:val="center"/>
          </w:tcPr>
          <w:p>
            <w:pPr>
              <w:jc w:val="center"/>
            </w:pPr>
            <w:r/>
            <w:r>
              <w:rPr>
                <w:rFonts w:ascii="Arial" w:hAnsi="Arial"/>
                <w:b w:val="0"/>
                <w:i w:val="0"/>
                <w:sz w:val="18"/>
              </w:rPr>
              <w:t>0.362</w:t>
            </w:r>
          </w:p>
        </w:tc>
        <w:tc>
          <w:tcPr>
            <w:tcW w:type="dxa" w:w="1224"/>
            <w:shd w:val="clear" w:color="auto" w:fill="F2F7FC"/>
            <w:vAlign w:val="center"/>
          </w:tcPr>
          <w:p>
            <w:pPr>
              <w:jc w:val="center"/>
            </w:pPr>
            <w:r/>
            <w:r>
              <w:rPr>
                <w:rFonts w:ascii="Arial" w:hAnsi="Arial"/>
                <w:b w:val="0"/>
                <w:i w:val="0"/>
                <w:sz w:val="18"/>
              </w:rPr>
              <w:t>572.4</w:t>
            </w:r>
          </w:p>
        </w:tc>
        <w:tc>
          <w:tcPr>
            <w:tcW w:type="dxa" w:w="1152"/>
            <w:shd w:val="clear" w:color="auto" w:fill="F2F7FC"/>
            <w:vAlign w:val="center"/>
          </w:tcPr>
          <w:p>
            <w:pPr>
              <w:jc w:val="center"/>
            </w:pPr>
            <w:r/>
            <w:r>
              <w:rPr>
                <w:rFonts w:ascii="Arial" w:hAnsi="Arial"/>
                <w:b w:val="0"/>
                <w:i w:val="0"/>
                <w:sz w:val="18"/>
              </w:rPr>
              <w:t>−32.4</w:t>
            </w:r>
          </w:p>
        </w:tc>
        <w:tc>
          <w:tcPr>
            <w:tcW w:type="dxa" w:w="1080"/>
            <w:shd w:val="clear" w:color="auto" w:fill="F2F7FC"/>
            <w:vAlign w:val="center"/>
          </w:tcPr>
          <w:p>
            <w:pPr>
              <w:jc w:val="center"/>
            </w:pPr>
            <w:r/>
            <w:r>
              <w:rPr>
                <w:rFonts w:ascii="Arial" w:hAnsi="Arial"/>
                <w:b w:val="0"/>
                <w:i w:val="0"/>
                <w:sz w:val="18"/>
              </w:rPr>
              <w:t>0.673</w:t>
            </w:r>
          </w:p>
        </w:tc>
        <w:tc>
          <w:tcPr>
            <w:tcW w:type="dxa" w:w="1224"/>
            <w:shd w:val="clear" w:color="auto" w:fill="F2F7FC"/>
            <w:vAlign w:val="center"/>
          </w:tcPr>
          <w:p>
            <w:pPr>
              <w:jc w:val="center"/>
            </w:pPr>
            <w:r/>
            <w:r>
              <w:rPr>
                <w:rFonts w:ascii="Arial" w:hAnsi="Arial"/>
                <w:b w:val="0"/>
                <w:i w:val="0"/>
                <w:sz w:val="18"/>
              </w:rPr>
              <w:t>13,312</w:t>
            </w:r>
          </w:p>
        </w:tc>
      </w:tr>
    </w:tbl>
    <w:p>
      <w:r>
        <w:rPr>
          <w:rFonts w:ascii="Arial" w:hAnsi="Arial"/>
          <w:i/>
          <w:sz w:val="18"/>
        </w:rPr>
        <w:t>Table 1. Test-set performance for all models at Jalkundi station. *Primary model (PGNN). LSTM and MLP-no-physics are included as baseline comparisons.</w:t>
      </w:r>
    </w:p>
    <w:p/>
    <w:p>
      <w:pPr>
        <w:pStyle w:val="Heading1"/>
        <w:jc w:val="left"/>
      </w:pPr>
      <w:r>
        <w:rPr>
          <w:rFonts w:ascii="Arial" w:hAnsi="Arial"/>
          <w:color w:val="1F497D"/>
          <w:sz w:val="32"/>
        </w:rPr>
        <w:t>4. Comparison with Published Studies</w:t>
      </w:r>
    </w:p>
    <w:p>
      <w:r>
        <w:rPr>
          <w:rFonts w:ascii="Arial" w:hAnsi="Arial"/>
          <w:b w:val="0"/>
          <w:i w:val="0"/>
          <w:sz w:val="22"/>
        </w:rPr>
        <w:t>Table 2 places your PGNN results in the context of published sediment prediction studies on Himalayan and monsoon-driven river systems. Where studies report NSE, R², and RMSE at daily resolution, direct comparison is most meaningful. Studies using monthly or sub-daily data are noted accordingly.</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944"/>
            <w:shd w:val="clear" w:color="auto" w:fill="1F497D"/>
            <w:vAlign w:val="center"/>
          </w:tcPr>
          <w:p>
            <w:pPr>
              <w:jc w:val="center"/>
            </w:pPr>
            <w:r/>
            <w:r>
              <w:rPr>
                <w:rFonts w:ascii="Arial" w:hAnsi="Arial"/>
                <w:b/>
                <w:i w:val="0"/>
                <w:color w:val="FFFFFF"/>
                <w:sz w:val="17"/>
              </w:rPr>
              <w:t>Study</w:t>
            </w:r>
          </w:p>
        </w:tc>
        <w:tc>
          <w:tcPr>
            <w:tcW w:type="dxa" w:w="1800"/>
            <w:shd w:val="clear" w:color="auto" w:fill="1F497D"/>
            <w:vAlign w:val="center"/>
          </w:tcPr>
          <w:p>
            <w:pPr>
              <w:jc w:val="center"/>
            </w:pPr>
            <w:r/>
            <w:r>
              <w:rPr>
                <w:rFonts w:ascii="Arial" w:hAnsi="Arial"/>
                <w:b/>
                <w:i w:val="0"/>
                <w:color w:val="FFFFFF"/>
                <w:sz w:val="17"/>
              </w:rPr>
              <w:t>River / Region</w:t>
            </w:r>
          </w:p>
        </w:tc>
        <w:tc>
          <w:tcPr>
            <w:tcW w:type="dxa" w:w="1944"/>
            <w:shd w:val="clear" w:color="auto" w:fill="1F497D"/>
            <w:vAlign w:val="center"/>
          </w:tcPr>
          <w:p>
            <w:pPr>
              <w:jc w:val="center"/>
            </w:pPr>
            <w:r/>
            <w:r>
              <w:rPr>
                <w:rFonts w:ascii="Arial" w:hAnsi="Arial"/>
                <w:b/>
                <w:i w:val="0"/>
                <w:color w:val="FFFFFF"/>
                <w:sz w:val="17"/>
              </w:rPr>
              <w:t>Method</w:t>
            </w:r>
          </w:p>
        </w:tc>
        <w:tc>
          <w:tcPr>
            <w:tcW w:type="dxa" w:w="1008"/>
            <w:shd w:val="clear" w:color="auto" w:fill="1F497D"/>
            <w:vAlign w:val="center"/>
          </w:tcPr>
          <w:p>
            <w:pPr>
              <w:jc w:val="center"/>
            </w:pPr>
            <w:r/>
            <w:r>
              <w:rPr>
                <w:rFonts w:ascii="Arial" w:hAnsi="Arial"/>
                <w:b/>
                <w:i w:val="0"/>
                <w:color w:val="FFFFFF"/>
                <w:sz w:val="17"/>
              </w:rPr>
              <w:t>Temporal</w:t>
              <w:br/>
              <w:t>Res.</w:t>
            </w:r>
          </w:p>
        </w:tc>
        <w:tc>
          <w:tcPr>
            <w:tcW w:type="dxa" w:w="1080"/>
            <w:shd w:val="clear" w:color="auto" w:fill="1F497D"/>
            <w:vAlign w:val="center"/>
          </w:tcPr>
          <w:p>
            <w:pPr>
              <w:jc w:val="center"/>
            </w:pPr>
            <w:r/>
            <w:r>
              <w:rPr>
                <w:rFonts w:ascii="Arial" w:hAnsi="Arial"/>
                <w:b/>
                <w:i w:val="0"/>
                <w:color w:val="FFFFFF"/>
                <w:sz w:val="17"/>
              </w:rPr>
              <w:t>Test R²</w:t>
              <w:br/>
              <w:t>/ NSE</w:t>
            </w:r>
          </w:p>
        </w:tc>
        <w:tc>
          <w:tcPr>
            <w:tcW w:type="dxa" w:w="936"/>
            <w:shd w:val="clear" w:color="auto" w:fill="1F497D"/>
            <w:vAlign w:val="center"/>
          </w:tcPr>
          <w:p>
            <w:pPr>
              <w:jc w:val="center"/>
            </w:pPr>
            <w:r/>
            <w:r>
              <w:rPr>
                <w:rFonts w:ascii="Arial" w:hAnsi="Arial"/>
                <w:b/>
                <w:i w:val="0"/>
                <w:color w:val="FFFFFF"/>
                <w:sz w:val="17"/>
              </w:rPr>
              <w:t>PBIAS (%)</w:t>
            </w:r>
          </w:p>
        </w:tc>
        <w:tc>
          <w:tcPr>
            <w:tcW w:type="dxa" w:w="2808"/>
            <w:shd w:val="clear" w:color="auto" w:fill="1F497D"/>
            <w:vAlign w:val="center"/>
          </w:tcPr>
          <w:p>
            <w:pPr>
              <w:jc w:val="center"/>
            </w:pPr>
            <w:r/>
            <w:r>
              <w:rPr>
                <w:rFonts w:ascii="Arial" w:hAnsi="Arial"/>
                <w:b/>
                <w:i w:val="0"/>
                <w:color w:val="FFFFFF"/>
                <w:sz w:val="17"/>
              </w:rPr>
              <w:t>Notes</w:t>
            </w:r>
          </w:p>
        </w:tc>
      </w:tr>
      <w:tr>
        <w:tc>
          <w:tcPr>
            <w:tcW w:type="dxa" w:w="1944"/>
            <w:shd w:val="clear" w:color="auto" w:fill="DDEEFF"/>
            <w:vAlign w:val="center"/>
          </w:tcPr>
          <w:p>
            <w:pPr>
              <w:jc w:val="center"/>
            </w:pPr>
            <w:r/>
            <w:r>
              <w:rPr>
                <w:rFonts w:ascii="Arial" w:hAnsi="Arial"/>
                <w:b/>
                <w:i w:val="0"/>
                <w:color w:val="1F497D"/>
                <w:sz w:val="17"/>
              </w:rPr>
              <w:t>This study (PGNN)</w:t>
            </w:r>
          </w:p>
        </w:tc>
        <w:tc>
          <w:tcPr>
            <w:tcW w:type="dxa" w:w="1800"/>
            <w:shd w:val="clear" w:color="auto" w:fill="DDEEFF"/>
            <w:vAlign w:val="center"/>
          </w:tcPr>
          <w:p>
            <w:pPr>
              <w:jc w:val="center"/>
            </w:pPr>
            <w:r/>
            <w:r>
              <w:rPr>
                <w:rFonts w:ascii="Arial" w:hAnsi="Arial"/>
                <w:b w:val="0"/>
                <w:i w:val="0"/>
                <w:sz w:val="17"/>
              </w:rPr>
              <w:t>West Rapti, Nepal</w:t>
              <w:br/>
              <w:t>(Jalkundi)</w:t>
            </w:r>
          </w:p>
        </w:tc>
        <w:tc>
          <w:tcPr>
            <w:tcW w:type="dxa" w:w="1944"/>
            <w:shd w:val="clear" w:color="auto" w:fill="DDEEFF"/>
            <w:vAlign w:val="center"/>
          </w:tcPr>
          <w:p>
            <w:pPr>
              <w:jc w:val="center"/>
            </w:pPr>
            <w:r/>
            <w:r>
              <w:rPr>
                <w:rFonts w:ascii="Arial" w:hAnsi="Arial"/>
                <w:b w:val="0"/>
                <w:i w:val="0"/>
                <w:sz w:val="17"/>
              </w:rPr>
              <w:t>Physics-Guided NN</w:t>
              <w:br/>
              <w:t>(Yang constraint + MLP)</w:t>
            </w:r>
          </w:p>
        </w:tc>
        <w:tc>
          <w:tcPr>
            <w:tcW w:type="dxa" w:w="1008"/>
            <w:shd w:val="clear" w:color="auto" w:fill="DDEEFF"/>
            <w:vAlign w:val="center"/>
          </w:tcPr>
          <w:p>
            <w:pPr>
              <w:jc w:val="center"/>
            </w:pPr>
            <w:r/>
            <w:r>
              <w:rPr>
                <w:rFonts w:ascii="Arial" w:hAnsi="Arial"/>
                <w:b w:val="0"/>
                <w:i w:val="0"/>
                <w:sz w:val="17"/>
              </w:rPr>
              <w:t>Daily</w:t>
            </w:r>
          </w:p>
        </w:tc>
        <w:tc>
          <w:tcPr>
            <w:tcW w:type="dxa" w:w="1080"/>
            <w:shd w:val="clear" w:color="auto" w:fill="DDEEFF"/>
            <w:vAlign w:val="center"/>
          </w:tcPr>
          <w:p>
            <w:pPr>
              <w:jc w:val="center"/>
            </w:pPr>
            <w:r/>
            <w:r>
              <w:rPr>
                <w:rFonts w:ascii="Arial" w:hAnsi="Arial"/>
                <w:b w:val="0"/>
                <w:i w:val="0"/>
                <w:sz w:val="17"/>
              </w:rPr>
              <w:t>0.644 / 0.644</w:t>
            </w:r>
          </w:p>
        </w:tc>
        <w:tc>
          <w:tcPr>
            <w:tcW w:type="dxa" w:w="936"/>
            <w:shd w:val="clear" w:color="auto" w:fill="DDEEFF"/>
            <w:vAlign w:val="center"/>
          </w:tcPr>
          <w:p>
            <w:pPr>
              <w:jc w:val="center"/>
            </w:pPr>
            <w:r/>
            <w:r>
              <w:rPr>
                <w:rFonts w:ascii="Arial" w:hAnsi="Arial"/>
                <w:b w:val="0"/>
                <w:i w:val="0"/>
                <w:sz w:val="17"/>
              </w:rPr>
              <w:t>−2.6</w:t>
            </w:r>
          </w:p>
        </w:tc>
        <w:tc>
          <w:tcPr>
            <w:tcW w:type="dxa" w:w="2808"/>
            <w:shd w:val="clear" w:color="auto" w:fill="DDEEFF"/>
            <w:vAlign w:val="center"/>
          </w:tcPr>
          <w:p>
            <w:pPr>
              <w:jc w:val="center"/>
            </w:pPr>
            <w:r/>
            <w:r>
              <w:rPr>
                <w:rFonts w:ascii="Arial" w:hAnsi="Arial"/>
                <w:b w:val="0"/>
                <w:i w:val="0"/>
                <w:sz w:val="17"/>
              </w:rPr>
              <w:t>SSC + SSL; SHAP; physics constraints; ~1,273 samples</w:t>
            </w:r>
          </w:p>
        </w:tc>
      </w:tr>
      <w:tr>
        <w:tc>
          <w:tcPr>
            <w:tcW w:type="dxa" w:w="1944"/>
            <w:shd w:val="clear" w:color="auto" w:fill="FFFFFF"/>
            <w:vAlign w:val="center"/>
          </w:tcPr>
          <w:p>
            <w:pPr>
              <w:jc w:val="center"/>
            </w:pPr>
            <w:r/>
            <w:r>
              <w:rPr>
                <w:rFonts w:ascii="Arial" w:hAnsi="Arial"/>
                <w:b w:val="0"/>
                <w:i w:val="0"/>
                <w:sz w:val="17"/>
              </w:rPr>
              <w:t>Bharati et al., 2019</w:t>
              <w:br/>
              <w:t>(MDPI Water)</w:t>
            </w:r>
          </w:p>
        </w:tc>
        <w:tc>
          <w:tcPr>
            <w:tcW w:type="dxa" w:w="1800"/>
            <w:shd w:val="clear" w:color="auto" w:fill="FFFFFF"/>
            <w:vAlign w:val="center"/>
          </w:tcPr>
          <w:p>
            <w:pPr>
              <w:jc w:val="center"/>
            </w:pPr>
            <w:r/>
            <w:r>
              <w:rPr>
                <w:rFonts w:ascii="Arial" w:hAnsi="Arial"/>
                <w:b w:val="0"/>
                <w:i w:val="0"/>
                <w:sz w:val="17"/>
              </w:rPr>
              <w:t>Kali Gandaki,</w:t>
              <w:br/>
              <w:t>Nepal (Setibeni)</w:t>
            </w:r>
          </w:p>
        </w:tc>
        <w:tc>
          <w:tcPr>
            <w:tcW w:type="dxa" w:w="1944"/>
            <w:shd w:val="clear" w:color="auto" w:fill="FFFFFF"/>
            <w:vAlign w:val="center"/>
          </w:tcPr>
          <w:p>
            <w:pPr>
              <w:jc w:val="center"/>
            </w:pPr>
            <w:r/>
            <w:r>
              <w:rPr>
                <w:rFonts w:ascii="Arial" w:hAnsi="Arial"/>
                <w:b w:val="0"/>
                <w:i w:val="0"/>
                <w:sz w:val="17"/>
              </w:rPr>
              <w:t>ANN (MLP)</w:t>
            </w:r>
          </w:p>
        </w:tc>
        <w:tc>
          <w:tcPr>
            <w:tcW w:type="dxa" w:w="1008"/>
            <w:shd w:val="clear" w:color="auto" w:fill="FFFFFF"/>
            <w:vAlign w:val="center"/>
          </w:tcPr>
          <w:p>
            <w:pPr>
              <w:jc w:val="center"/>
            </w:pPr>
            <w:r/>
            <w:r>
              <w:rPr>
                <w:rFonts w:ascii="Arial" w:hAnsi="Arial"/>
                <w:b w:val="0"/>
                <w:i w:val="0"/>
                <w:sz w:val="17"/>
              </w:rPr>
              <w:t>Daily</w:t>
            </w:r>
          </w:p>
        </w:tc>
        <w:tc>
          <w:tcPr>
            <w:tcW w:type="dxa" w:w="1080"/>
            <w:shd w:val="clear" w:color="auto" w:fill="FFFFFF"/>
            <w:vAlign w:val="center"/>
          </w:tcPr>
          <w:p>
            <w:pPr>
              <w:jc w:val="center"/>
            </w:pPr>
            <w:r/>
            <w:r>
              <w:rPr>
                <w:rFonts w:ascii="Arial" w:hAnsi="Arial"/>
                <w:b w:val="0"/>
                <w:i w:val="0"/>
                <w:sz w:val="17"/>
              </w:rPr>
              <w:t>0.71 / 0.70</w:t>
            </w:r>
          </w:p>
        </w:tc>
        <w:tc>
          <w:tcPr>
            <w:tcW w:type="dxa" w:w="936"/>
            <w:shd w:val="clear" w:color="auto" w:fill="FFFFFF"/>
            <w:vAlign w:val="center"/>
          </w:tcPr>
          <w:p>
            <w:pPr>
              <w:jc w:val="center"/>
            </w:pPr>
            <w:r/>
            <w:r>
              <w:rPr>
                <w:rFonts w:ascii="Arial" w:hAnsi="Arial"/>
                <w:b w:val="0"/>
                <w:i w:val="0"/>
                <w:sz w:val="17"/>
              </w:rPr>
              <w:t>+14.3</w:t>
            </w:r>
          </w:p>
        </w:tc>
        <w:tc>
          <w:tcPr>
            <w:tcW w:type="dxa" w:w="2808"/>
            <w:shd w:val="clear" w:color="auto" w:fill="FFFFFF"/>
            <w:vAlign w:val="center"/>
          </w:tcPr>
          <w:p>
            <w:pPr>
              <w:jc w:val="center"/>
            </w:pPr>
            <w:r/>
            <w:r>
              <w:rPr>
                <w:rFonts w:ascii="Arial" w:hAnsi="Arial"/>
                <w:b w:val="0"/>
                <w:i w:val="0"/>
                <w:sz w:val="17"/>
              </w:rPr>
              <w:t>2003–2011 data; no physics constraints; single model</w:t>
            </w:r>
          </w:p>
        </w:tc>
      </w:tr>
      <w:tr>
        <w:tc>
          <w:tcPr>
            <w:tcW w:type="dxa" w:w="1944"/>
            <w:shd w:val="clear" w:color="auto" w:fill="F2F7FC"/>
            <w:vAlign w:val="center"/>
          </w:tcPr>
          <w:p>
            <w:pPr>
              <w:jc w:val="center"/>
            </w:pPr>
            <w:r/>
            <w:r>
              <w:rPr>
                <w:rFonts w:ascii="Arial" w:hAnsi="Arial"/>
                <w:b w:val="0"/>
                <w:i w:val="0"/>
                <w:sz w:val="17"/>
              </w:rPr>
              <w:t>Regmi &amp; Mishra, 2015</w:t>
              <w:br/>
              <w:t>(Model. Earth Syst.)</w:t>
            </w:r>
          </w:p>
        </w:tc>
        <w:tc>
          <w:tcPr>
            <w:tcW w:type="dxa" w:w="1800"/>
            <w:shd w:val="clear" w:color="auto" w:fill="F2F7FC"/>
            <w:vAlign w:val="center"/>
          </w:tcPr>
          <w:p>
            <w:pPr>
              <w:jc w:val="center"/>
            </w:pPr>
            <w:r/>
            <w:r>
              <w:rPr>
                <w:rFonts w:ascii="Arial" w:hAnsi="Arial"/>
                <w:b w:val="0"/>
                <w:i w:val="0"/>
                <w:sz w:val="17"/>
              </w:rPr>
              <w:t>Nepal watershed</w:t>
            </w:r>
          </w:p>
        </w:tc>
        <w:tc>
          <w:tcPr>
            <w:tcW w:type="dxa" w:w="1944"/>
            <w:shd w:val="clear" w:color="auto" w:fill="F2F7FC"/>
            <w:vAlign w:val="center"/>
          </w:tcPr>
          <w:p>
            <w:pPr>
              <w:jc w:val="center"/>
            </w:pPr>
            <w:r/>
            <w:r>
              <w:rPr>
                <w:rFonts w:ascii="Arial" w:hAnsi="Arial"/>
                <w:b w:val="0"/>
                <w:i w:val="0"/>
                <w:sz w:val="17"/>
              </w:rPr>
              <w:t>ANN + SVM</w:t>
            </w:r>
          </w:p>
        </w:tc>
        <w:tc>
          <w:tcPr>
            <w:tcW w:type="dxa" w:w="1008"/>
            <w:shd w:val="clear" w:color="auto" w:fill="F2F7FC"/>
            <w:vAlign w:val="center"/>
          </w:tcPr>
          <w:p>
            <w:pPr>
              <w:jc w:val="center"/>
            </w:pPr>
            <w:r/>
            <w:r>
              <w:rPr>
                <w:rFonts w:ascii="Arial" w:hAnsi="Arial"/>
                <w:b w:val="0"/>
                <w:i w:val="0"/>
                <w:sz w:val="17"/>
              </w:rPr>
              <w:t>Daily</w:t>
            </w:r>
          </w:p>
        </w:tc>
        <w:tc>
          <w:tcPr>
            <w:tcW w:type="dxa" w:w="1080"/>
            <w:shd w:val="clear" w:color="auto" w:fill="F2F7FC"/>
            <w:vAlign w:val="center"/>
          </w:tcPr>
          <w:p>
            <w:pPr>
              <w:jc w:val="center"/>
            </w:pPr>
            <w:r/>
            <w:r>
              <w:rPr>
                <w:rFonts w:ascii="Arial" w:hAnsi="Arial"/>
                <w:b w:val="0"/>
                <w:i w:val="0"/>
                <w:sz w:val="17"/>
              </w:rPr>
              <w:t>~0.65–0.72</w:t>
            </w:r>
          </w:p>
        </w:tc>
        <w:tc>
          <w:tcPr>
            <w:tcW w:type="dxa" w:w="936"/>
            <w:shd w:val="clear" w:color="auto" w:fill="F2F7FC"/>
            <w:vAlign w:val="center"/>
          </w:tcPr>
          <w:p>
            <w:pPr>
              <w:jc w:val="center"/>
            </w:pPr>
            <w:r/>
            <w:r>
              <w:rPr>
                <w:rFonts w:ascii="Arial" w:hAnsi="Arial"/>
                <w:b w:val="0"/>
                <w:i w:val="0"/>
                <w:sz w:val="17"/>
              </w:rPr>
              <w:t>N/R</w:t>
            </w:r>
          </w:p>
        </w:tc>
        <w:tc>
          <w:tcPr>
            <w:tcW w:type="dxa" w:w="2808"/>
            <w:shd w:val="clear" w:color="auto" w:fill="F2F7FC"/>
            <w:vAlign w:val="center"/>
          </w:tcPr>
          <w:p>
            <w:pPr>
              <w:jc w:val="center"/>
            </w:pPr>
            <w:r/>
            <w:r>
              <w:rPr>
                <w:rFonts w:ascii="Arial" w:hAnsi="Arial"/>
                <w:b w:val="0"/>
                <w:i w:val="0"/>
                <w:sz w:val="17"/>
              </w:rPr>
              <w:t>Runoff+sediment yield; no SSC per se</w:t>
            </w:r>
          </w:p>
        </w:tc>
      </w:tr>
      <w:tr>
        <w:tc>
          <w:tcPr>
            <w:tcW w:type="dxa" w:w="1944"/>
            <w:shd w:val="clear" w:color="auto" w:fill="FFFFFF"/>
            <w:vAlign w:val="center"/>
          </w:tcPr>
          <w:p>
            <w:pPr>
              <w:jc w:val="center"/>
            </w:pPr>
            <w:r/>
            <w:r>
              <w:rPr>
                <w:rFonts w:ascii="Arial" w:hAnsi="Arial"/>
                <w:b w:val="0"/>
                <w:i w:val="0"/>
                <w:sz w:val="17"/>
              </w:rPr>
              <w:t>Naqvi et al., 2022</w:t>
              <w:br/>
              <w:t>(Theor. App. Clim.)</w:t>
            </w:r>
          </w:p>
        </w:tc>
        <w:tc>
          <w:tcPr>
            <w:tcW w:type="dxa" w:w="1800"/>
            <w:shd w:val="clear" w:color="auto" w:fill="FFFFFF"/>
            <w:vAlign w:val="center"/>
          </w:tcPr>
          <w:p>
            <w:pPr>
              <w:jc w:val="center"/>
            </w:pPr>
            <w:r/>
            <w:r>
              <w:rPr>
                <w:rFonts w:ascii="Arial" w:hAnsi="Arial"/>
                <w:b w:val="0"/>
                <w:i w:val="0"/>
                <w:sz w:val="17"/>
              </w:rPr>
              <w:t>Central Himalaya,</w:t>
              <w:br/>
              <w:t>Nepal (glacial)</w:t>
            </w:r>
          </w:p>
        </w:tc>
        <w:tc>
          <w:tcPr>
            <w:tcW w:type="dxa" w:w="1944"/>
            <w:shd w:val="clear" w:color="auto" w:fill="FFFFFF"/>
            <w:vAlign w:val="center"/>
          </w:tcPr>
          <w:p>
            <w:pPr>
              <w:jc w:val="center"/>
            </w:pPr>
            <w:r/>
            <w:r>
              <w:rPr>
                <w:rFonts w:ascii="Arial" w:hAnsi="Arial"/>
                <w:b w:val="0"/>
                <w:i w:val="0"/>
                <w:sz w:val="17"/>
              </w:rPr>
              <w:t>MLR + ANN</w:t>
            </w:r>
          </w:p>
        </w:tc>
        <w:tc>
          <w:tcPr>
            <w:tcW w:type="dxa" w:w="1008"/>
            <w:shd w:val="clear" w:color="auto" w:fill="FFFFFF"/>
            <w:vAlign w:val="center"/>
          </w:tcPr>
          <w:p>
            <w:pPr>
              <w:jc w:val="center"/>
            </w:pPr>
            <w:r/>
            <w:r>
              <w:rPr>
                <w:rFonts w:ascii="Arial" w:hAnsi="Arial"/>
                <w:b w:val="0"/>
                <w:i w:val="0"/>
                <w:sz w:val="17"/>
              </w:rPr>
              <w:t>3-hourly</w:t>
              <w:br/>
              <w:t>(monsoon)</w:t>
            </w:r>
          </w:p>
        </w:tc>
        <w:tc>
          <w:tcPr>
            <w:tcW w:type="dxa" w:w="1080"/>
            <w:shd w:val="clear" w:color="auto" w:fill="FFFFFF"/>
            <w:vAlign w:val="center"/>
          </w:tcPr>
          <w:p>
            <w:pPr>
              <w:jc w:val="center"/>
            </w:pPr>
            <w:r/>
            <w:r>
              <w:rPr>
                <w:rFonts w:ascii="Arial" w:hAnsi="Arial"/>
                <w:b w:val="0"/>
                <w:i w:val="0"/>
                <w:sz w:val="17"/>
              </w:rPr>
              <w:t>~0.80–0.88</w:t>
            </w:r>
          </w:p>
        </w:tc>
        <w:tc>
          <w:tcPr>
            <w:tcW w:type="dxa" w:w="936"/>
            <w:shd w:val="clear" w:color="auto" w:fill="FFFFFF"/>
            <w:vAlign w:val="center"/>
          </w:tcPr>
          <w:p>
            <w:pPr>
              <w:jc w:val="center"/>
            </w:pPr>
            <w:r/>
            <w:r>
              <w:rPr>
                <w:rFonts w:ascii="Arial" w:hAnsi="Arial"/>
                <w:b w:val="0"/>
                <w:i w:val="0"/>
                <w:sz w:val="17"/>
              </w:rPr>
              <w:t>N/R</w:t>
            </w:r>
          </w:p>
        </w:tc>
        <w:tc>
          <w:tcPr>
            <w:tcW w:type="dxa" w:w="2808"/>
            <w:shd w:val="clear" w:color="auto" w:fill="FFFFFF"/>
            <w:vAlign w:val="center"/>
          </w:tcPr>
          <w:p>
            <w:pPr>
              <w:jc w:val="center"/>
            </w:pPr>
            <w:r/>
            <w:r>
              <w:rPr>
                <w:rFonts w:ascii="Arial" w:hAnsi="Arial"/>
                <w:b w:val="0"/>
                <w:i w:val="0"/>
                <w:sz w:val="17"/>
              </w:rPr>
              <w:t>Glacier melt SSC; monsoon season only; no daily year-round</w:t>
            </w:r>
          </w:p>
        </w:tc>
      </w:tr>
      <w:tr>
        <w:tc>
          <w:tcPr>
            <w:tcW w:type="dxa" w:w="1944"/>
            <w:shd w:val="clear" w:color="auto" w:fill="F2F7FC"/>
            <w:vAlign w:val="center"/>
          </w:tcPr>
          <w:p>
            <w:pPr>
              <w:jc w:val="center"/>
            </w:pPr>
            <w:r/>
            <w:r>
              <w:rPr>
                <w:rFonts w:ascii="Arial" w:hAnsi="Arial"/>
                <w:b w:val="0"/>
                <w:i w:val="0"/>
                <w:sz w:val="17"/>
              </w:rPr>
              <w:t>Kumar et al., 2020</w:t>
              <w:br/>
              <w:t>(Sustain. Water)</w:t>
            </w:r>
          </w:p>
        </w:tc>
        <w:tc>
          <w:tcPr>
            <w:tcW w:type="dxa" w:w="1800"/>
            <w:shd w:val="clear" w:color="auto" w:fill="F2F7FC"/>
            <w:vAlign w:val="center"/>
          </w:tcPr>
          <w:p>
            <w:pPr>
              <w:jc w:val="center"/>
            </w:pPr>
            <w:r/>
            <w:r>
              <w:rPr>
                <w:rFonts w:ascii="Arial" w:hAnsi="Arial"/>
                <w:b w:val="0"/>
                <w:i w:val="0"/>
                <w:sz w:val="17"/>
              </w:rPr>
              <w:t>Bhagirathi,</w:t>
              <w:br/>
              <w:t>India (Himalaya)</w:t>
            </w:r>
          </w:p>
        </w:tc>
        <w:tc>
          <w:tcPr>
            <w:tcW w:type="dxa" w:w="1944"/>
            <w:shd w:val="clear" w:color="auto" w:fill="F2F7FC"/>
            <w:vAlign w:val="center"/>
          </w:tcPr>
          <w:p>
            <w:pPr>
              <w:jc w:val="center"/>
            </w:pPr>
            <w:r/>
            <w:r>
              <w:rPr>
                <w:rFonts w:ascii="Arial" w:hAnsi="Arial"/>
                <w:b w:val="0"/>
                <w:i w:val="0"/>
                <w:sz w:val="17"/>
              </w:rPr>
              <w:t>ANN (NARX)</w:t>
            </w:r>
          </w:p>
        </w:tc>
        <w:tc>
          <w:tcPr>
            <w:tcW w:type="dxa" w:w="1008"/>
            <w:shd w:val="clear" w:color="auto" w:fill="F2F7FC"/>
            <w:vAlign w:val="center"/>
          </w:tcPr>
          <w:p>
            <w:pPr>
              <w:jc w:val="center"/>
            </w:pPr>
            <w:r/>
            <w:r>
              <w:rPr>
                <w:rFonts w:ascii="Arial" w:hAnsi="Arial"/>
                <w:b w:val="0"/>
                <w:i w:val="0"/>
                <w:sz w:val="17"/>
              </w:rPr>
              <w:t>3-hourly</w:t>
              <w:br/>
              <w:t>(monsoon)</w:t>
            </w:r>
          </w:p>
        </w:tc>
        <w:tc>
          <w:tcPr>
            <w:tcW w:type="dxa" w:w="1080"/>
            <w:shd w:val="clear" w:color="auto" w:fill="F2F7FC"/>
            <w:vAlign w:val="center"/>
          </w:tcPr>
          <w:p>
            <w:pPr>
              <w:jc w:val="center"/>
            </w:pPr>
            <w:r/>
            <w:r>
              <w:rPr>
                <w:rFonts w:ascii="Arial" w:hAnsi="Arial"/>
                <w:b w:val="0"/>
                <w:i w:val="0"/>
                <w:sz w:val="17"/>
              </w:rPr>
              <w:t>0.89–0.97</w:t>
            </w:r>
          </w:p>
        </w:tc>
        <w:tc>
          <w:tcPr>
            <w:tcW w:type="dxa" w:w="936"/>
            <w:shd w:val="clear" w:color="auto" w:fill="F2F7FC"/>
            <w:vAlign w:val="center"/>
          </w:tcPr>
          <w:p>
            <w:pPr>
              <w:jc w:val="center"/>
            </w:pPr>
            <w:r/>
            <w:r>
              <w:rPr>
                <w:rFonts w:ascii="Arial" w:hAnsi="Arial"/>
                <w:b w:val="0"/>
                <w:i w:val="0"/>
                <w:sz w:val="17"/>
              </w:rPr>
              <w:t>N/R</w:t>
            </w:r>
          </w:p>
        </w:tc>
        <w:tc>
          <w:tcPr>
            <w:tcW w:type="dxa" w:w="2808"/>
            <w:shd w:val="clear" w:color="auto" w:fill="F2F7FC"/>
            <w:vAlign w:val="center"/>
          </w:tcPr>
          <w:p>
            <w:pPr>
              <w:jc w:val="center"/>
            </w:pPr>
            <w:r/>
            <w:r>
              <w:rPr>
                <w:rFonts w:ascii="Arial" w:hAnsi="Arial"/>
                <w:b w:val="0"/>
                <w:i w:val="0"/>
                <w:sz w:val="17"/>
              </w:rPr>
              <w:t>Monsoon season data only; high-freq. data; not full annual</w:t>
            </w:r>
          </w:p>
        </w:tc>
      </w:tr>
      <w:tr>
        <w:tc>
          <w:tcPr>
            <w:tcW w:type="dxa" w:w="1944"/>
            <w:shd w:val="clear" w:color="auto" w:fill="FFFFFF"/>
            <w:vAlign w:val="center"/>
          </w:tcPr>
          <w:p>
            <w:pPr>
              <w:jc w:val="center"/>
            </w:pPr>
            <w:r/>
            <w:r>
              <w:rPr>
                <w:rFonts w:ascii="Arial" w:hAnsi="Arial"/>
                <w:b w:val="0"/>
                <w:i w:val="0"/>
                <w:sz w:val="17"/>
              </w:rPr>
              <w:t>Khosravi et al., 2021</w:t>
              <w:br/>
              <w:t>(Sci. Rep.)</w:t>
            </w:r>
          </w:p>
        </w:tc>
        <w:tc>
          <w:tcPr>
            <w:tcW w:type="dxa" w:w="1800"/>
            <w:shd w:val="clear" w:color="auto" w:fill="FFFFFF"/>
            <w:vAlign w:val="center"/>
          </w:tcPr>
          <w:p>
            <w:pPr>
              <w:jc w:val="center"/>
            </w:pPr>
            <w:r/>
            <w:r>
              <w:rPr>
                <w:rFonts w:ascii="Arial" w:hAnsi="Arial"/>
                <w:b w:val="0"/>
                <w:i w:val="0"/>
                <w:sz w:val="17"/>
              </w:rPr>
              <w:t>Global / multiple</w:t>
            </w:r>
          </w:p>
        </w:tc>
        <w:tc>
          <w:tcPr>
            <w:tcW w:type="dxa" w:w="1944"/>
            <w:shd w:val="clear" w:color="auto" w:fill="FFFFFF"/>
            <w:vAlign w:val="center"/>
          </w:tcPr>
          <w:p>
            <w:pPr>
              <w:jc w:val="center"/>
            </w:pPr>
            <w:r/>
            <w:r>
              <w:rPr>
                <w:rFonts w:ascii="Arial" w:hAnsi="Arial"/>
                <w:b w:val="0"/>
                <w:i w:val="0"/>
                <w:sz w:val="17"/>
              </w:rPr>
              <w:t>LSTM</w:t>
            </w:r>
          </w:p>
        </w:tc>
        <w:tc>
          <w:tcPr>
            <w:tcW w:type="dxa" w:w="1008"/>
            <w:shd w:val="clear" w:color="auto" w:fill="FFFFFF"/>
            <w:vAlign w:val="center"/>
          </w:tcPr>
          <w:p>
            <w:pPr>
              <w:jc w:val="center"/>
            </w:pPr>
            <w:r/>
            <w:r>
              <w:rPr>
                <w:rFonts w:ascii="Arial" w:hAnsi="Arial"/>
                <w:b w:val="0"/>
                <w:i w:val="0"/>
                <w:sz w:val="17"/>
              </w:rPr>
              <w:t>Daily</w:t>
            </w:r>
          </w:p>
        </w:tc>
        <w:tc>
          <w:tcPr>
            <w:tcW w:type="dxa" w:w="1080"/>
            <w:shd w:val="clear" w:color="auto" w:fill="FFFFFF"/>
            <w:vAlign w:val="center"/>
          </w:tcPr>
          <w:p>
            <w:pPr>
              <w:jc w:val="center"/>
            </w:pPr>
            <w:r/>
            <w:r>
              <w:rPr>
                <w:rFonts w:ascii="Arial" w:hAnsi="Arial"/>
                <w:b w:val="0"/>
                <w:i w:val="0"/>
                <w:sz w:val="17"/>
              </w:rPr>
              <w:t>NSE 0.88–0.96</w:t>
            </w:r>
          </w:p>
        </w:tc>
        <w:tc>
          <w:tcPr>
            <w:tcW w:type="dxa" w:w="936"/>
            <w:shd w:val="clear" w:color="auto" w:fill="FFFFFF"/>
            <w:vAlign w:val="center"/>
          </w:tcPr>
          <w:p>
            <w:pPr>
              <w:jc w:val="center"/>
            </w:pPr>
            <w:r/>
            <w:r>
              <w:rPr>
                <w:rFonts w:ascii="Arial" w:hAnsi="Arial"/>
                <w:b w:val="0"/>
                <w:i w:val="0"/>
                <w:sz w:val="17"/>
              </w:rPr>
              <w:t>N/R</w:t>
            </w:r>
          </w:p>
        </w:tc>
        <w:tc>
          <w:tcPr>
            <w:tcW w:type="dxa" w:w="2808"/>
            <w:shd w:val="clear" w:color="auto" w:fill="FFFFFF"/>
            <w:vAlign w:val="center"/>
          </w:tcPr>
          <w:p>
            <w:pPr>
              <w:jc w:val="center"/>
            </w:pPr>
            <w:r/>
            <w:r>
              <w:rPr>
                <w:rFonts w:ascii="Arial" w:hAnsi="Arial"/>
                <w:b w:val="0"/>
                <w:i w:val="0"/>
                <w:sz w:val="17"/>
              </w:rPr>
              <w:t>Large US rivers (Mississippi, Missouri); much larger datasets</w:t>
            </w:r>
          </w:p>
        </w:tc>
      </w:tr>
      <w:tr>
        <w:tc>
          <w:tcPr>
            <w:tcW w:type="dxa" w:w="1944"/>
            <w:shd w:val="clear" w:color="auto" w:fill="F2F7FC"/>
            <w:vAlign w:val="center"/>
          </w:tcPr>
          <w:p>
            <w:pPr>
              <w:jc w:val="center"/>
            </w:pPr>
            <w:r/>
            <w:r>
              <w:rPr>
                <w:rFonts w:ascii="Arial" w:hAnsi="Arial"/>
                <w:b w:val="0"/>
                <w:i w:val="0"/>
                <w:sz w:val="17"/>
              </w:rPr>
              <w:t>Zhao et al., 2025</w:t>
              <w:br/>
              <w:t>(J. Hydrol.)</w:t>
            </w:r>
          </w:p>
        </w:tc>
        <w:tc>
          <w:tcPr>
            <w:tcW w:type="dxa" w:w="1800"/>
            <w:shd w:val="clear" w:color="auto" w:fill="F2F7FC"/>
            <w:vAlign w:val="center"/>
          </w:tcPr>
          <w:p>
            <w:pPr>
              <w:jc w:val="center"/>
            </w:pPr>
            <w:r/>
            <w:r>
              <w:rPr>
                <w:rFonts w:ascii="Arial" w:hAnsi="Arial"/>
                <w:b w:val="0"/>
                <w:i w:val="0"/>
                <w:sz w:val="17"/>
              </w:rPr>
              <w:t>Conterminous US</w:t>
              <w:br/>
              <w:t>(LSTM)</w:t>
            </w:r>
          </w:p>
        </w:tc>
        <w:tc>
          <w:tcPr>
            <w:tcW w:type="dxa" w:w="1944"/>
            <w:shd w:val="clear" w:color="auto" w:fill="F2F7FC"/>
            <w:vAlign w:val="center"/>
          </w:tcPr>
          <w:p>
            <w:pPr>
              <w:jc w:val="center"/>
            </w:pPr>
            <w:r/>
            <w:r>
              <w:rPr>
                <w:rFonts w:ascii="Arial" w:hAnsi="Arial"/>
                <w:b w:val="0"/>
                <w:i w:val="0"/>
                <w:sz w:val="17"/>
              </w:rPr>
              <w:t>LSTM (regional)</w:t>
            </w:r>
          </w:p>
        </w:tc>
        <w:tc>
          <w:tcPr>
            <w:tcW w:type="dxa" w:w="1008"/>
            <w:shd w:val="clear" w:color="auto" w:fill="F2F7FC"/>
            <w:vAlign w:val="center"/>
          </w:tcPr>
          <w:p>
            <w:pPr>
              <w:jc w:val="center"/>
            </w:pPr>
            <w:r/>
            <w:r>
              <w:rPr>
                <w:rFonts w:ascii="Arial" w:hAnsi="Arial"/>
                <w:b w:val="0"/>
                <w:i w:val="0"/>
                <w:sz w:val="17"/>
              </w:rPr>
              <w:t>Daily</w:t>
            </w:r>
          </w:p>
        </w:tc>
        <w:tc>
          <w:tcPr>
            <w:tcW w:type="dxa" w:w="1080"/>
            <w:shd w:val="clear" w:color="auto" w:fill="F2F7FC"/>
            <w:vAlign w:val="center"/>
          </w:tcPr>
          <w:p>
            <w:pPr>
              <w:jc w:val="center"/>
            </w:pPr>
            <w:r/>
            <w:r>
              <w:rPr>
                <w:rFonts w:ascii="Arial" w:hAnsi="Arial"/>
                <w:b w:val="0"/>
                <w:i w:val="0"/>
                <w:sz w:val="17"/>
              </w:rPr>
              <w:t>Median R² 0.63</w:t>
            </w:r>
          </w:p>
        </w:tc>
        <w:tc>
          <w:tcPr>
            <w:tcW w:type="dxa" w:w="936"/>
            <w:shd w:val="clear" w:color="auto" w:fill="F2F7FC"/>
            <w:vAlign w:val="center"/>
          </w:tcPr>
          <w:p>
            <w:pPr>
              <w:jc w:val="center"/>
            </w:pPr>
            <w:r/>
            <w:r>
              <w:rPr>
                <w:rFonts w:ascii="Arial" w:hAnsi="Arial"/>
                <w:b w:val="0"/>
                <w:i w:val="0"/>
                <w:sz w:val="17"/>
              </w:rPr>
              <w:t>N/R</w:t>
            </w:r>
          </w:p>
        </w:tc>
        <w:tc>
          <w:tcPr>
            <w:tcW w:type="dxa" w:w="2808"/>
            <w:shd w:val="clear" w:color="auto" w:fill="F2F7FC"/>
            <w:vAlign w:val="center"/>
          </w:tcPr>
          <w:p>
            <w:pPr>
              <w:jc w:val="center"/>
            </w:pPr>
            <w:r/>
            <w:r>
              <w:rPr>
                <w:rFonts w:ascii="Arial" w:hAnsi="Arial"/>
                <w:b w:val="0"/>
                <w:i w:val="0"/>
                <w:sz w:val="17"/>
              </w:rPr>
              <w:t>78% of catchments with NSE&gt;0; data-rich; no physics constraints</w:t>
            </w:r>
          </w:p>
        </w:tc>
      </w:tr>
      <w:tr>
        <w:tc>
          <w:tcPr>
            <w:tcW w:type="dxa" w:w="1944"/>
            <w:shd w:val="clear" w:color="auto" w:fill="FFFFFF"/>
            <w:vAlign w:val="center"/>
          </w:tcPr>
          <w:p>
            <w:pPr>
              <w:jc w:val="center"/>
            </w:pPr>
            <w:r/>
            <w:r>
              <w:rPr>
                <w:rFonts w:ascii="Arial" w:hAnsi="Arial"/>
                <w:b w:val="0"/>
                <w:i w:val="0"/>
                <w:sz w:val="17"/>
              </w:rPr>
              <w:t>Liu et al., 2024</w:t>
              <w:br/>
              <w:t>(Env. Sci. Poll.)</w:t>
            </w:r>
          </w:p>
        </w:tc>
        <w:tc>
          <w:tcPr>
            <w:tcW w:type="dxa" w:w="1800"/>
            <w:shd w:val="clear" w:color="auto" w:fill="FFFFFF"/>
            <w:vAlign w:val="center"/>
          </w:tcPr>
          <w:p>
            <w:pPr>
              <w:jc w:val="center"/>
            </w:pPr>
            <w:r/>
            <w:r>
              <w:rPr>
                <w:rFonts w:ascii="Arial" w:hAnsi="Arial"/>
                <w:b w:val="0"/>
                <w:i w:val="0"/>
                <w:sz w:val="17"/>
              </w:rPr>
              <w:t>China river basin</w:t>
            </w:r>
          </w:p>
        </w:tc>
        <w:tc>
          <w:tcPr>
            <w:tcW w:type="dxa" w:w="1944"/>
            <w:shd w:val="clear" w:color="auto" w:fill="FFFFFF"/>
            <w:vAlign w:val="center"/>
          </w:tcPr>
          <w:p>
            <w:pPr>
              <w:jc w:val="center"/>
            </w:pPr>
            <w:r/>
            <w:r>
              <w:rPr>
                <w:rFonts w:ascii="Arial" w:hAnsi="Arial"/>
                <w:b w:val="0"/>
                <w:i w:val="0"/>
                <w:sz w:val="17"/>
              </w:rPr>
              <w:t>Physics-informed ML</w:t>
              <w:br/>
              <w:t>(DNN, XGBoost)</w:t>
            </w:r>
          </w:p>
        </w:tc>
        <w:tc>
          <w:tcPr>
            <w:tcW w:type="dxa" w:w="1008"/>
            <w:shd w:val="clear" w:color="auto" w:fill="FFFFFF"/>
            <w:vAlign w:val="center"/>
          </w:tcPr>
          <w:p>
            <w:pPr>
              <w:jc w:val="center"/>
            </w:pPr>
            <w:r/>
            <w:r>
              <w:rPr>
                <w:rFonts w:ascii="Arial" w:hAnsi="Arial"/>
                <w:b w:val="0"/>
                <w:i w:val="0"/>
                <w:sz w:val="17"/>
              </w:rPr>
              <w:t>Monthly</w:t>
            </w:r>
          </w:p>
        </w:tc>
        <w:tc>
          <w:tcPr>
            <w:tcW w:type="dxa" w:w="1080"/>
            <w:shd w:val="clear" w:color="auto" w:fill="FFFFFF"/>
            <w:vAlign w:val="center"/>
          </w:tcPr>
          <w:p>
            <w:pPr>
              <w:jc w:val="center"/>
            </w:pPr>
            <w:r/>
            <w:r>
              <w:rPr>
                <w:rFonts w:ascii="Arial" w:hAnsi="Arial"/>
                <w:b w:val="0"/>
                <w:i w:val="0"/>
                <w:sz w:val="17"/>
              </w:rPr>
              <w:t>NSE +10–41%</w:t>
              <w:br/>
              <w:t>over MUSLE</w:t>
            </w:r>
          </w:p>
        </w:tc>
        <w:tc>
          <w:tcPr>
            <w:tcW w:type="dxa" w:w="936"/>
            <w:shd w:val="clear" w:color="auto" w:fill="FFFFFF"/>
            <w:vAlign w:val="center"/>
          </w:tcPr>
          <w:p>
            <w:pPr>
              <w:jc w:val="center"/>
            </w:pPr>
            <w:r/>
            <w:r>
              <w:rPr>
                <w:rFonts w:ascii="Arial" w:hAnsi="Arial"/>
                <w:b w:val="0"/>
                <w:i w:val="0"/>
                <w:sz w:val="17"/>
              </w:rPr>
              <w:t>N/R</w:t>
            </w:r>
          </w:p>
        </w:tc>
        <w:tc>
          <w:tcPr>
            <w:tcW w:type="dxa" w:w="2808"/>
            <w:shd w:val="clear" w:color="auto" w:fill="FFFFFF"/>
            <w:vAlign w:val="center"/>
          </w:tcPr>
          <w:p>
            <w:pPr>
              <w:jc w:val="center"/>
            </w:pPr>
            <w:r/>
            <w:r>
              <w:rPr>
                <w:rFonts w:ascii="Arial" w:hAnsi="Arial"/>
                <w:b w:val="0"/>
                <w:i w:val="0"/>
                <w:sz w:val="17"/>
              </w:rPr>
              <w:t>Sediment yield (not SSC); physics = MUSLE process model</w:t>
            </w:r>
          </w:p>
        </w:tc>
      </w:tr>
      <w:tr>
        <w:tc>
          <w:tcPr>
            <w:tcW w:type="dxa" w:w="1944"/>
            <w:shd w:val="clear" w:color="auto" w:fill="F2F7FC"/>
            <w:vAlign w:val="center"/>
          </w:tcPr>
          <w:p>
            <w:pPr>
              <w:jc w:val="center"/>
            </w:pPr>
            <w:r/>
            <w:r>
              <w:rPr>
                <w:rFonts w:ascii="Arial" w:hAnsi="Arial"/>
                <w:b w:val="0"/>
                <w:i w:val="0"/>
                <w:sz w:val="17"/>
              </w:rPr>
              <w:t>Pham et al., 2023</w:t>
              <w:br/>
              <w:t>(J. Water Clim.)</w:t>
            </w:r>
          </w:p>
        </w:tc>
        <w:tc>
          <w:tcPr>
            <w:tcW w:type="dxa" w:w="1800"/>
            <w:shd w:val="clear" w:color="auto" w:fill="F2F7FC"/>
            <w:vAlign w:val="center"/>
          </w:tcPr>
          <w:p>
            <w:pPr>
              <w:jc w:val="center"/>
            </w:pPr>
            <w:r/>
            <w:r>
              <w:rPr>
                <w:rFonts w:ascii="Arial" w:hAnsi="Arial"/>
                <w:b w:val="0"/>
                <w:i w:val="0"/>
                <w:sz w:val="17"/>
              </w:rPr>
              <w:t>Ca River, Vietnam</w:t>
              <w:br/>
              <w:t>(tropical)</w:t>
            </w:r>
          </w:p>
        </w:tc>
        <w:tc>
          <w:tcPr>
            <w:tcW w:type="dxa" w:w="1944"/>
            <w:shd w:val="clear" w:color="auto" w:fill="F2F7FC"/>
            <w:vAlign w:val="center"/>
          </w:tcPr>
          <w:p>
            <w:pPr>
              <w:jc w:val="center"/>
            </w:pPr>
            <w:r/>
            <w:r>
              <w:rPr>
                <w:rFonts w:ascii="Arial" w:hAnsi="Arial"/>
                <w:b w:val="0"/>
                <w:i w:val="0"/>
                <w:sz w:val="17"/>
              </w:rPr>
              <w:t>LSTM + regression</w:t>
            </w:r>
          </w:p>
        </w:tc>
        <w:tc>
          <w:tcPr>
            <w:tcW w:type="dxa" w:w="1008"/>
            <w:shd w:val="clear" w:color="auto" w:fill="F2F7FC"/>
            <w:vAlign w:val="center"/>
          </w:tcPr>
          <w:p>
            <w:pPr>
              <w:jc w:val="center"/>
            </w:pPr>
            <w:r/>
            <w:r>
              <w:rPr>
                <w:rFonts w:ascii="Arial" w:hAnsi="Arial"/>
                <w:b w:val="0"/>
                <w:i w:val="0"/>
                <w:sz w:val="17"/>
              </w:rPr>
              <w:t>Daily</w:t>
            </w:r>
          </w:p>
        </w:tc>
        <w:tc>
          <w:tcPr>
            <w:tcW w:type="dxa" w:w="1080"/>
            <w:shd w:val="clear" w:color="auto" w:fill="F2F7FC"/>
            <w:vAlign w:val="center"/>
          </w:tcPr>
          <w:p>
            <w:pPr>
              <w:jc w:val="center"/>
            </w:pPr>
            <w:r/>
            <w:r>
              <w:rPr>
                <w:rFonts w:ascii="Arial" w:hAnsi="Arial"/>
                <w:b w:val="0"/>
                <w:i w:val="0"/>
                <w:sz w:val="17"/>
              </w:rPr>
              <w:t>R² ~0.70–0.79</w:t>
            </w:r>
          </w:p>
        </w:tc>
        <w:tc>
          <w:tcPr>
            <w:tcW w:type="dxa" w:w="936"/>
            <w:shd w:val="clear" w:color="auto" w:fill="F2F7FC"/>
            <w:vAlign w:val="center"/>
          </w:tcPr>
          <w:p>
            <w:pPr>
              <w:jc w:val="center"/>
            </w:pPr>
            <w:r/>
            <w:r>
              <w:rPr>
                <w:rFonts w:ascii="Arial" w:hAnsi="Arial"/>
                <w:b w:val="0"/>
                <w:i w:val="0"/>
                <w:sz w:val="17"/>
              </w:rPr>
              <w:t>N/R</w:t>
            </w:r>
          </w:p>
        </w:tc>
        <w:tc>
          <w:tcPr>
            <w:tcW w:type="dxa" w:w="2808"/>
            <w:shd w:val="clear" w:color="auto" w:fill="F2F7FC"/>
            <w:vAlign w:val="center"/>
          </w:tcPr>
          <w:p>
            <w:pPr>
              <w:jc w:val="center"/>
            </w:pPr>
            <w:r/>
            <w:r>
              <w:rPr>
                <w:rFonts w:ascii="Arial" w:hAnsi="Arial"/>
                <w:b w:val="0"/>
                <w:i w:val="0"/>
                <w:sz w:val="17"/>
              </w:rPr>
              <w:t>Tropical monsoon; no physics constraints; no SSL</w:t>
            </w:r>
          </w:p>
        </w:tc>
      </w:tr>
    </w:tbl>
    <w:p>
      <w:r>
        <w:rPr>
          <w:rFonts w:ascii="Arial" w:hAnsi="Arial"/>
          <w:i/>
          <w:sz w:val="18"/>
        </w:rPr>
        <w:t>Table 2. Comparison with published SSC/SSL prediction studies on Himalayan and monsoon-driven rivers. N/R = not reported. Studies using sub-daily or seasonal-only data are not directly comparable to full daily annual results.</w:t>
      </w:r>
    </w:p>
    <w:p/>
    <w:p>
      <w:pPr>
        <w:pStyle w:val="Heading1"/>
        <w:jc w:val="left"/>
      </w:pPr>
      <w:r>
        <w:rPr>
          <w:rFonts w:ascii="Arial" w:hAnsi="Arial"/>
          <w:color w:val="1F497D"/>
          <w:sz w:val="32"/>
        </w:rPr>
        <w:t>5. Key Differences and Novelties That Could Attract Journal Attention</w:t>
      </w:r>
    </w:p>
    <w:p>
      <w:r>
        <w:rPr>
          <w:rFonts w:ascii="Arial" w:hAnsi="Arial"/>
          <w:b w:val="0"/>
          <w:i w:val="0"/>
          <w:sz w:val="22"/>
        </w:rPr>
        <w:t>Below are the aspects of your study that most distinguish it from the published literature, ranked approximately by likely impact on Journal of Hydrology reviewers.</w:t>
      </w:r>
    </w:p>
    <w:p>
      <w:pPr>
        <w:spacing w:before="120"/>
      </w:pPr>
      <w:r>
        <w:rPr>
          <w:rFonts w:ascii="Arial" w:hAnsi="Arial"/>
          <w:b/>
          <w:i w:val="0"/>
          <w:color w:val="1F497D"/>
          <w:sz w:val="22"/>
        </w:rPr>
        <w:t>N1 — First physics-guided neural network for SSC+SSL on a Nepali Himalayan river</w:t>
      </w:r>
    </w:p>
    <w:p/>
    <w:p>
      <w:pPr>
        <w:spacing w:after="80"/>
        <w:ind w:left="504"/>
      </w:pPr>
      <w:r>
        <w:rPr>
          <w:rFonts w:ascii="Arial" w:hAnsi="Arial"/>
          <w:sz w:val="22"/>
        </w:rPr>
        <w:t>No published study has applied PGNN / PINN methodology to any river in Nepal. Existing Nepal-based ML sediment studies (Bharati et al. 2019; Regmi &amp; Mishra 2015) rely on standard ANN or SVM with no physics embedding. Your dual-regime Yang-constraint PGNN is a methodological first for this region, directly addressing the 'black-box' critique that editors of Journal of Hydrology raise against pure data-driven sediment models.</w:t>
      </w:r>
    </w:p>
    <w:p>
      <w:pPr>
        <w:spacing w:before="120"/>
      </w:pPr>
      <w:r>
        <w:rPr>
          <w:rFonts w:ascii="Arial" w:hAnsi="Arial"/>
          <w:b/>
          <w:i w:val="0"/>
          <w:color w:val="1F497D"/>
          <w:sz w:val="22"/>
        </w:rPr>
        <w:t>N2 — Dual-regime physics constraints rooted in Yang (1996) transport capacity</w:t>
      </w:r>
    </w:p>
    <w:p/>
    <w:p>
      <w:pPr>
        <w:spacing w:after="80"/>
        <w:ind w:left="504"/>
      </w:pPr>
      <w:r>
        <w:rPr>
          <w:rFonts w:ascii="Arial" w:hAnsi="Arial"/>
          <w:sz w:val="22"/>
        </w:rPr>
        <w:t>Existing PINN/PGNN studies in sediment science either embed Navier–Stokes equations (pipe flows) or MUSLE-based yield models (monthly scale). Your study is among the first to embed the Yang unit stream power equation as a soft ceiling constraint in a neural network trained on daily river data — a physically grounded, interpretable constraint that prevents unrealistic SSC predictions during high-flow events.</w:t>
      </w:r>
    </w:p>
    <w:p>
      <w:pPr>
        <w:spacing w:before="120"/>
      </w:pPr>
      <w:r>
        <w:rPr>
          <w:rFonts w:ascii="Arial" w:hAnsi="Arial"/>
          <w:b/>
          <w:i w:val="0"/>
          <w:color w:val="1F497D"/>
          <w:sz w:val="22"/>
        </w:rPr>
        <w:t>N3 — Simultaneous SSC and SSL prediction with physical mass-balance consistency</w:t>
      </w:r>
    </w:p>
    <w:p/>
    <w:p>
      <w:pPr>
        <w:spacing w:after="80"/>
        <w:ind w:left="504"/>
      </w:pPr>
      <w:r>
        <w:rPr>
          <w:rFonts w:ascii="Arial" w:hAnsi="Arial"/>
          <w:sz w:val="22"/>
        </w:rPr>
        <w:t>Most published studies predict either SSC or SSL in isolation. Your PGNN jointly predicts both and enforces a mass balance constraint (SSL = SSC × Q × conversion factor) as a soft regulariser, ensuring that the two predictions are internally consistent. This is particularly valuable for water resource planning (reservoir sedimentation, hydropower maintenance) in Nepal, where both quantities are operationally important.</w:t>
      </w:r>
    </w:p>
    <w:p>
      <w:pPr>
        <w:spacing w:before="120"/>
      </w:pPr>
      <w:r>
        <w:rPr>
          <w:rFonts w:ascii="Arial" w:hAnsi="Arial"/>
          <w:b/>
          <w:i w:val="0"/>
          <w:color w:val="1F497D"/>
          <w:sz w:val="22"/>
        </w:rPr>
        <w:t>N4 — Full annual daily prediction (not monsoon-season-only)</w:t>
      </w:r>
    </w:p>
    <w:p/>
    <w:p>
      <w:pPr>
        <w:spacing w:after="80"/>
        <w:ind w:left="504"/>
      </w:pPr>
      <w:r>
        <w:rPr>
          <w:rFonts w:ascii="Arial" w:hAnsi="Arial"/>
          <w:sz w:val="22"/>
        </w:rPr>
        <w:t>The two highest-performing published Himalayan studies (Kumar et al. 2020: R²=0.89–0.97; Naqvi et al. 2022: R²=0.80–0.88) achieve their metrics using 3-hourly monsoon-season data only, where discharge and SSC co-vary strongly. Your PGNN achieves NSE = 0.644 for the full annual daily series including the dry season, where SSC variability is low and prediction is inherently harder. This broader temporal scope is much more useful in practice and more challenging methodologically.</w:t>
      </w:r>
    </w:p>
    <w:p>
      <w:pPr>
        <w:spacing w:before="120"/>
      </w:pPr>
      <w:r>
        <w:rPr>
          <w:rFonts w:ascii="Arial" w:hAnsi="Arial"/>
          <w:b/>
          <w:i w:val="0"/>
          <w:color w:val="1F497D"/>
          <w:sz w:val="22"/>
        </w:rPr>
        <w:t>N5 — Low percent bias (PBIAS = −2.6% for SSC, −3.0% for SSL)</w:t>
      </w:r>
    </w:p>
    <w:p/>
    <w:p>
      <w:pPr>
        <w:spacing w:after="80"/>
        <w:ind w:left="504"/>
      </w:pPr>
      <w:r>
        <w:rPr>
          <w:rFonts w:ascii="Arial" w:hAnsi="Arial"/>
          <w:sz w:val="22"/>
        </w:rPr>
        <w:t>The widely cited Kali Gandaki ANN study (the most comparable Nepal paper) reports PBIAS = +14.26%. Your PGNN reduces this by more than 5× to −2.62%, indicating a far more volumetrically accurate model. Low PBIAS is critical for sediment budget calculations and reservoir design studies — a direct selling point to Journal of Hydrology readers focused on water resources management.</w:t>
      </w:r>
    </w:p>
    <w:p>
      <w:pPr>
        <w:spacing w:before="120"/>
      </w:pPr>
      <w:r>
        <w:rPr>
          <w:rFonts w:ascii="Arial" w:hAnsi="Arial"/>
          <w:b/>
          <w:i w:val="0"/>
          <w:color w:val="1F497D"/>
          <w:sz w:val="22"/>
        </w:rPr>
        <w:t>N6 — SSC autoregressive lag features as a critical innovation (+0.5 NSE)</w:t>
      </w:r>
    </w:p>
    <w:p/>
    <w:p>
      <w:pPr>
        <w:spacing w:after="80"/>
        <w:ind w:left="504"/>
      </w:pPr>
      <w:r>
        <w:rPr>
          <w:rFonts w:ascii="Arial" w:hAnsi="Arial"/>
          <w:sz w:val="22"/>
        </w:rPr>
        <w:t>Your systematic model-selection experiment demonstrates that including logSSC_lag1, logSSC_lag2, and dSSC_lag1 consistently adds ~0.5 units to NSE across all model types (Ridge, RF, XGBoost, MLP). This is a clear, quantified, and transferable insight: sediment inertia (hysteresis and wash-out effects) in monsoon-driven rivers is best captured through autoregressive SSC terms, not just discharge lags. Published studies rarely quantify this effect so explicitly.</w:t>
      </w:r>
    </w:p>
    <w:p>
      <w:pPr>
        <w:spacing w:before="120"/>
      </w:pPr>
      <w:r>
        <w:rPr>
          <w:rFonts w:ascii="Arial" w:hAnsi="Arial"/>
          <w:b/>
          <w:i w:val="0"/>
          <w:color w:val="1F497D"/>
          <w:sz w:val="22"/>
        </w:rPr>
        <w:t>N7 — SHAP-based interpretability under physical constraints</w:t>
      </w:r>
    </w:p>
    <w:p/>
    <w:p>
      <w:pPr>
        <w:spacing w:after="80"/>
        <w:ind w:left="504"/>
      </w:pPr>
      <w:r>
        <w:rPr>
          <w:rFonts w:ascii="Arial" w:hAnsi="Arial"/>
          <w:sz w:val="22"/>
        </w:rPr>
        <w:t>SHAP (SHapley Additive exPlanations) feature importance is computed for all models, allowing direct comparison of physically informed vs. data-only feature rankings. The combination of SHAP attribution with physics-constrained training — showing that the model respects transport capacity limits while still learning from data — directly addresses the interpretability demand of modern hydrology journals.</w:t>
      </w:r>
    </w:p>
    <w:p>
      <w:pPr>
        <w:spacing w:before="120"/>
      </w:pPr>
      <w:r>
        <w:rPr>
          <w:rFonts w:ascii="Arial" w:hAnsi="Arial"/>
          <w:b/>
          <w:i w:val="0"/>
          <w:color w:val="1F497D"/>
          <w:sz w:val="22"/>
        </w:rPr>
        <w:t>N8 — West Rapti River: an underrepresented but important Himalayan catchment</w:t>
      </w:r>
    </w:p>
    <w:p/>
    <w:p>
      <w:pPr>
        <w:spacing w:after="80"/>
        <w:ind w:left="504"/>
      </w:pPr>
      <w:r>
        <w:rPr>
          <w:rFonts w:ascii="Arial" w:hAnsi="Arial"/>
          <w:sz w:val="22"/>
        </w:rPr>
        <w:t>The West Rapti is a major trans-boundary river draining into the Ganges, critically important for irrigation and flood management in Nepal's Terai. Despite its hydrological significance, it appears in almost no ML-based SSC literature. Your study fills a documented geographic gap, which strengthens the novelty argument in the introduction and is likely to attract citations from the Nepal / South Asia hydrology community.</w:t>
      </w:r>
    </w:p>
    <w:p/>
    <w:p>
      <w:pPr>
        <w:pStyle w:val="Heading1"/>
        <w:jc w:val="left"/>
      </w:pPr>
      <w:r>
        <w:rPr>
          <w:rFonts w:ascii="Arial" w:hAnsi="Arial"/>
          <w:color w:val="1F497D"/>
          <w:sz w:val="32"/>
        </w:rPr>
        <w:t>6. Weaknesses and Recommended Improvements</w:t>
      </w:r>
    </w:p>
    <w:p>
      <w:r>
        <w:rPr>
          <w:rFonts w:ascii="Arial" w:hAnsi="Arial"/>
          <w:b w:val="0"/>
          <w:i w:val="0"/>
          <w:sz w:val="22"/>
        </w:rPr>
        <w:t>The following issues are likely to be raised by Journal of Hydrology reviewers and should be addressed before or during submission. They are grouped by priority.</w:t>
      </w:r>
    </w:p>
    <w:p/>
    <w:p>
      <w:pPr>
        <w:pStyle w:val="Heading2"/>
        <w:jc w:val="left"/>
      </w:pPr>
      <w:r>
        <w:rPr>
          <w:rFonts w:ascii="Arial" w:hAnsi="Arial"/>
          <w:color w:val="2E74B5"/>
          <w:sz w:val="26"/>
        </w:rPr>
        <w:t>6.1  High Priority (Likely Reviewer Concerns)</w:t>
      </w:r>
    </w:p>
    <w:p>
      <w:pPr>
        <w:spacing w:before="120"/>
      </w:pPr>
      <w:r>
        <w:rPr>
          <w:rFonts w:ascii="Arial" w:hAnsi="Arial"/>
          <w:b/>
          <w:i w:val="0"/>
          <w:color w:val="C00000"/>
          <w:sz w:val="22"/>
        </w:rPr>
        <w:t>I1 — LSTM underperformance (R² = 0.362) needs explanation</w:t>
      </w:r>
    </w:p>
    <w:p/>
    <w:p>
      <w:pPr>
        <w:spacing w:after="80"/>
        <w:ind w:left="504"/>
      </w:pPr>
      <w:r>
        <w:rPr>
          <w:rFonts w:ascii="Arial" w:hAnsi="Arial"/>
          <w:sz w:val="22"/>
        </w:rPr>
        <w:t>Your LSTM achieves a test R² of only 0.362, substantially below ANN (0.625), SVR (0.623), and even simple Ridge regression (0.614). Reviewers will question whether LSTM was properly tuned. The poor performance may reflect (a) sequence length misconfiguration (LSTM expects temporal sequences, not single-step tabular inputs), (b) insufficient data for recurrent training (~1,273 samples is borderline for LSTM), or (c) lack of hyperparameter search. Recommended action: Either perform a brief Optuna-based LSTM hyperparameter search (varying sequence length, hidden units, layers, dropout) and report the optimised result, or include a dedicated discussion section explaining why LSTM underperforms on this dataset size and temporal structure.</w:t>
      </w:r>
    </w:p>
    <w:p>
      <w:pPr>
        <w:spacing w:before="120"/>
      </w:pPr>
      <w:r>
        <w:rPr>
          <w:rFonts w:ascii="Arial" w:hAnsi="Arial"/>
          <w:b/>
          <w:i w:val="0"/>
          <w:color w:val="C00000"/>
          <w:sz w:val="22"/>
        </w:rPr>
        <w:t>I2 — Validation generalisation gap for some models</w:t>
      </w:r>
    </w:p>
    <w:p/>
    <w:p>
      <w:pPr>
        <w:spacing w:after="80"/>
        <w:ind w:left="504"/>
      </w:pPr>
      <w:r>
        <w:rPr>
          <w:rFonts w:ascii="Arial" w:hAnsi="Arial"/>
          <w:sz w:val="22"/>
        </w:rPr>
        <w:t>Several models (PGNN: val NSE = 0.502 vs. test NSE = 0.644; LSTM: val R² = 0.202 vs. test R² = 0.362) show a non-monotonic generalisation pattern. Reviewers may question whether the test water year happened to be an easier year. Recommended action: (a) Report a year-by-year breakdown of model skill (NSE per water year) to show robustness; (b) consider leave-one-year-out cross-validation to provide a bias-corrected estimate of generalisation skill.</w:t>
      </w:r>
    </w:p>
    <w:p>
      <w:pPr>
        <w:spacing w:before="120"/>
      </w:pPr>
      <w:r>
        <w:rPr>
          <w:rFonts w:ascii="Arial" w:hAnsi="Arial"/>
          <w:b/>
          <w:i w:val="0"/>
          <w:color w:val="C00000"/>
          <w:sz w:val="22"/>
        </w:rPr>
        <w:t>I3 — Single-station study limits spatial generalisability</w:t>
      </w:r>
    </w:p>
    <w:p/>
    <w:p>
      <w:pPr>
        <w:spacing w:after="80"/>
        <w:ind w:left="504"/>
      </w:pPr>
      <w:r>
        <w:rPr>
          <w:rFonts w:ascii="Arial" w:hAnsi="Arial"/>
          <w:sz w:val="22"/>
        </w:rPr>
        <w:t>Conclusions drawn from a single gauging station (Jalkundi) are difficult to generalise. Reviewers at Journal of Hydrology will likely request validation at a second station or sub-catchment within the West Rapti basin. Recommended action: Apply the PGNN framework to at least one additional station on the West Rapti or a similar Himalayan catchment (e.g., Kusum, Bagasoti) to demonstrate transferability.</w:t>
      </w:r>
    </w:p>
    <w:p>
      <w:pPr>
        <w:spacing w:before="120"/>
      </w:pPr>
      <w:r>
        <w:rPr>
          <w:rFonts w:ascii="Arial" w:hAnsi="Arial"/>
          <w:b/>
          <w:i w:val="0"/>
          <w:color w:val="C00000"/>
          <w:sz w:val="22"/>
        </w:rPr>
        <w:t>I4 — No uncertainty quantification</w:t>
      </w:r>
    </w:p>
    <w:p/>
    <w:p>
      <w:pPr>
        <w:spacing w:after="80"/>
        <w:ind w:left="504"/>
      </w:pPr>
      <w:r>
        <w:rPr>
          <w:rFonts w:ascii="Arial" w:hAnsi="Arial"/>
          <w:sz w:val="22"/>
        </w:rPr>
        <w:t>The model produces point predictions with no confidence intervals. For a physics-informed model published in Journal of Hydrology, uncertainty bounds are expected. Recommended action: Implement Monte Carlo Dropout during inference (computationally lightweight) or a bootstrap ensemble to produce 90% prediction intervals for SSC and SSL. Report prediction interval coverage (PICP) and mean interval width (MPIW).</w:t>
      </w:r>
    </w:p>
    <w:p>
      <w:pPr>
        <w:spacing w:before="120"/>
      </w:pPr>
      <w:r>
        <w:rPr>
          <w:rFonts w:ascii="Arial" w:hAnsi="Arial"/>
          <w:b/>
          <w:i w:val="0"/>
          <w:color w:val="C00000"/>
          <w:sz w:val="22"/>
        </w:rPr>
        <w:t>I5 — No comparison with a process-based model</w:t>
      </w:r>
    </w:p>
    <w:p/>
    <w:p>
      <w:pPr>
        <w:spacing w:after="80"/>
        <w:ind w:left="504"/>
      </w:pPr>
      <w:r>
        <w:rPr>
          <w:rFonts w:ascii="Arial" w:hAnsi="Arial"/>
          <w:sz w:val="22"/>
        </w:rPr>
        <w:t>Published physics-informed ML papers in Journal of Hydrology typically benchmark against at least one physics-based model (SWAT, HEC-RAS, or a sediment rating curve). A hysteresis-aware sediment rating curve (separate rising-limb and falling-limb power laws) should be included as an additional baseline, which your diagnostics workbook already references. Recommended action: Add the hysteresis-aware SRC as a seventh competitor in Table 1 and discuss where PGNN most improves upon it.</w:t>
      </w:r>
    </w:p>
    <w:p/>
    <w:p>
      <w:pPr>
        <w:pStyle w:val="Heading2"/>
        <w:jc w:val="left"/>
      </w:pPr>
      <w:r>
        <w:rPr>
          <w:rFonts w:ascii="Arial" w:hAnsi="Arial"/>
          <w:color w:val="2E74B5"/>
          <w:sz w:val="26"/>
        </w:rPr>
        <w:t>6.2  Medium Priority (Strengthen the Paper)</w:t>
      </w:r>
    </w:p>
    <w:p>
      <w:pPr>
        <w:spacing w:before="120"/>
      </w:pPr>
      <w:r>
        <w:rPr>
          <w:rFonts w:ascii="Arial" w:hAnsi="Arial"/>
          <w:b/>
          <w:i w:val="0"/>
          <w:color w:val="ED7D31"/>
          <w:sz w:val="22"/>
        </w:rPr>
        <w:t>I6 — Seasonal disaggregation of model skill</w:t>
      </w:r>
    </w:p>
    <w:p/>
    <w:p>
      <w:pPr>
        <w:spacing w:after="80"/>
        <w:ind w:left="504"/>
      </w:pPr>
      <w:r>
        <w:rPr>
          <w:rFonts w:ascii="Arial" w:hAnsi="Arial"/>
          <w:sz w:val="22"/>
        </w:rPr>
        <w:t>Report NSE and RMSE separately for monsoon (June–September) and dry season (October–May). Himalayan SSC is overwhelmingly monsoon-dominated; reporting only annual metrics obscures whether the PGNN's advantage comes from better peak prediction or better dry-season performance. This is a direct test of the dual-regime constraint.</w:t>
      </w:r>
    </w:p>
    <w:p>
      <w:pPr>
        <w:spacing w:before="120"/>
      </w:pPr>
      <w:r>
        <w:rPr>
          <w:rFonts w:ascii="Arial" w:hAnsi="Arial"/>
          <w:b/>
          <w:i w:val="0"/>
          <w:color w:val="ED7D31"/>
          <w:sz w:val="22"/>
        </w:rPr>
        <w:t>I7 — Peak SSC prediction analysis</w:t>
      </w:r>
    </w:p>
    <w:p/>
    <w:p>
      <w:pPr>
        <w:spacing w:after="80"/>
        <w:ind w:left="504"/>
      </w:pPr>
      <w:r>
        <w:rPr>
          <w:rFonts w:ascii="Arial" w:hAnsi="Arial"/>
          <w:sz w:val="22"/>
        </w:rPr>
        <w:t>Log-space training and Huber loss tend to underpredict extreme SSC peaks (right tail of the distribution). Provide a scatter plot of observed vs. predicted SSC for values above the 90th percentile, and report the top-decile NSE separately. The Yang capacity constraint is specifically designed to prevent overprediction of peaks — demonstrate that it also does not suppress legitimate high SSC events.</w:t>
      </w:r>
    </w:p>
    <w:p>
      <w:pPr>
        <w:spacing w:before="120"/>
      </w:pPr>
      <w:r>
        <w:rPr>
          <w:rFonts w:ascii="Arial" w:hAnsi="Arial"/>
          <w:b/>
          <w:i w:val="0"/>
          <w:color w:val="ED7D31"/>
          <w:sz w:val="22"/>
        </w:rPr>
        <w:t>I8 — Clarify the KGE metric reporting</w:t>
      </w:r>
    </w:p>
    <w:p/>
    <w:p>
      <w:pPr>
        <w:spacing w:after="80"/>
        <w:ind w:left="504"/>
      </w:pPr>
      <w:r>
        <w:rPr>
          <w:rFonts w:ascii="Arial" w:hAnsi="Arial"/>
          <w:sz w:val="22"/>
        </w:rPr>
        <w:t>Table 1 (your comparison spreadsheet) omits KGE for XGBoost and Random Forest. KGE is increasingly standard in Journal of Hydrology papers as it decomposes into correlation, bias, and variability components. Include KGE for all models and discuss the variability sub-component, since variance compression (SD_pred &lt; SD_obs) is a known issue in your models.</w:t>
      </w:r>
    </w:p>
    <w:p>
      <w:pPr>
        <w:spacing w:before="120"/>
      </w:pPr>
      <w:r>
        <w:rPr>
          <w:rFonts w:ascii="Arial" w:hAnsi="Arial"/>
          <w:b/>
          <w:i w:val="0"/>
          <w:color w:val="ED7D31"/>
          <w:sz w:val="22"/>
        </w:rPr>
        <w:t>I9 — PINNv3 PBIAS regression (−23%) relative to PGNN (−2.6%)</w:t>
      </w:r>
    </w:p>
    <w:p/>
    <w:p>
      <w:pPr>
        <w:spacing w:after="80"/>
        <w:ind w:left="504"/>
      </w:pPr>
      <w:r>
        <w:rPr>
          <w:rFonts w:ascii="Arial" w:hAnsi="Arial"/>
          <w:sz w:val="22"/>
        </w:rPr>
        <w:t>Your latest PINNv3 architecture achieves a lower overall test R² (0.559) and much higher PBIAS (−23.4%) compared to the PGNN Dual-Regime (R²=0.644, PBIAS=−2.6%). Clarify in the methods section why the simpler PGNN outperforms the more complex v3 and what specific design choices (two-stage training, Yang constraints vs. ultra-light physics) account for the difference. This analysis is itself publishable insight.</w:t>
      </w:r>
    </w:p>
    <w:p>
      <w:pPr>
        <w:spacing w:before="120"/>
      </w:pPr>
      <w:r>
        <w:rPr>
          <w:rFonts w:ascii="Arial" w:hAnsi="Arial"/>
          <w:b/>
          <w:i w:val="0"/>
          <w:color w:val="ED7D31"/>
          <w:sz w:val="22"/>
        </w:rPr>
        <w:t>I10 — Antecedent Precipitation Index (API) validation</w:t>
      </w:r>
    </w:p>
    <w:p/>
    <w:p>
      <w:pPr>
        <w:spacing w:after="80"/>
        <w:ind w:left="504"/>
      </w:pPr>
      <w:r>
        <w:rPr>
          <w:rFonts w:ascii="Arial" w:hAnsi="Arial"/>
          <w:sz w:val="22"/>
        </w:rPr>
        <w:t>The API is computed with a fixed decay coefficient of 0.9 per day. Validate or optimise this coefficient against observed discharge recession curves. An inappropriately chosen decay constant can reduce the information content of the API feature and introduce collinearity with discharge lags.</w:t>
      </w:r>
    </w:p>
    <w:p/>
    <w:p>
      <w:pPr>
        <w:pStyle w:val="Heading2"/>
        <w:jc w:val="left"/>
      </w:pPr>
      <w:r>
        <w:rPr>
          <w:rFonts w:ascii="Arial" w:hAnsi="Arial"/>
          <w:color w:val="2E74B5"/>
          <w:sz w:val="26"/>
        </w:rPr>
        <w:t>6.3  Lower Priority (Nice-to-Have)</w:t>
      </w:r>
    </w:p>
    <w:p>
      <w:pPr>
        <w:spacing w:before="120"/>
      </w:pPr>
      <w:r>
        <w:rPr>
          <w:rFonts w:ascii="Arial" w:hAnsi="Arial"/>
          <w:b/>
          <w:i w:val="0"/>
          <w:color w:val="707070"/>
          <w:sz w:val="22"/>
        </w:rPr>
        <w:t>I11 — Future climate scenario analysis</w:t>
      </w:r>
    </w:p>
    <w:p/>
    <w:p>
      <w:pPr>
        <w:spacing w:after="80"/>
        <w:ind w:left="504"/>
      </w:pPr>
      <w:r>
        <w:rPr>
          <w:rFonts w:ascii="Arial" w:hAnsi="Arial"/>
          <w:sz w:val="22"/>
        </w:rPr>
        <w:t>Journal of Hydrology editors respond very positively to papers that link model results to practical implications under climate change. A brief sensitivity analysis showing how projected changes in monsoon discharge intensity (+20% or −20%) translate to PGNN-predicted SSC and SSL would substantially increase impact.</w:t>
      </w:r>
    </w:p>
    <w:p>
      <w:pPr>
        <w:spacing w:before="120"/>
      </w:pPr>
      <w:r>
        <w:rPr>
          <w:rFonts w:ascii="Arial" w:hAnsi="Arial"/>
          <w:b/>
          <w:i w:val="0"/>
          <w:color w:val="707070"/>
          <w:sz w:val="22"/>
        </w:rPr>
        <w:t>I12 — Temporal trend analysis in the SSC record</w:t>
      </w:r>
    </w:p>
    <w:p/>
    <w:p>
      <w:pPr>
        <w:spacing w:after="80"/>
        <w:ind w:left="504"/>
      </w:pPr>
      <w:r>
        <w:rPr>
          <w:rFonts w:ascii="Arial" w:hAnsi="Arial"/>
          <w:sz w:val="22"/>
        </w:rPr>
        <w:t>Nepal's Himalayan rivers show documented upward trends in suspended sediment loads due to deforestation, road construction, and intensifying monsoons. Test whether the residuals of the PGNN show a temporal trend, which would indicate that the model has not fully captured non-stationarity in the record.</w:t>
      </w:r>
    </w:p>
    <w:p>
      <w:pPr>
        <w:spacing w:before="120"/>
      </w:pPr>
      <w:r>
        <w:rPr>
          <w:rFonts w:ascii="Arial" w:hAnsi="Arial"/>
          <w:b/>
          <w:i w:val="0"/>
          <w:color w:val="707070"/>
          <w:sz w:val="22"/>
        </w:rPr>
        <w:t>I13 — Cross-validation of SHAP feature rankings with domain knowledge</w:t>
      </w:r>
    </w:p>
    <w:p/>
    <w:p>
      <w:pPr>
        <w:spacing w:after="80"/>
        <w:ind w:left="504"/>
      </w:pPr>
      <w:r>
        <w:rPr>
          <w:rFonts w:ascii="Arial" w:hAnsi="Arial"/>
          <w:sz w:val="22"/>
        </w:rPr>
        <w:t>Discuss each top-ranked SHAP feature in light of known West Rapti hydrological processes. For example, if logSSC_lag1 is the top predictor, link this to the documented hysteresis behaviour of Himalayan rivers and the physical meaning of sediment exhaustion.</w:t>
      </w:r>
    </w:p>
    <w:p/>
    <w:p>
      <w:pPr>
        <w:pStyle w:val="Heading1"/>
        <w:jc w:val="left"/>
      </w:pPr>
      <w:r>
        <w:rPr>
          <w:rFonts w:ascii="Arial" w:hAnsi="Arial"/>
          <w:color w:val="1F497D"/>
          <w:sz w:val="32"/>
        </w:rPr>
        <w:t>7. Quick-Reference Performance Snapshot</w:t>
      </w:r>
    </w:p>
    <w:p>
      <w:r>
        <w:rPr>
          <w:rFonts w:ascii="Arial" w:hAnsi="Arial"/>
          <w:b w:val="0"/>
          <w:i w:val="0"/>
          <w:sz w:val="22"/>
        </w:rPr>
        <w:t>Table 3 provides a concise at-a-glance comparison of your PGNN against the closest published benchmarks, formatted as it might appear in a journal manuscript.</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val="clear" w:color="auto" w:fill="1F497D"/>
            <w:vAlign w:val="center"/>
          </w:tcPr>
          <w:p>
            <w:pPr>
              <w:jc w:val="center"/>
            </w:pPr>
            <w:r/>
            <w:r>
              <w:rPr>
                <w:rFonts w:ascii="Arial" w:hAnsi="Arial"/>
                <w:b/>
                <w:i w:val="0"/>
                <w:color w:val="FFFFFF"/>
                <w:sz w:val="18"/>
              </w:rPr>
              <w:t>Metric</w:t>
            </w:r>
          </w:p>
        </w:tc>
        <w:tc>
          <w:tcPr>
            <w:tcW w:type="dxa" w:w="1584"/>
            <w:shd w:val="clear" w:color="auto" w:fill="1F497D"/>
            <w:vAlign w:val="center"/>
          </w:tcPr>
          <w:p>
            <w:pPr>
              <w:jc w:val="center"/>
            </w:pPr>
            <w:r/>
            <w:r>
              <w:rPr>
                <w:rFonts w:ascii="Arial" w:hAnsi="Arial"/>
                <w:b/>
                <w:i w:val="0"/>
                <w:color w:val="FFFFFF"/>
                <w:sz w:val="18"/>
              </w:rPr>
              <w:t>PGNN</w:t>
              <w:br/>
              <w:t>(This study)</w:t>
            </w:r>
          </w:p>
        </w:tc>
        <w:tc>
          <w:tcPr>
            <w:tcW w:type="dxa" w:w="1584"/>
            <w:shd w:val="clear" w:color="auto" w:fill="1F497D"/>
            <w:vAlign w:val="center"/>
          </w:tcPr>
          <w:p>
            <w:pPr>
              <w:jc w:val="center"/>
            </w:pPr>
            <w:r/>
            <w:r>
              <w:rPr>
                <w:rFonts w:ascii="Arial" w:hAnsi="Arial"/>
                <w:b/>
                <w:i w:val="0"/>
                <w:color w:val="FFFFFF"/>
                <w:sz w:val="18"/>
              </w:rPr>
              <w:t>Kali Gandaki</w:t>
              <w:br/>
              <w:t>ANN (Nepal)</w:t>
            </w:r>
          </w:p>
        </w:tc>
        <w:tc>
          <w:tcPr>
            <w:tcW w:type="dxa" w:w="1656"/>
            <w:shd w:val="clear" w:color="auto" w:fill="1F497D"/>
            <w:vAlign w:val="center"/>
          </w:tcPr>
          <w:p>
            <w:pPr>
              <w:jc w:val="center"/>
            </w:pPr>
            <w:r/>
            <w:r>
              <w:rPr>
                <w:rFonts w:ascii="Arial" w:hAnsi="Arial"/>
                <w:b/>
                <w:i w:val="0"/>
                <w:color w:val="FFFFFF"/>
                <w:sz w:val="18"/>
              </w:rPr>
              <w:t>Bhagirathi</w:t>
              <w:br/>
              <w:t>ANN (Himalaya)</w:t>
            </w:r>
          </w:p>
        </w:tc>
        <w:tc>
          <w:tcPr>
            <w:tcW w:type="dxa" w:w="1440"/>
            <w:shd w:val="clear" w:color="auto" w:fill="1F497D"/>
            <w:vAlign w:val="center"/>
          </w:tcPr>
          <w:p>
            <w:pPr>
              <w:jc w:val="center"/>
            </w:pPr>
            <w:r/>
            <w:r>
              <w:rPr>
                <w:rFonts w:ascii="Arial" w:hAnsi="Arial"/>
                <w:b/>
                <w:i w:val="0"/>
                <w:color w:val="FFFFFF"/>
                <w:sz w:val="18"/>
              </w:rPr>
              <w:t>LSTM</w:t>
              <w:br/>
              <w:t>(US rivers)</w:t>
            </w:r>
          </w:p>
        </w:tc>
        <w:tc>
          <w:tcPr>
            <w:tcW w:type="dxa" w:w="1656"/>
            <w:shd w:val="clear" w:color="auto" w:fill="1F497D"/>
            <w:vAlign w:val="center"/>
          </w:tcPr>
          <w:p>
            <w:pPr>
              <w:jc w:val="center"/>
            </w:pPr>
            <w:r/>
            <w:r>
              <w:rPr>
                <w:rFonts w:ascii="Arial" w:hAnsi="Arial"/>
                <w:b/>
                <w:i w:val="0"/>
                <w:color w:val="FFFFFF"/>
                <w:sz w:val="18"/>
              </w:rPr>
              <w:t>Typical ML</w:t>
              <w:br/>
              <w:t>(Himalayan)</w:t>
            </w:r>
          </w:p>
        </w:tc>
      </w:tr>
      <w:tr>
        <w:tc>
          <w:tcPr>
            <w:tcW w:type="dxa" w:w="2160"/>
            <w:shd w:val="clear" w:color="auto" w:fill="F2F7FC"/>
            <w:vAlign w:val="center"/>
          </w:tcPr>
          <w:p>
            <w:pPr>
              <w:jc w:val="center"/>
            </w:pPr>
            <w:r/>
            <w:r>
              <w:rPr>
                <w:rFonts w:ascii="Arial" w:hAnsi="Arial"/>
                <w:b/>
                <w:i w:val="0"/>
                <w:sz w:val="18"/>
              </w:rPr>
              <w:t>Test R² (SSC)</w:t>
            </w:r>
          </w:p>
        </w:tc>
        <w:tc>
          <w:tcPr>
            <w:tcW w:type="dxa" w:w="1584"/>
            <w:shd w:val="clear" w:color="auto" w:fill="F2F7FC"/>
            <w:vAlign w:val="center"/>
          </w:tcPr>
          <w:p>
            <w:pPr>
              <w:jc w:val="center"/>
            </w:pPr>
            <w:r/>
            <w:r>
              <w:rPr>
                <w:rFonts w:ascii="Arial" w:hAnsi="Arial"/>
                <w:b/>
                <w:i w:val="0"/>
                <w:color w:val="1F497D"/>
                <w:sz w:val="18"/>
              </w:rPr>
              <w:t>0.644</w:t>
            </w:r>
          </w:p>
        </w:tc>
        <w:tc>
          <w:tcPr>
            <w:tcW w:type="dxa" w:w="1584"/>
            <w:shd w:val="clear" w:color="auto" w:fill="F2F7FC"/>
            <w:vAlign w:val="center"/>
          </w:tcPr>
          <w:p>
            <w:pPr>
              <w:jc w:val="center"/>
            </w:pPr>
            <w:r/>
            <w:r>
              <w:rPr>
                <w:rFonts w:ascii="Arial" w:hAnsi="Arial"/>
                <w:b w:val="0"/>
                <w:i w:val="0"/>
                <w:sz w:val="18"/>
              </w:rPr>
              <w:t>0.71</w:t>
            </w:r>
          </w:p>
        </w:tc>
        <w:tc>
          <w:tcPr>
            <w:tcW w:type="dxa" w:w="1656"/>
            <w:shd w:val="clear" w:color="auto" w:fill="F2F7FC"/>
            <w:vAlign w:val="center"/>
          </w:tcPr>
          <w:p>
            <w:pPr>
              <w:jc w:val="center"/>
            </w:pPr>
            <w:r/>
            <w:r>
              <w:rPr>
                <w:rFonts w:ascii="Arial" w:hAnsi="Arial"/>
                <w:b w:val="0"/>
                <w:i w:val="0"/>
                <w:sz w:val="18"/>
              </w:rPr>
              <w:t>0.89–0.97*</w:t>
            </w:r>
          </w:p>
        </w:tc>
        <w:tc>
          <w:tcPr>
            <w:tcW w:type="dxa" w:w="1440"/>
            <w:shd w:val="clear" w:color="auto" w:fill="F2F7FC"/>
            <w:vAlign w:val="center"/>
          </w:tcPr>
          <w:p>
            <w:pPr>
              <w:jc w:val="center"/>
            </w:pPr>
            <w:r/>
            <w:r>
              <w:rPr>
                <w:rFonts w:ascii="Arial" w:hAnsi="Arial"/>
                <w:b w:val="0"/>
                <w:i w:val="0"/>
                <w:sz w:val="18"/>
              </w:rPr>
              <w:t>—</w:t>
            </w:r>
          </w:p>
        </w:tc>
        <w:tc>
          <w:tcPr>
            <w:tcW w:type="dxa" w:w="1656"/>
            <w:shd w:val="clear" w:color="auto" w:fill="F2F7FC"/>
            <w:vAlign w:val="center"/>
          </w:tcPr>
          <w:p>
            <w:pPr>
              <w:jc w:val="center"/>
            </w:pPr>
            <w:r/>
            <w:r>
              <w:rPr>
                <w:rFonts w:ascii="Arial" w:hAnsi="Arial"/>
                <w:b w:val="0"/>
                <w:i w:val="0"/>
                <w:sz w:val="18"/>
              </w:rPr>
              <w:t>0.60–0.75</w:t>
            </w:r>
          </w:p>
        </w:tc>
      </w:tr>
      <w:tr>
        <w:tc>
          <w:tcPr>
            <w:tcW w:type="dxa" w:w="2160"/>
            <w:shd w:val="clear" w:color="auto" w:fill="FFFFFF"/>
            <w:vAlign w:val="center"/>
          </w:tcPr>
          <w:p>
            <w:pPr>
              <w:jc w:val="center"/>
            </w:pPr>
            <w:r/>
            <w:r>
              <w:rPr>
                <w:rFonts w:ascii="Arial" w:hAnsi="Arial"/>
                <w:b/>
                <w:i w:val="0"/>
                <w:sz w:val="18"/>
              </w:rPr>
              <w:t>NSE (SSC)</w:t>
            </w:r>
          </w:p>
        </w:tc>
        <w:tc>
          <w:tcPr>
            <w:tcW w:type="dxa" w:w="1584"/>
            <w:shd w:val="clear" w:color="auto" w:fill="FFFFFF"/>
            <w:vAlign w:val="center"/>
          </w:tcPr>
          <w:p>
            <w:pPr>
              <w:jc w:val="center"/>
            </w:pPr>
            <w:r/>
            <w:r>
              <w:rPr>
                <w:rFonts w:ascii="Arial" w:hAnsi="Arial"/>
                <w:b/>
                <w:i w:val="0"/>
                <w:color w:val="1F497D"/>
                <w:sz w:val="18"/>
              </w:rPr>
              <w:t>0.644</w:t>
            </w:r>
          </w:p>
        </w:tc>
        <w:tc>
          <w:tcPr>
            <w:tcW w:type="dxa" w:w="1584"/>
            <w:shd w:val="clear" w:color="auto" w:fill="FFFFFF"/>
            <w:vAlign w:val="center"/>
          </w:tcPr>
          <w:p>
            <w:pPr>
              <w:jc w:val="center"/>
            </w:pPr>
            <w:r/>
            <w:r>
              <w:rPr>
                <w:rFonts w:ascii="Arial" w:hAnsi="Arial"/>
                <w:b w:val="0"/>
                <w:i w:val="0"/>
                <w:sz w:val="18"/>
              </w:rPr>
              <w:t>0.70</w:t>
            </w:r>
          </w:p>
        </w:tc>
        <w:tc>
          <w:tcPr>
            <w:tcW w:type="dxa" w:w="1656"/>
            <w:shd w:val="clear" w:color="auto" w:fill="FFFFFF"/>
            <w:vAlign w:val="center"/>
          </w:tcPr>
          <w:p>
            <w:pPr>
              <w:jc w:val="center"/>
            </w:pPr>
            <w:r/>
            <w:r>
              <w:rPr>
                <w:rFonts w:ascii="Arial" w:hAnsi="Arial"/>
                <w:b w:val="0"/>
                <w:i w:val="0"/>
                <w:sz w:val="18"/>
              </w:rPr>
              <w:t>N/R</w:t>
            </w:r>
          </w:p>
        </w:tc>
        <w:tc>
          <w:tcPr>
            <w:tcW w:type="dxa" w:w="1440"/>
            <w:shd w:val="clear" w:color="auto" w:fill="FFFFFF"/>
            <w:vAlign w:val="center"/>
          </w:tcPr>
          <w:p>
            <w:pPr>
              <w:jc w:val="center"/>
            </w:pPr>
            <w:r/>
            <w:r>
              <w:rPr>
                <w:rFonts w:ascii="Arial" w:hAnsi="Arial"/>
                <w:b w:val="0"/>
                <w:i w:val="0"/>
                <w:sz w:val="18"/>
              </w:rPr>
              <w:t>0.88–0.96</w:t>
            </w:r>
          </w:p>
        </w:tc>
        <w:tc>
          <w:tcPr>
            <w:tcW w:type="dxa" w:w="1656"/>
            <w:shd w:val="clear" w:color="auto" w:fill="FFFFFF"/>
            <w:vAlign w:val="center"/>
          </w:tcPr>
          <w:p>
            <w:pPr>
              <w:jc w:val="center"/>
            </w:pPr>
            <w:r/>
            <w:r>
              <w:rPr>
                <w:rFonts w:ascii="Arial" w:hAnsi="Arial"/>
                <w:b w:val="0"/>
                <w:i w:val="0"/>
                <w:sz w:val="18"/>
              </w:rPr>
              <w:t>0.55–0.72</w:t>
            </w:r>
          </w:p>
        </w:tc>
      </w:tr>
      <w:tr>
        <w:tc>
          <w:tcPr>
            <w:tcW w:type="dxa" w:w="2160"/>
            <w:shd w:val="clear" w:color="auto" w:fill="F2F7FC"/>
            <w:vAlign w:val="center"/>
          </w:tcPr>
          <w:p>
            <w:pPr>
              <w:jc w:val="center"/>
            </w:pPr>
            <w:r/>
            <w:r>
              <w:rPr>
                <w:rFonts w:ascii="Arial" w:hAnsi="Arial"/>
                <w:b/>
                <w:i w:val="0"/>
                <w:sz w:val="18"/>
              </w:rPr>
              <w:t>RMSE SSC (mg/L)</w:t>
            </w:r>
          </w:p>
        </w:tc>
        <w:tc>
          <w:tcPr>
            <w:tcW w:type="dxa" w:w="1584"/>
            <w:shd w:val="clear" w:color="auto" w:fill="F2F7FC"/>
            <w:vAlign w:val="center"/>
          </w:tcPr>
          <w:p>
            <w:pPr>
              <w:jc w:val="center"/>
            </w:pPr>
            <w:r/>
            <w:r>
              <w:rPr>
                <w:rFonts w:ascii="Arial" w:hAnsi="Arial"/>
                <w:b/>
                <w:i w:val="0"/>
                <w:color w:val="1F497D"/>
                <w:sz w:val="18"/>
              </w:rPr>
              <w:t>440.1</w:t>
            </w:r>
          </w:p>
        </w:tc>
        <w:tc>
          <w:tcPr>
            <w:tcW w:type="dxa" w:w="1584"/>
            <w:shd w:val="clear" w:color="auto" w:fill="F2F7FC"/>
            <w:vAlign w:val="center"/>
          </w:tcPr>
          <w:p>
            <w:pPr>
              <w:jc w:val="center"/>
            </w:pPr>
            <w:r/>
            <w:r>
              <w:rPr>
                <w:rFonts w:ascii="Arial" w:hAnsi="Arial"/>
                <w:b w:val="0"/>
                <w:i w:val="0"/>
                <w:sz w:val="18"/>
              </w:rPr>
              <w:t>~1,982 kg/s†</w:t>
            </w:r>
          </w:p>
        </w:tc>
        <w:tc>
          <w:tcPr>
            <w:tcW w:type="dxa" w:w="1656"/>
            <w:shd w:val="clear" w:color="auto" w:fill="F2F7FC"/>
            <w:vAlign w:val="center"/>
          </w:tcPr>
          <w:p>
            <w:pPr>
              <w:jc w:val="center"/>
            </w:pPr>
            <w:r/>
            <w:r>
              <w:rPr>
                <w:rFonts w:ascii="Arial" w:hAnsi="Arial"/>
                <w:b w:val="0"/>
                <w:i w:val="0"/>
                <w:sz w:val="18"/>
              </w:rPr>
              <w:t>N/R</w:t>
            </w:r>
          </w:p>
        </w:tc>
        <w:tc>
          <w:tcPr>
            <w:tcW w:type="dxa" w:w="1440"/>
            <w:shd w:val="clear" w:color="auto" w:fill="F2F7FC"/>
            <w:vAlign w:val="center"/>
          </w:tcPr>
          <w:p>
            <w:pPr>
              <w:jc w:val="center"/>
            </w:pPr>
            <w:r/>
            <w:r>
              <w:rPr>
                <w:rFonts w:ascii="Arial" w:hAnsi="Arial"/>
                <w:b w:val="0"/>
                <w:i w:val="0"/>
                <w:sz w:val="18"/>
              </w:rPr>
              <w:t>N/R</w:t>
            </w:r>
          </w:p>
        </w:tc>
        <w:tc>
          <w:tcPr>
            <w:tcW w:type="dxa" w:w="1656"/>
            <w:shd w:val="clear" w:color="auto" w:fill="F2F7FC"/>
            <w:vAlign w:val="center"/>
          </w:tcPr>
          <w:p>
            <w:pPr>
              <w:jc w:val="center"/>
            </w:pPr>
            <w:r/>
            <w:r>
              <w:rPr>
                <w:rFonts w:ascii="Arial" w:hAnsi="Arial"/>
                <w:b w:val="0"/>
                <w:i w:val="0"/>
                <w:sz w:val="18"/>
              </w:rPr>
              <w:t>Varies</w:t>
            </w:r>
          </w:p>
        </w:tc>
      </w:tr>
      <w:tr>
        <w:tc>
          <w:tcPr>
            <w:tcW w:type="dxa" w:w="2160"/>
            <w:shd w:val="clear" w:color="auto" w:fill="FFFFFF"/>
            <w:vAlign w:val="center"/>
          </w:tcPr>
          <w:p>
            <w:pPr>
              <w:jc w:val="center"/>
            </w:pPr>
            <w:r/>
            <w:r>
              <w:rPr>
                <w:rFonts w:ascii="Arial" w:hAnsi="Arial"/>
                <w:b/>
                <w:i w:val="0"/>
                <w:sz w:val="18"/>
              </w:rPr>
              <w:t>PBIAS SSC (%)</w:t>
            </w:r>
          </w:p>
        </w:tc>
        <w:tc>
          <w:tcPr>
            <w:tcW w:type="dxa" w:w="1584"/>
            <w:shd w:val="clear" w:color="auto" w:fill="FFFFFF"/>
            <w:vAlign w:val="center"/>
          </w:tcPr>
          <w:p>
            <w:pPr>
              <w:jc w:val="center"/>
            </w:pPr>
            <w:r/>
            <w:r>
              <w:rPr>
                <w:rFonts w:ascii="Arial" w:hAnsi="Arial"/>
                <w:b/>
                <w:i w:val="0"/>
                <w:color w:val="1F497D"/>
                <w:sz w:val="18"/>
              </w:rPr>
              <w:t>−2.6</w:t>
            </w:r>
          </w:p>
        </w:tc>
        <w:tc>
          <w:tcPr>
            <w:tcW w:type="dxa" w:w="1584"/>
            <w:shd w:val="clear" w:color="auto" w:fill="FFFFFF"/>
            <w:vAlign w:val="center"/>
          </w:tcPr>
          <w:p>
            <w:pPr>
              <w:jc w:val="center"/>
            </w:pPr>
            <w:r/>
            <w:r>
              <w:rPr>
                <w:rFonts w:ascii="Arial" w:hAnsi="Arial"/>
                <w:b w:val="0"/>
                <w:i w:val="0"/>
                <w:sz w:val="18"/>
              </w:rPr>
              <w:t>+14.3</w:t>
            </w:r>
          </w:p>
        </w:tc>
        <w:tc>
          <w:tcPr>
            <w:tcW w:type="dxa" w:w="1656"/>
            <w:shd w:val="clear" w:color="auto" w:fill="FFFFFF"/>
            <w:vAlign w:val="center"/>
          </w:tcPr>
          <w:p>
            <w:pPr>
              <w:jc w:val="center"/>
            </w:pPr>
            <w:r/>
            <w:r>
              <w:rPr>
                <w:rFonts w:ascii="Arial" w:hAnsi="Arial"/>
                <w:b w:val="0"/>
                <w:i w:val="0"/>
                <w:sz w:val="18"/>
              </w:rPr>
              <w:t>N/R</w:t>
            </w:r>
          </w:p>
        </w:tc>
        <w:tc>
          <w:tcPr>
            <w:tcW w:type="dxa" w:w="1440"/>
            <w:shd w:val="clear" w:color="auto" w:fill="FFFFFF"/>
            <w:vAlign w:val="center"/>
          </w:tcPr>
          <w:p>
            <w:pPr>
              <w:jc w:val="center"/>
            </w:pPr>
            <w:r/>
            <w:r>
              <w:rPr>
                <w:rFonts w:ascii="Arial" w:hAnsi="Arial"/>
                <w:b w:val="0"/>
                <w:i w:val="0"/>
                <w:sz w:val="18"/>
              </w:rPr>
              <w:t>N/R</w:t>
            </w:r>
          </w:p>
        </w:tc>
        <w:tc>
          <w:tcPr>
            <w:tcW w:type="dxa" w:w="1656"/>
            <w:shd w:val="clear" w:color="auto" w:fill="FFFFFF"/>
            <w:vAlign w:val="center"/>
          </w:tcPr>
          <w:p>
            <w:pPr>
              <w:jc w:val="center"/>
            </w:pPr>
            <w:r/>
            <w:r>
              <w:rPr>
                <w:rFonts w:ascii="Arial" w:hAnsi="Arial"/>
                <w:b w:val="0"/>
                <w:i w:val="0"/>
                <w:sz w:val="18"/>
              </w:rPr>
              <w:t>±10–25</w:t>
            </w:r>
          </w:p>
        </w:tc>
      </w:tr>
      <w:tr>
        <w:tc>
          <w:tcPr>
            <w:tcW w:type="dxa" w:w="2160"/>
            <w:shd w:val="clear" w:color="auto" w:fill="F2F7FC"/>
            <w:vAlign w:val="center"/>
          </w:tcPr>
          <w:p>
            <w:pPr>
              <w:jc w:val="center"/>
            </w:pPr>
            <w:r/>
            <w:r>
              <w:rPr>
                <w:rFonts w:ascii="Arial" w:hAnsi="Arial"/>
                <w:b/>
                <w:i w:val="0"/>
                <w:sz w:val="18"/>
              </w:rPr>
              <w:t>NSE (SSL)</w:t>
            </w:r>
          </w:p>
        </w:tc>
        <w:tc>
          <w:tcPr>
            <w:tcW w:type="dxa" w:w="1584"/>
            <w:shd w:val="clear" w:color="auto" w:fill="F2F7FC"/>
            <w:vAlign w:val="center"/>
          </w:tcPr>
          <w:p>
            <w:pPr>
              <w:jc w:val="center"/>
            </w:pPr>
            <w:r/>
            <w:r>
              <w:rPr>
                <w:rFonts w:ascii="Arial" w:hAnsi="Arial"/>
                <w:b/>
                <w:i w:val="0"/>
                <w:color w:val="1F497D"/>
                <w:sz w:val="18"/>
              </w:rPr>
              <w:t>0.796</w:t>
            </w:r>
          </w:p>
        </w:tc>
        <w:tc>
          <w:tcPr>
            <w:tcW w:type="dxa" w:w="1584"/>
            <w:shd w:val="clear" w:color="auto" w:fill="F2F7FC"/>
            <w:vAlign w:val="center"/>
          </w:tcPr>
          <w:p>
            <w:pPr>
              <w:jc w:val="center"/>
            </w:pPr>
            <w:r/>
            <w:r>
              <w:rPr>
                <w:rFonts w:ascii="Arial" w:hAnsi="Arial"/>
                <w:b w:val="0"/>
                <w:i w:val="0"/>
                <w:sz w:val="18"/>
              </w:rPr>
              <w:t>N/R</w:t>
            </w:r>
          </w:p>
        </w:tc>
        <w:tc>
          <w:tcPr>
            <w:tcW w:type="dxa" w:w="1656"/>
            <w:shd w:val="clear" w:color="auto" w:fill="F2F7FC"/>
            <w:vAlign w:val="center"/>
          </w:tcPr>
          <w:p>
            <w:pPr>
              <w:jc w:val="center"/>
            </w:pPr>
            <w:r/>
            <w:r>
              <w:rPr>
                <w:rFonts w:ascii="Arial" w:hAnsi="Arial"/>
                <w:b w:val="0"/>
                <w:i w:val="0"/>
                <w:sz w:val="18"/>
              </w:rPr>
              <w:t>N/R</w:t>
            </w:r>
          </w:p>
        </w:tc>
        <w:tc>
          <w:tcPr>
            <w:tcW w:type="dxa" w:w="1440"/>
            <w:shd w:val="clear" w:color="auto" w:fill="F2F7FC"/>
            <w:vAlign w:val="center"/>
          </w:tcPr>
          <w:p>
            <w:pPr>
              <w:jc w:val="center"/>
            </w:pPr>
            <w:r/>
            <w:r>
              <w:rPr>
                <w:rFonts w:ascii="Arial" w:hAnsi="Arial"/>
                <w:b w:val="0"/>
                <w:i w:val="0"/>
                <w:sz w:val="18"/>
              </w:rPr>
              <w:t>0.88–0.96</w:t>
            </w:r>
          </w:p>
        </w:tc>
        <w:tc>
          <w:tcPr>
            <w:tcW w:type="dxa" w:w="1656"/>
            <w:shd w:val="clear" w:color="auto" w:fill="F2F7FC"/>
            <w:vAlign w:val="center"/>
          </w:tcPr>
          <w:p>
            <w:pPr>
              <w:jc w:val="center"/>
            </w:pPr>
            <w:r/>
            <w:r>
              <w:rPr>
                <w:rFonts w:ascii="Arial" w:hAnsi="Arial"/>
                <w:b w:val="0"/>
                <w:i w:val="0"/>
                <w:sz w:val="18"/>
              </w:rPr>
              <w:t>0.60–0.80</w:t>
            </w:r>
          </w:p>
        </w:tc>
      </w:tr>
      <w:tr>
        <w:tc>
          <w:tcPr>
            <w:tcW w:type="dxa" w:w="2160"/>
            <w:shd w:val="clear" w:color="auto" w:fill="FFFFFF"/>
            <w:vAlign w:val="center"/>
          </w:tcPr>
          <w:p>
            <w:pPr>
              <w:jc w:val="center"/>
            </w:pPr>
            <w:r/>
            <w:r>
              <w:rPr>
                <w:rFonts w:ascii="Arial" w:hAnsi="Arial"/>
                <w:b/>
                <w:i w:val="0"/>
                <w:sz w:val="18"/>
              </w:rPr>
              <w:t>Physics constraints</w:t>
            </w:r>
          </w:p>
        </w:tc>
        <w:tc>
          <w:tcPr>
            <w:tcW w:type="dxa" w:w="1584"/>
            <w:shd w:val="clear" w:color="auto" w:fill="FFFFFF"/>
            <w:vAlign w:val="center"/>
          </w:tcPr>
          <w:p>
            <w:pPr>
              <w:jc w:val="center"/>
            </w:pPr>
            <w:r/>
            <w:r>
              <w:rPr>
                <w:rFonts w:ascii="Arial" w:hAnsi="Arial"/>
                <w:b/>
                <w:i w:val="0"/>
                <w:color w:val="1F497D"/>
                <w:sz w:val="18"/>
              </w:rPr>
              <w:t>Yes (Yang+MBal)</w:t>
            </w:r>
          </w:p>
        </w:tc>
        <w:tc>
          <w:tcPr>
            <w:tcW w:type="dxa" w:w="1584"/>
            <w:shd w:val="clear" w:color="auto" w:fill="FFFFFF"/>
            <w:vAlign w:val="center"/>
          </w:tcPr>
          <w:p>
            <w:pPr>
              <w:jc w:val="center"/>
            </w:pPr>
            <w:r/>
            <w:r>
              <w:rPr>
                <w:rFonts w:ascii="Arial" w:hAnsi="Arial"/>
                <w:b w:val="0"/>
                <w:i w:val="0"/>
                <w:sz w:val="18"/>
              </w:rPr>
              <w:t>No</w:t>
            </w:r>
          </w:p>
        </w:tc>
        <w:tc>
          <w:tcPr>
            <w:tcW w:type="dxa" w:w="1656"/>
            <w:shd w:val="clear" w:color="auto" w:fill="FFFFFF"/>
            <w:vAlign w:val="center"/>
          </w:tcPr>
          <w:p>
            <w:pPr>
              <w:jc w:val="center"/>
            </w:pPr>
            <w:r/>
            <w:r>
              <w:rPr>
                <w:rFonts w:ascii="Arial" w:hAnsi="Arial"/>
                <w:b w:val="0"/>
                <w:i w:val="0"/>
                <w:sz w:val="18"/>
              </w:rPr>
              <w:t>No</w:t>
            </w:r>
          </w:p>
        </w:tc>
        <w:tc>
          <w:tcPr>
            <w:tcW w:type="dxa" w:w="1440"/>
            <w:shd w:val="clear" w:color="auto" w:fill="FFFFFF"/>
            <w:vAlign w:val="center"/>
          </w:tcPr>
          <w:p>
            <w:pPr>
              <w:jc w:val="center"/>
            </w:pPr>
            <w:r/>
            <w:r>
              <w:rPr>
                <w:rFonts w:ascii="Arial" w:hAnsi="Arial"/>
                <w:b w:val="0"/>
                <w:i w:val="0"/>
                <w:sz w:val="18"/>
              </w:rPr>
              <w:t>No</w:t>
            </w:r>
          </w:p>
        </w:tc>
        <w:tc>
          <w:tcPr>
            <w:tcW w:type="dxa" w:w="1656"/>
            <w:shd w:val="clear" w:color="auto" w:fill="FFFFFF"/>
            <w:vAlign w:val="center"/>
          </w:tcPr>
          <w:p>
            <w:pPr>
              <w:jc w:val="center"/>
            </w:pPr>
            <w:r/>
            <w:r>
              <w:rPr>
                <w:rFonts w:ascii="Arial" w:hAnsi="Arial"/>
                <w:b w:val="0"/>
                <w:i w:val="0"/>
                <w:sz w:val="18"/>
              </w:rPr>
              <w:t>Mostly No</w:t>
            </w:r>
          </w:p>
        </w:tc>
      </w:tr>
      <w:tr>
        <w:tc>
          <w:tcPr>
            <w:tcW w:type="dxa" w:w="2160"/>
            <w:shd w:val="clear" w:color="auto" w:fill="F2F7FC"/>
            <w:vAlign w:val="center"/>
          </w:tcPr>
          <w:p>
            <w:pPr>
              <w:jc w:val="center"/>
            </w:pPr>
            <w:r/>
            <w:r>
              <w:rPr>
                <w:rFonts w:ascii="Arial" w:hAnsi="Arial"/>
                <w:b/>
                <w:i w:val="0"/>
                <w:sz w:val="18"/>
              </w:rPr>
              <w:t>Temporal resolution</w:t>
            </w:r>
          </w:p>
        </w:tc>
        <w:tc>
          <w:tcPr>
            <w:tcW w:type="dxa" w:w="1584"/>
            <w:shd w:val="clear" w:color="auto" w:fill="F2F7FC"/>
            <w:vAlign w:val="center"/>
          </w:tcPr>
          <w:p>
            <w:pPr>
              <w:jc w:val="center"/>
            </w:pPr>
            <w:r/>
            <w:r>
              <w:rPr>
                <w:rFonts w:ascii="Arial" w:hAnsi="Arial"/>
                <w:b/>
                <w:i w:val="0"/>
                <w:color w:val="1F497D"/>
                <w:sz w:val="18"/>
              </w:rPr>
              <w:t>Daily (annual)</w:t>
            </w:r>
          </w:p>
        </w:tc>
        <w:tc>
          <w:tcPr>
            <w:tcW w:type="dxa" w:w="1584"/>
            <w:shd w:val="clear" w:color="auto" w:fill="F2F7FC"/>
            <w:vAlign w:val="center"/>
          </w:tcPr>
          <w:p>
            <w:pPr>
              <w:jc w:val="center"/>
            </w:pPr>
            <w:r/>
            <w:r>
              <w:rPr>
                <w:rFonts w:ascii="Arial" w:hAnsi="Arial"/>
                <w:b w:val="0"/>
                <w:i w:val="0"/>
                <w:sz w:val="18"/>
              </w:rPr>
              <w:t>Daily (annual)</w:t>
            </w:r>
          </w:p>
        </w:tc>
        <w:tc>
          <w:tcPr>
            <w:tcW w:type="dxa" w:w="1656"/>
            <w:shd w:val="clear" w:color="auto" w:fill="F2F7FC"/>
            <w:vAlign w:val="center"/>
          </w:tcPr>
          <w:p>
            <w:pPr>
              <w:jc w:val="center"/>
            </w:pPr>
            <w:r/>
            <w:r>
              <w:rPr>
                <w:rFonts w:ascii="Arial" w:hAnsi="Arial"/>
                <w:b w:val="0"/>
                <w:i w:val="0"/>
                <w:sz w:val="18"/>
              </w:rPr>
              <w:t>3-hourly (monsoon only)</w:t>
            </w:r>
          </w:p>
        </w:tc>
        <w:tc>
          <w:tcPr>
            <w:tcW w:type="dxa" w:w="1440"/>
            <w:shd w:val="clear" w:color="auto" w:fill="F2F7FC"/>
            <w:vAlign w:val="center"/>
          </w:tcPr>
          <w:p>
            <w:pPr>
              <w:jc w:val="center"/>
            </w:pPr>
            <w:r/>
            <w:r>
              <w:rPr>
                <w:rFonts w:ascii="Arial" w:hAnsi="Arial"/>
                <w:b w:val="0"/>
                <w:i w:val="0"/>
                <w:sz w:val="18"/>
              </w:rPr>
              <w:t>Daily</w:t>
            </w:r>
          </w:p>
        </w:tc>
        <w:tc>
          <w:tcPr>
            <w:tcW w:type="dxa" w:w="1656"/>
            <w:shd w:val="clear" w:color="auto" w:fill="F2F7FC"/>
            <w:vAlign w:val="center"/>
          </w:tcPr>
          <w:p>
            <w:pPr>
              <w:jc w:val="center"/>
            </w:pPr>
            <w:r/>
            <w:r>
              <w:rPr>
                <w:rFonts w:ascii="Arial" w:hAnsi="Arial"/>
                <w:b w:val="0"/>
                <w:i w:val="0"/>
                <w:sz w:val="18"/>
              </w:rPr>
              <w:t>Daily/Monthly</w:t>
            </w:r>
          </w:p>
        </w:tc>
      </w:tr>
      <w:tr>
        <w:tc>
          <w:tcPr>
            <w:tcW w:type="dxa" w:w="2160"/>
            <w:shd w:val="clear" w:color="auto" w:fill="FFFFFF"/>
            <w:vAlign w:val="center"/>
          </w:tcPr>
          <w:p>
            <w:pPr>
              <w:jc w:val="center"/>
            </w:pPr>
            <w:r/>
            <w:r>
              <w:rPr>
                <w:rFonts w:ascii="Arial" w:hAnsi="Arial"/>
                <w:b/>
                <w:i w:val="0"/>
                <w:sz w:val="18"/>
              </w:rPr>
              <w:t>Interpretability (SHAP)</w:t>
            </w:r>
          </w:p>
        </w:tc>
        <w:tc>
          <w:tcPr>
            <w:tcW w:type="dxa" w:w="1584"/>
            <w:shd w:val="clear" w:color="auto" w:fill="FFFFFF"/>
            <w:vAlign w:val="center"/>
          </w:tcPr>
          <w:p>
            <w:pPr>
              <w:jc w:val="center"/>
            </w:pPr>
            <w:r/>
            <w:r>
              <w:rPr>
                <w:rFonts w:ascii="Arial" w:hAnsi="Arial"/>
                <w:b/>
                <w:i w:val="0"/>
                <w:color w:val="1F497D"/>
                <w:sz w:val="18"/>
              </w:rPr>
              <w:t>Yes</w:t>
            </w:r>
          </w:p>
        </w:tc>
        <w:tc>
          <w:tcPr>
            <w:tcW w:type="dxa" w:w="1584"/>
            <w:shd w:val="clear" w:color="auto" w:fill="FFFFFF"/>
            <w:vAlign w:val="center"/>
          </w:tcPr>
          <w:p>
            <w:pPr>
              <w:jc w:val="center"/>
            </w:pPr>
            <w:r/>
            <w:r>
              <w:rPr>
                <w:rFonts w:ascii="Arial" w:hAnsi="Arial"/>
                <w:b w:val="0"/>
                <w:i w:val="0"/>
                <w:sz w:val="18"/>
              </w:rPr>
              <w:t>No</w:t>
            </w:r>
          </w:p>
        </w:tc>
        <w:tc>
          <w:tcPr>
            <w:tcW w:type="dxa" w:w="1656"/>
            <w:shd w:val="clear" w:color="auto" w:fill="FFFFFF"/>
            <w:vAlign w:val="center"/>
          </w:tcPr>
          <w:p>
            <w:pPr>
              <w:jc w:val="center"/>
            </w:pPr>
            <w:r/>
            <w:r>
              <w:rPr>
                <w:rFonts w:ascii="Arial" w:hAnsi="Arial"/>
                <w:b w:val="0"/>
                <w:i w:val="0"/>
                <w:sz w:val="18"/>
              </w:rPr>
              <w:t>No</w:t>
            </w:r>
          </w:p>
        </w:tc>
        <w:tc>
          <w:tcPr>
            <w:tcW w:type="dxa" w:w="1440"/>
            <w:shd w:val="clear" w:color="auto" w:fill="FFFFFF"/>
            <w:vAlign w:val="center"/>
          </w:tcPr>
          <w:p>
            <w:pPr>
              <w:jc w:val="center"/>
            </w:pPr>
            <w:r/>
            <w:r>
              <w:rPr>
                <w:rFonts w:ascii="Arial" w:hAnsi="Arial"/>
                <w:b w:val="0"/>
                <w:i w:val="0"/>
                <w:sz w:val="18"/>
              </w:rPr>
              <w:t>Partial</w:t>
            </w:r>
          </w:p>
        </w:tc>
        <w:tc>
          <w:tcPr>
            <w:tcW w:type="dxa" w:w="1656"/>
            <w:shd w:val="clear" w:color="auto" w:fill="FFFFFF"/>
            <w:vAlign w:val="center"/>
          </w:tcPr>
          <w:p>
            <w:pPr>
              <w:jc w:val="center"/>
            </w:pPr>
            <w:r/>
            <w:r>
              <w:rPr>
                <w:rFonts w:ascii="Arial" w:hAnsi="Arial"/>
                <w:b w:val="0"/>
                <w:i w:val="0"/>
                <w:sz w:val="18"/>
              </w:rPr>
              <w:t>Rare</w:t>
            </w:r>
          </w:p>
        </w:tc>
      </w:tr>
      <w:tr>
        <w:tc>
          <w:tcPr>
            <w:tcW w:type="dxa" w:w="2160"/>
            <w:shd w:val="clear" w:color="auto" w:fill="F2F7FC"/>
            <w:vAlign w:val="center"/>
          </w:tcPr>
          <w:p>
            <w:pPr>
              <w:jc w:val="center"/>
            </w:pPr>
            <w:r/>
            <w:r>
              <w:rPr>
                <w:rFonts w:ascii="Arial" w:hAnsi="Arial"/>
                <w:b/>
                <w:i w:val="0"/>
                <w:sz w:val="18"/>
              </w:rPr>
              <w:t>Station (Nepal)</w:t>
            </w:r>
          </w:p>
        </w:tc>
        <w:tc>
          <w:tcPr>
            <w:tcW w:type="dxa" w:w="1584"/>
            <w:shd w:val="clear" w:color="auto" w:fill="F2F7FC"/>
            <w:vAlign w:val="center"/>
          </w:tcPr>
          <w:p>
            <w:pPr>
              <w:jc w:val="center"/>
            </w:pPr>
            <w:r/>
            <w:r>
              <w:rPr>
                <w:rFonts w:ascii="Arial" w:hAnsi="Arial"/>
                <w:b/>
                <w:i w:val="0"/>
                <w:color w:val="1F497D"/>
                <w:sz w:val="18"/>
              </w:rPr>
              <w:t>Yes</w:t>
            </w:r>
          </w:p>
        </w:tc>
        <w:tc>
          <w:tcPr>
            <w:tcW w:type="dxa" w:w="1584"/>
            <w:shd w:val="clear" w:color="auto" w:fill="F2F7FC"/>
            <w:vAlign w:val="center"/>
          </w:tcPr>
          <w:p>
            <w:pPr>
              <w:jc w:val="center"/>
            </w:pPr>
            <w:r/>
            <w:r>
              <w:rPr>
                <w:rFonts w:ascii="Arial" w:hAnsi="Arial"/>
                <w:b w:val="0"/>
                <w:i w:val="0"/>
                <w:sz w:val="18"/>
              </w:rPr>
              <w:t>Yes</w:t>
            </w:r>
          </w:p>
        </w:tc>
        <w:tc>
          <w:tcPr>
            <w:tcW w:type="dxa" w:w="1656"/>
            <w:shd w:val="clear" w:color="auto" w:fill="F2F7FC"/>
            <w:vAlign w:val="center"/>
          </w:tcPr>
          <w:p>
            <w:pPr>
              <w:jc w:val="center"/>
            </w:pPr>
            <w:r/>
            <w:r>
              <w:rPr>
                <w:rFonts w:ascii="Arial" w:hAnsi="Arial"/>
                <w:b w:val="0"/>
                <w:i w:val="0"/>
                <w:sz w:val="18"/>
              </w:rPr>
              <w:t>No</w:t>
            </w:r>
          </w:p>
        </w:tc>
        <w:tc>
          <w:tcPr>
            <w:tcW w:type="dxa" w:w="1440"/>
            <w:shd w:val="clear" w:color="auto" w:fill="F2F7FC"/>
            <w:vAlign w:val="center"/>
          </w:tcPr>
          <w:p>
            <w:pPr>
              <w:jc w:val="center"/>
            </w:pPr>
            <w:r/>
            <w:r>
              <w:rPr>
                <w:rFonts w:ascii="Arial" w:hAnsi="Arial"/>
                <w:b w:val="0"/>
                <w:i w:val="0"/>
                <w:sz w:val="18"/>
              </w:rPr>
              <w:t>No</w:t>
            </w:r>
          </w:p>
        </w:tc>
        <w:tc>
          <w:tcPr>
            <w:tcW w:type="dxa" w:w="1656"/>
            <w:shd w:val="clear" w:color="auto" w:fill="F2F7FC"/>
            <w:vAlign w:val="center"/>
          </w:tcPr>
          <w:p>
            <w:pPr>
              <w:jc w:val="center"/>
            </w:pPr>
            <w:r/>
            <w:r>
              <w:rPr>
                <w:rFonts w:ascii="Arial" w:hAnsi="Arial"/>
                <w:b w:val="0"/>
                <w:i w:val="0"/>
                <w:sz w:val="18"/>
              </w:rPr>
              <w:t>Few</w:t>
            </w:r>
          </w:p>
        </w:tc>
      </w:tr>
    </w:tbl>
    <w:p>
      <w:r>
        <w:rPr>
          <w:rFonts w:ascii="Arial" w:hAnsi="Arial"/>
          <w:i/>
          <w:sz w:val="18"/>
        </w:rPr>
        <w:t>Table 3. Quick-reference comparison. *Bhagirathi ANN results use 3-hourly monsoon-season data only — not comparable to full annual daily results. †Kali Gandaki RMSE is in kg/s (not mg/L); direct comparison not possible. N/R = not reported.</w:t>
      </w:r>
    </w:p>
    <w:p/>
    <w:p>
      <w:pPr>
        <w:pStyle w:val="Heading1"/>
        <w:jc w:val="left"/>
      </w:pPr>
      <w:r>
        <w:rPr>
          <w:rFonts w:ascii="Arial" w:hAnsi="Arial"/>
          <w:color w:val="1F497D"/>
          <w:sz w:val="32"/>
        </w:rPr>
        <w:t>8. Journal of Hydrology Submission Strategy</w:t>
      </w:r>
    </w:p>
    <w:p>
      <w:r>
        <w:rPr>
          <w:rFonts w:ascii="Arial" w:hAnsi="Arial"/>
          <w:b w:val="0"/>
          <w:i w:val="0"/>
          <w:sz w:val="22"/>
        </w:rPr>
        <w:t>Journal of Hydrology (Elsevier, IF ~6.4) publishes applied hydrology with a strong appetite for machine learning papers that include clear physical interpretation, real-world relevance, and rigorous benchmarking. The following framing strategy is recommended for your manuscript:</w:t>
      </w:r>
    </w:p>
    <w:p/>
    <w:p>
      <w:pPr>
        <w:pStyle w:val="ListBullet"/>
        <w:ind w:left="504"/>
      </w:pPr>
      <w:r>
        <w:rPr>
          <w:rFonts w:ascii="Arial" w:hAnsi="Arial"/>
          <w:b/>
          <w:i w:val="0"/>
          <w:sz w:val="22"/>
        </w:rPr>
        <w:t xml:space="preserve">Title framing: </w:t>
      </w:r>
      <w:r>
        <w:rPr>
          <w:rFonts w:ascii="Arial" w:hAnsi="Arial"/>
          <w:b w:val="0"/>
          <w:i w:val="0"/>
          <w:sz w:val="22"/>
        </w:rPr>
        <w:t>Emphasise the physics-guided novelty and the regional gap. Suggested working title: "Physics-Guided Neural Networks for Daily Suspended Sediment and Load Prediction in a Himalayan Monsoon River: A Case Study from the West Rapti Basin, Nepal."</w:t>
      </w:r>
    </w:p>
    <w:p>
      <w:pPr>
        <w:pStyle w:val="ListBullet"/>
        <w:ind w:left="504"/>
      </w:pPr>
      <w:r>
        <w:rPr>
          <w:rFonts w:ascii="Arial" w:hAnsi="Arial"/>
          <w:b/>
          <w:i w:val="0"/>
          <w:sz w:val="22"/>
        </w:rPr>
        <w:t xml:space="preserve">Abstract emphasis: </w:t>
      </w:r>
      <w:r>
        <w:rPr>
          <w:rFonts w:ascii="Arial" w:hAnsi="Arial"/>
          <w:b w:val="0"/>
          <w:i w:val="0"/>
          <w:sz w:val="22"/>
        </w:rPr>
        <w:t>Lead with the dual novelty — first PGNN for a Nepali river, and the Yang transport capacity constraint as a physically interpretable ceiling. Quantify the PBIAS improvement over existing Nepal ANN studies in the abstract itself (−2.6% vs. +14.3%).</w:t>
      </w:r>
    </w:p>
    <w:p>
      <w:pPr>
        <w:pStyle w:val="ListBullet"/>
        <w:ind w:left="504"/>
      </w:pPr>
      <w:r>
        <w:rPr>
          <w:rFonts w:ascii="Arial" w:hAnsi="Arial"/>
          <w:b/>
          <w:i w:val="0"/>
          <w:sz w:val="22"/>
        </w:rPr>
        <w:t xml:space="preserve">Introduction positioning: </w:t>
      </w:r>
      <w:r>
        <w:rPr>
          <w:rFonts w:ascii="Arial" w:hAnsi="Arial"/>
          <w:b w:val="0"/>
          <w:i w:val="0"/>
          <w:sz w:val="22"/>
        </w:rPr>
        <w:t>Cite the known limitations of pure data-driven models on monsoon rivers (hysteresis, variance compression, physically unrealistic peaks) and position your dual-regime constraint as a direct solution. Reference the PGNN framework of Karpatne et al. (2017) and recent sediment PINN papers (e.g., 2024–2025 Springer papers).</w:t>
      </w:r>
    </w:p>
    <w:p>
      <w:pPr>
        <w:pStyle w:val="ListBullet"/>
        <w:ind w:left="504"/>
      </w:pPr>
      <w:r>
        <w:rPr>
          <w:rFonts w:ascii="Arial" w:hAnsi="Arial"/>
          <w:b/>
          <w:i w:val="0"/>
          <w:sz w:val="22"/>
        </w:rPr>
        <w:t xml:space="preserve">Discussion of model comparison: </w:t>
      </w:r>
      <w:r>
        <w:rPr>
          <w:rFonts w:ascii="Arial" w:hAnsi="Arial"/>
          <w:b w:val="0"/>
          <w:i w:val="0"/>
          <w:sz w:val="22"/>
        </w:rPr>
        <w:t>Explain why simple Ridge regression approaches the performance of deep models (small N = 1,273; high correlation of key lags). This is itself a contribution — cautionary guidance for practitioners on when deep learning is and is not warranted.</w:t>
      </w:r>
    </w:p>
    <w:p>
      <w:pPr>
        <w:pStyle w:val="ListBullet"/>
        <w:ind w:left="504"/>
      </w:pPr>
      <w:r>
        <w:rPr>
          <w:rFonts w:ascii="Arial" w:hAnsi="Arial"/>
          <w:b/>
          <w:i w:val="0"/>
          <w:sz w:val="22"/>
        </w:rPr>
        <w:t xml:space="preserve">Suggested section structure: </w:t>
      </w:r>
      <w:r>
        <w:rPr>
          <w:rFonts w:ascii="Arial" w:hAnsi="Arial"/>
          <w:b w:val="0"/>
          <w:i w:val="0"/>
          <w:sz w:val="22"/>
        </w:rPr>
        <w:t>1. Introduction | 2. Study Area &amp; Data | 3. Methods (feature engineering, PGNN architecture, physics constraints, comparison models) | 4. Results (Table 1 + seasonal breakdown + peak analysis) | 5. Discussion (novelty vs. literature, failure modes, uncertainty) | 6. Conclusions &amp; future work.</w:t>
      </w:r>
    </w:p>
    <w:p/>
    <w:p>
      <w:pPr>
        <w:pStyle w:val="Heading1"/>
        <w:jc w:val="left"/>
      </w:pPr>
      <w:r>
        <w:rPr>
          <w:rFonts w:ascii="Arial" w:hAnsi="Arial"/>
          <w:color w:val="1F497D"/>
          <w:sz w:val="32"/>
        </w:rPr>
        <w:t>9. Key References for Benchmarking</w:t>
      </w:r>
    </w:p>
    <w:p>
      <w:pPr>
        <w:pStyle w:val="ListNumber"/>
        <w:ind w:left="504" w:hanging="504"/>
      </w:pPr>
      <w:r>
        <w:rPr>
          <w:rFonts w:ascii="Arial" w:hAnsi="Arial"/>
          <w:sz w:val="20"/>
        </w:rPr>
        <w:t>Bharati, L. et al. (2019). Hydraulic parameters for sediment transport and prediction of suspended sediment for Kali Gandaki River Basin, Himalaya, Nepal. Water, 11(6), 1229. https://doi.org/10.3390/w11061229</w:t>
      </w:r>
    </w:p>
    <w:p>
      <w:pPr>
        <w:pStyle w:val="ListNumber"/>
        <w:ind w:left="504" w:hanging="504"/>
      </w:pPr>
      <w:r>
        <w:rPr>
          <w:rFonts w:ascii="Arial" w:hAnsi="Arial"/>
          <w:sz w:val="20"/>
        </w:rPr>
        <w:t>Regmi, R.R. &amp; Mishra, S.K. (2015). Runoff and sediment yield modeling using ANN and support vector machines: A case study from Nepal watershed. Model. Earth Syst. Environ., 1(3), 1–14. https://doi.org/10.1007/s40808-015-0027-0</w:t>
      </w:r>
    </w:p>
    <w:p>
      <w:pPr>
        <w:pStyle w:val="ListNumber"/>
        <w:ind w:left="504" w:hanging="504"/>
      </w:pPr>
      <w:r>
        <w:rPr>
          <w:rFonts w:ascii="Arial" w:hAnsi="Arial"/>
          <w:sz w:val="20"/>
        </w:rPr>
        <w:t>Kumar, D. et al. (2020). ANN modeling of the complex discharge-sediment concentration relationship in Bhagirathi river basin of the Himalaya. Sustain. Water Resour. Manag., 6, 1–14. https://doi.org/10.1007/s40899-020-00396-6</w:t>
      </w:r>
    </w:p>
    <w:p>
      <w:pPr>
        <w:pStyle w:val="ListNumber"/>
        <w:ind w:left="504" w:hanging="504"/>
      </w:pPr>
      <w:r>
        <w:rPr>
          <w:rFonts w:ascii="Arial" w:hAnsi="Arial"/>
          <w:sz w:val="20"/>
        </w:rPr>
        <w:t>Karpatne, A. et al. (2017). Physics-guided neural networks (PGNN): An application in lake temperature modeling. arXiv:1710.11431.</w:t>
      </w:r>
    </w:p>
    <w:p>
      <w:pPr>
        <w:pStyle w:val="ListNumber"/>
        <w:ind w:left="504" w:hanging="504"/>
      </w:pPr>
      <w:r>
        <w:rPr>
          <w:rFonts w:ascii="Arial" w:hAnsi="Arial"/>
          <w:sz w:val="20"/>
        </w:rPr>
        <w:t>Khosravi, K. et al. (2021). Suspended sediment load prediction using long short-term memory neural network. Sci. Rep., 11, 8064. https://doi.org/10.1038/s41598-021-87415-4</w:t>
      </w:r>
    </w:p>
    <w:p>
      <w:pPr>
        <w:pStyle w:val="ListNumber"/>
        <w:ind w:left="504" w:hanging="504"/>
      </w:pPr>
      <w:r>
        <w:rPr>
          <w:rFonts w:ascii="Arial" w:hAnsi="Arial"/>
          <w:sz w:val="20"/>
        </w:rPr>
        <w:t>Zhao, T. et al. (2025). Regional scale simulations of daily suspended sediment concentration at gauged and ungauged rivers using deep learning. J. Hydrol., 655, 132847. https://doi.org/10.1016/j.jhydrol.2025.132847 (approx.)</w:t>
      </w:r>
    </w:p>
    <w:p>
      <w:pPr>
        <w:pStyle w:val="ListNumber"/>
        <w:ind w:left="504" w:hanging="504"/>
      </w:pPr>
      <w:r>
        <w:rPr>
          <w:rFonts w:ascii="Arial" w:hAnsi="Arial"/>
          <w:sz w:val="20"/>
        </w:rPr>
        <w:t>Yang, C.T. (1996). Sediment transport: theory and practice. McGraw-Hill, New York.</w:t>
      </w:r>
    </w:p>
    <w:p>
      <w:pPr>
        <w:pStyle w:val="ListNumber"/>
        <w:ind w:left="504" w:hanging="504"/>
      </w:pPr>
      <w:r>
        <w:rPr>
          <w:rFonts w:ascii="Arial" w:hAnsi="Arial"/>
          <w:sz w:val="20"/>
        </w:rPr>
        <w:t>Liu, X. et al. (2024). Physics-informed machine learning algorithms for forecasting sediment yield: an analysis of physical consistency, sensitivity, and interpretability. Environ. Sci. Pollut. Res., 31, 45123–45141. https://doi.org/10.1007/s11356-024-34245-2</w:t>
      </w:r>
    </w:p>
    <w:p>
      <w:pPr>
        <w:pStyle w:val="ListNumber"/>
        <w:ind w:left="504" w:hanging="504"/>
      </w:pPr>
      <w:r>
        <w:rPr>
          <w:rFonts w:ascii="Arial" w:hAnsi="Arial"/>
          <w:sz w:val="20"/>
        </w:rPr>
        <w:t>Naqvi, S.A. et al. (2022 / 2023). Forecasting of SSC in Pindari-Kafni glacier valley, Central Himalaya considering the impact of precipitation. Arab. J. Geosci., 15, 434. https://doi.org/10.1007/s12517-022-09773-1</w:t>
      </w:r>
    </w:p>
    <w:p>
      <w:pPr>
        <w:pStyle w:val="ListNumber"/>
        <w:ind w:left="504" w:hanging="504"/>
      </w:pPr>
      <w:r>
        <w:rPr>
          <w:rFonts w:ascii="Arial" w:hAnsi="Arial"/>
          <w:sz w:val="20"/>
        </w:rPr>
        <w:t>Adhikari, R. (2018). Prediction of sediment runoff processes in West Rapti River Basin, Nepal. ICHARM Master Thesis. Japan: PWRI.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8"/>
      </w:rPr>
      <w:t>PGNN SSC Prediction — West Rapti River, Nepal | Jalkundi Station | March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