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5E"/>
          <w:sz w:val="36"/>
          <w:szCs w:val="36"/>
        </w:rPr>
        <w:t xml:space="preserve">FORMAL PEER REVIEW</w:t>
      </w:r>
    </w:p>
    <w:p>
      <w:pPr>
        <w:spacing w:after="40"/>
        <w:jc w:val="center"/>
      </w:pPr>
      <w:r>
        <w:rPr>
          <w:rFonts w:ascii="Arial" w:cs="Arial" w:eastAsia="Arial" w:hAnsi="Arial"/>
          <w:color w:val="444444"/>
          <w:sz w:val="28"/>
          <w:szCs w:val="28"/>
        </w:rPr>
        <w:t xml:space="preserve">LTP: Lattice Transfer Protocol — Whitepaper</w:t>
      </w:r>
    </w:p>
    <w:p>
      <w:pPr>
        <w:spacing w:after="40"/>
        <w:jc w:val="center"/>
      </w:pPr>
      <w:r>
        <w:rPr>
          <w:rFonts w:ascii="Arial" w:cs="Arial" w:eastAsia="Arial" w:hAnsi="Arial"/>
          <w:color w:val="888888"/>
          <w:sz w:val="20"/>
          <w:szCs w:val="20"/>
        </w:rPr>
        <w:t xml:space="preserve">Version 0.1.0-draft  |  Dated 2026-02-24</w:t>
      </w:r>
    </w:p>
    <w:p>
      <w:pPr>
        <w:spacing w:after="300"/>
        <w:jc w:val="center"/>
      </w:pPr>
      <w:r>
        <w:rPr>
          <w:rFonts w:ascii="Arial" w:cs="Arial" w:eastAsia="Arial" w:hAnsi="Arial"/>
          <w:color w:val="888888"/>
          <w:sz w:val="20"/>
          <w:szCs w:val="20"/>
        </w:rPr>
        <w:t xml:space="preserve">Review Date: March 2, 2026</w:t>
      </w:r>
    </w:p>
    <w:p>
      <w:pPr>
        <w:pBdr>
          <w:bottom w:val="single" w:color="1A3C5E" w:sz="6" w:space="1"/>
        </w:pBdr>
        <w:spacing w:after="300"/>
      </w:pPr>
    </w:p>
    <w:p>
      <w:pPr>
        <w:pStyle w:val="Heading1"/>
        <w:spacing w:before="300" w:after="150"/>
      </w:pPr>
      <w:r>
        <w:t xml:space="preserve">1. Summary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Criterion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Rating</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Comment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Originality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Individual components are well-established prior art; the contribution is the protocol-level synthesis, which the paper itself acknowledges with admirable honesty.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Technical Rigor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4/5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Formal security proofs are well-constructed and reduce to standard assumptions. The cryptographic game definitions are precise and the reductions are sound.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Completeness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4/5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Covers protocol design, security model, availability, economics, cost analysis, and related work. Several open questions are honestly surfaced.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Clarity of Writing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5/5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Exceptionally well-written for a protocol whitepaper. The prose is precise, the diagrams are effective, and the honest acknowledgment of limitations is a rare virtue.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Intellectual Honesty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5/5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The paper consistently calls out its own limitations, worst-case tradeoffs, and debts to prior work. Section 3.3.7 and Section 8.7 are models of academic integrity.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Practical Viability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Strong theoretical foundation but several deployment-critical mechanisms remain unresolved (incentive economics, real-time streaming, cross-deployment federation).</w:t>
            </w:r>
          </w:p>
        </w:tc>
      </w:tr>
    </w:tbl>
    <w:p>
      <w:pPr>
        <w:spacing w:after="160" w:line="276"/>
      </w:pPr>
      <w:r>
        <w:t xml:space="preserve"/>
      </w:r>
    </w:p>
    <w:p>
      <w:pPr>
        <w:pStyle w:val="Heading1"/>
        <w:spacing w:before="300" w:after="150"/>
      </w:pPr>
      <w:r>
        <w:t xml:space="preserve">2. Overall Recommendation</w:t>
      </w:r>
    </w:p>
    <w:p>
      <w:pPr>
        <w:spacing w:after="160" w:line="276"/>
      </w:pPr>
      <w:r>
        <w:rPr>
          <w:b/>
          <w:bCs/>
        </w:rPr>
        <w:t xml:space="preserve">Verdict: Revise and Resubmit (Major Revision). </w:t>
      </w:r>
      <w:r>
        <w:t xml:space="preserve">The paper presents a thoughtful and technically sound synthesis of established distributed systems and cryptographic primitives into a coherent transfer protocol abstraction. The writing quality is exceptional and the intellectual honesty is a standout strength. However, the paper would benefit from addressing several structural and technical concerns before it can stand as a definitive protocol specification. The gap between the theoretical protocol and a deployable system is substantial, and the paper should either narrow its claims to match the current level of specification, or deepen the specification to match its ambitions.</w:t>
      </w:r>
    </w:p>
    <w:p>
      <w:pPr>
        <w:pStyle w:val="Heading1"/>
        <w:spacing w:before="300" w:after="150"/>
      </w:pPr>
      <w:r>
        <w:t xml:space="preserve">3. Major Strengths</w:t>
      </w:r>
    </w:p>
    <w:p>
      <w:pPr>
        <w:pStyle w:val="Heading2"/>
        <w:spacing w:before="300" w:after="150"/>
      </w:pPr>
      <w:r>
        <w:t xml:space="preserve">3.1 Exceptional Intellectual Honesty</w:t>
      </w:r>
    </w:p>
    <w:p>
      <w:pPr>
        <w:spacing w:after="160" w:line="276"/>
      </w:pPr>
      <w:r>
        <w:t xml:space="preserve">This is the paper's single greatest asset. The explicit acknowledgment that LTP's individual components are not novel (Section 8.7), that single-transfer bandwidth is strictly worse than direct transfer (Section 6.4), and that the comparison table in Section 7 highlights shared properties rather than hiding them — all of this dramatically increases the reader's trust in the claims that are made. Section 3.3.7 ("What Cannot Be Formally Proven") is particularly commendable; most protocol whitepapers would simply omit these limitations.</w:t>
      </w:r>
    </w:p>
    <w:p>
      <w:pPr>
        <w:pStyle w:val="Heading2"/>
        <w:spacing w:before="300" w:after="150"/>
      </w:pPr>
      <w:r>
        <w:t xml:space="preserve">3.2 Well-Constructed Security Proofs</w:t>
      </w:r>
    </w:p>
    <w:p>
      <w:pPr>
        <w:spacing w:after="160" w:line="276"/>
      </w:pPr>
      <w:r>
        <w:t xml:space="preserve">The formal security section (Section 3.3) is rigorous. The cryptographic games are properly defined with clear adversary models, and the reductions to standard assumptions (ML-KEM IND-CCA, ML-DSA EUF-CMA, AEAD IND-CPA/AUTH, hash collision resistance) are sound. The composite Transfer Immutability theorem (Theorem 8) correctly chains all four barriers and the proof sketch is convincing. The information-theoretic threshold secrecy proof (Theorem 7) properly invokes the MDS property of Reed-Solomon codes.</w:t>
      </w:r>
    </w:p>
    <w:p>
      <w:pPr>
        <w:pStyle w:val="Heading2"/>
        <w:spacing w:before="300" w:after="150"/>
      </w:pPr>
      <w:r>
        <w:t xml:space="preserve">3.3 Honest Cost Model</w:t>
      </w:r>
    </w:p>
    <w:p>
      <w:pPr>
        <w:spacing w:after="160" w:line="276"/>
      </w:pPr>
      <w:r>
        <w:t xml:space="preserve">Section 6.4 provides a rigorous and refreshingly transparent cost analysis. The explicit formula showing LTP is strictly worse for single-transfer bandwidth (by a factor of r+1), the clear identification of the fan-out regime where LTP amortizes to parity, and the precise latency formulas all allow a reader to independently evaluate whether LTP makes sense for their use case. This is far superior to the hand-waving found in many protocol papers.</w:t>
      </w:r>
    </w:p>
    <w:p>
      <w:pPr>
        <w:pStyle w:val="Heading2"/>
        <w:spacing w:before="300" w:after="150"/>
      </w:pPr>
      <w:r>
        <w:t xml:space="preserve">3.4 Mature Related Work Section</w:t>
      </w:r>
    </w:p>
    <w:p>
      <w:pPr>
        <w:spacing w:after="160" w:line="276"/>
      </w:pPr>
      <w:r>
        <w:t xml:space="preserve">Section 8 is one of the strongest related work sections I have encountered in a protocol whitepaper. It goes beyond listing prior systems; it precisely identifies what LTP borrows and where it diverges, with concrete technical distinctions rather than vague differentiation. The concluding subsection (8.7) asking whether the synthesis justifies a dedicated protocol is a question many papers should ask but few do.</w:t>
      </w:r>
    </w:p>
    <w:p>
      <w:pPr>
        <w:pStyle w:val="Heading2"/>
        <w:spacing w:before="300" w:after="150"/>
      </w:pPr>
      <w:r>
        <w:t xml:space="preserve">3.5 Clean Protocol Abstraction</w:t>
      </w:r>
    </w:p>
    <w:p>
      <w:pPr>
        <w:spacing w:after="160" w:line="276"/>
      </w:pPr>
      <w:r>
        <w:t xml:space="preserve">The three-phase model (commit → lattice → materialize) is a genuinely useful conceptual contribution. Reframing distributed storage + capabilities as a transfer primitive is not a trivial relabeling; it changes the mental model for both protocol designers and users. The sealed lattice key as a constant-size, receiver-bound, post-quantum transfer token is a novel synthesis of existing ideas into a clean interface.</w:t>
      </w:r>
    </w:p>
    <w:p>
      <w:pPr>
        <w:pStyle w:val="Heading1"/>
        <w:spacing w:before="300" w:after="150"/>
      </w:pPr>
      <w:r>
        <w:t xml:space="preserve">4. Technical Concerns and Weaknesses</w:t>
      </w:r>
    </w:p>
    <w:p>
      <w:pPr>
        <w:pStyle w:val="Heading2"/>
        <w:spacing w:before="300" w:after="150"/>
      </w:pPr>
      <w:r>
        <w:t xml:space="preserve">4.1 EntityID as a Deterministic Fingerprint — Understated Risk</w:t>
      </w:r>
    </w:p>
    <w:p>
      <w:pPr>
        <w:spacing w:after="160" w:line="276"/>
      </w:pPr>
      <w:r>
        <w:t xml:space="preserve">The paper acknowledges (Section 3.3.3, caveat) that the EntityID is a deterministic function of content and can serve as a fingerprint for low-entropy messages. However, this risk is understated. In many practical scenarios (small files, structured data, boolean decisions, database rows with constrained schemas), the entity space is enumerable. An adversary who can observe the commitment log learns the EntityID of every committed entity; if the content space is small, the adversary can brute-force the preimage by hashing candidate entities.</w:t>
      </w:r>
    </w:p>
    <w:p>
      <w:pPr>
        <w:spacing w:after="160" w:line="276"/>
      </w:pPr>
      <w:r>
        <w:t xml:space="preserve">The ZK transfer mode (Section 3.2) is presented as the mitigation, but it is underspecified. The paper should formalize the ZK mode with the same rigor as the main protocol, including concrete proof system choices, performance costs, and the privacy guarantees under realistic adversary models. Without this, the claim of a "zero-knowledge variant" is aspirational rather than substantive.</w:t>
      </w:r>
    </w:p>
    <w:p>
      <w:pPr>
        <w:pStyle w:val="Heading2"/>
        <w:spacing w:before="300" w:after="150"/>
      </w:pPr>
      <w:r>
        <w:t xml:space="preserve">4.2 Commitment Log Trust Model Is Underspecified</w:t>
      </w:r>
    </w:p>
    <w:p>
      <w:pPr>
        <w:spacing w:after="160" w:line="276"/>
      </w:pPr>
      <w:r>
        <w:t xml:space="preserve">The append-only commitment log is foundational to LTP's immutability guarantees, yet the paper deliberately avoids specifying its implementation. While the flexibility argument (it could be a blockchain, a CT-style Merkle log, or a permissioned ledger) is reasonable for a design-stage paper, the security proofs implicitly assume an idealized append-only log that cannot be tampered with. In practice, the security of the log depends entirely on its implementation.</w:t>
      </w:r>
    </w:p>
    <w:p>
      <w:pPr>
        <w:spacing w:after="160" w:line="276"/>
      </w:pPr>
      <w:r>
        <w:t xml:space="preserve">The paper should at minimum provide a formal trust model for the log: what are the exact assumptions (e.g., honest majority of log operators, at least one honest mirror)? What happens if the log is forked or if an operator is compromised? How does a receiver verify that they are reading the canonical log and not a shadow fork? These questions are critical because the non-repudiation theorem (Theorem 6) holds only if the log is trustworthy.</w:t>
      </w:r>
    </w:p>
    <w:p>
      <w:pPr>
        <w:pStyle w:val="Heading2"/>
        <w:spacing w:before="300" w:after="150"/>
      </w:pPr>
      <w:r>
        <w:t xml:space="preserve">4.3 Storage Proof Weakness Is Acknowledged but Unresolved</w:t>
      </w:r>
    </w:p>
    <w:p>
      <w:pPr>
        <w:spacing w:after="160" w:line="276"/>
      </w:pPr>
      <w:r>
        <w:t xml:space="preserve">Section 5.2.2 honestly notes that the storage proof protocol is weaker than Filecoin's: a node that re-fetches data just before an audit passes dishonestly. The paper waves at time-bounded challenges and economic bonds as mitigations, and this concern resurfaces in Open Question 6. However, for a protocol that claims "security without trust," this is a significant gap. A node that doesn't actually store data but can fetch it from another replica within the challenge window defeats the storage proof entirely. This has cascading consequences for availability: if many nodes employ this strategy, the effective replication factor drops to 1, and a single true storage failure becomes catastrophic.</w:t>
      </w:r>
    </w:p>
    <w:p>
      <w:pPr>
        <w:spacing w:after="160" w:line="276"/>
      </w:pPr>
      <w:r>
        <w:t xml:space="preserve">A more rigorous treatment should either propose a concrete proof-of-storage mechanism (even if weaker than Filecoin's SNARKs) or explicitly downgrade the availability guarantee to depend on trusted operators rather than cryptographic verification.</w:t>
      </w:r>
    </w:p>
    <w:p>
      <w:pPr>
        <w:pStyle w:val="Heading2"/>
        <w:spacing w:before="300" w:after="150"/>
      </w:pPr>
      <w:r>
        <w:t xml:space="preserve">4.4 Nonce-as-Index for AEAD Requires Careful Justification</w:t>
      </w:r>
    </w:p>
    <w:p>
      <w:pPr>
        <w:spacing w:after="160" w:line="276"/>
      </w:pPr>
      <w:r>
        <w:t xml:space="preserve">In Section 2.1.1, each shard is encrypted with nonce = shard_index. Since the CEK is random per entity, this is safe: each (CEK, nonce) pair is unique. However, this relies on the assumption that the same CEK is never used for two different entities. The paper should explicitly state that CEK reuse across entities is a catastrophic failure mode (nonce reuse in AEAD leads to plaintext recovery) and specify that the CEK MUST be generated from a CSPRNG. Additionally, if the protocol ever evolves to support entity updates (re-committing with the same entity ID), the CEK must be fresh each time — this should be a stated invariant.</w:t>
      </w:r>
    </w:p>
    <w:p>
      <w:pPr>
        <w:pStyle w:val="Heading2"/>
        <w:spacing w:before="300" w:after="150"/>
      </w:pPr>
      <w:r>
        <w:t xml:space="preserve">4.5 Availability Model Assumes Independent Failures</w:t>
      </w:r>
    </w:p>
    <w:p>
      <w:pPr>
        <w:spacing w:after="160" w:line="276"/>
      </w:pPr>
      <w:r>
        <w:t xml:space="preserve">The availability calculation in Section 5.4.1 assumes node failures are independent events (each node fails with probability p, independently). In real-world deployments, failures are highly correlated: cloud provider outages, network partitions, and regional disasters affect many nodes simultaneously. The worked example showing 99.9999999% availability is technically correct under the independence assumption but potentially misleading.</w:t>
      </w:r>
    </w:p>
    <w:p>
      <w:pPr>
        <w:spacing w:after="160" w:line="276"/>
      </w:pPr>
      <w:r>
        <w:t xml:space="preserve">The paper should include a correlated failure model (e.g., nodes within the same region fail together with some probability) and re-derive availability under realistic correlation structures. The minimum_regions = 3 genesis requirement partially addresses this, but the formal model should account for it.</w:t>
      </w:r>
    </w:p>
    <w:p>
      <w:pPr>
        <w:pStyle w:val="Heading2"/>
        <w:spacing w:before="300" w:after="150"/>
      </w:pPr>
      <w:r>
        <w:t xml:space="preserve">4.6 Forward Secrecy Claim Requires Nuance</w:t>
      </w:r>
    </w:p>
    <w:p>
      <w:pPr>
        <w:spacing w:after="160" w:line="276"/>
      </w:pPr>
      <w:r>
        <w:t xml:space="preserve">Section 2.2.2 claims forward secrecy per transfer, which is correct: each seal operation uses a fresh ML-KEM encapsulation. However, forward secrecy depends on the receiver zeroizing the shared secret after processing. If the receiver stores the unsealed lattice key (including the CEK) for later re-materialization, the forward secrecy guarantee is voided. The paper should distinguish between ephemeral materialization (true forward secrecy) and cached materialization (no forward secrecy) and specify the expected receiver behavior.</w:t>
      </w:r>
    </w:p>
    <w:p>
      <w:pPr>
        <w:pStyle w:val="Heading1"/>
        <w:spacing w:before="300" w:after="150"/>
      </w:pPr>
      <w:r>
        <w:t xml:space="preserve">5. Structural and Presentation Suggestions</w:t>
      </w:r>
    </w:p>
    <w:p>
      <w:pPr>
        <w:pStyle w:val="Heading2"/>
        <w:spacing w:before="300" w:after="150"/>
      </w:pPr>
      <w:r>
        <w:t xml:space="preserve">5.1 Missing: Formal Protocol Specification</w:t>
      </w:r>
    </w:p>
    <w:p>
      <w:pPr>
        <w:spacing w:after="160" w:line="276"/>
      </w:pPr>
      <w:r>
        <w:t xml:space="preserve">The paper is positioned between a research paper and a protocol specification, and this dual identity creates tension. The three-phase protocol description (Section 2) is clear but informal. For a protocol that aspires to real-world deployment, a formal specification of message formats, state machines, error handling, and wire protocol is needed. This could be a separate RFC-style document, but its absence limits the paper's utility for implementors.</w:t>
      </w:r>
    </w:p>
    <w:p>
      <w:pPr>
        <w:pStyle w:val="Heading2"/>
        <w:spacing w:before="300" w:after="150"/>
      </w:pPr>
      <w:r>
        <w:t xml:space="preserve">5.2 The Ontology Section (1) Is Philosophically Interesting but Functionally Thin</w:t>
      </w:r>
    </w:p>
    <w:p>
      <w:pPr>
        <w:spacing w:after="160" w:line="276"/>
      </w:pPr>
      <w:r>
        <w:t xml:space="preserve">Section 1 introduces the concept of "entities" with content, shape, and identity. While the abstraction is clean, the paper never specifies what "shape" is concretely. Is it a MIME type? A JSON schema? A protocol buffer descriptor? The EntityID hash includes shape_hash, but the shape concept is never formalized. This makes the identity function underspecified: two implementations could hash "shape" differently and produce different EntityIDs for the same content. A concrete specification of the shape field (or its removal in favor of content-only addressing) would strengthen the protocol.</w:t>
      </w:r>
    </w:p>
    <w:p>
      <w:pPr>
        <w:pStyle w:val="Heading2"/>
        <w:spacing w:before="300" w:after="150"/>
      </w:pPr>
      <w:r>
        <w:t xml:space="preserve">5.3 Use Cases Need Quantitative Grounding</w:t>
      </w:r>
    </w:p>
    <w:p>
      <w:pPr>
        <w:spacing w:after="160" w:line="276"/>
      </w:pPr>
      <w:r>
        <w:t xml:space="preserve">Section 9 lists compelling use cases but they remain qualitative. The paper would be strengthened by working through at least one use case with concrete numbers: entity size, shard parameters, node count, expected latency comparison with direct transfer, and cost overhead. The Mars colony scenario (Section 9.5) is imaginative but should note the substantial infrastructure assumptions (pre-positioned commitment nodes with replicated shards) more prominently.</w:t>
      </w:r>
    </w:p>
    <w:p>
      <w:pPr>
        <w:pStyle w:val="Heading2"/>
        <w:spacing w:before="300" w:after="150"/>
      </w:pPr>
      <w:r>
        <w:t xml:space="preserve">5.4 Theorem Numbering Is Inconsistent</w:t>
      </w:r>
    </w:p>
    <w:p>
      <w:pPr>
        <w:spacing w:after="160" w:line="276"/>
      </w:pPr>
      <w:r>
        <w:t xml:space="preserve">Theorems in Section 3.3 begin at Theorem 3, while Theorems 1 and 2 appear in Section 4. The reader encounters Theorem 3 first, which is confusing. A consistent numbering scheme starting from Section 3.3 and cross-referencing Section 4's theorems would improve readability.</w:t>
      </w:r>
    </w:p>
    <w:p>
      <w:pPr>
        <w:pStyle w:val="Heading1"/>
        <w:spacing w:before="300" w:after="150"/>
      </w:pPr>
      <w:r>
        <w:t xml:space="preserve">6. Minor Issues</w:t>
      </w:r>
    </w:p>
    <w:p>
      <w:pPr>
        <w:pStyle w:val="ListParagraph"/>
        <w:numPr>
          <w:ilvl w:val="0"/>
          <w:numId w:val="2"/>
        </w:numPr>
        <w:spacing w:after="80" w:line="276"/>
      </w:pPr>
      <w:r>
        <w:rPr>
          <w:b/>
          <w:bCs/>
        </w:rPr>
        <w:t xml:space="preserve">Terminology: "Latticement" </w:t>
      </w:r>
      <w:r>
        <w:t xml:space="preserve">(Section 2.2.2 heading) — this portmanteau appears once and is never used again. Either develop it as a term or remove it.</w:t>
      </w:r>
    </w:p>
    <w:p>
      <w:pPr>
        <w:pStyle w:val="ListParagraph"/>
        <w:numPr>
          <w:ilvl w:val="0"/>
          <w:numId w:val="2"/>
        </w:numPr>
        <w:spacing w:after="80" w:line="276"/>
      </w:pPr>
      <w:r>
        <w:rPr>
          <w:b/>
          <w:bCs/>
        </w:rPr>
        <w:t xml:space="preserve">Hash function inconsistency </w:t>
      </w:r>
      <w:r>
        <w:t xml:space="preserve">— Section 1.2 mentions "BLAKE3 or Poseidon for ZK-friendliness," Section 3.3.1 uses "BLAKE2b-256," and the commitment record example uses "blake3:...". The paper should commit to a specific hash function for the core protocol and note alternatives as extensions.</w:t>
      </w:r>
    </w:p>
    <w:p>
      <w:pPr>
        <w:pStyle w:val="ListParagraph"/>
        <w:numPr>
          <w:ilvl w:val="0"/>
          <w:numId w:val="2"/>
        </w:numPr>
        <w:spacing w:after="80" w:line="276"/>
      </w:pPr>
      <w:r>
        <w:rPr>
          <w:b/>
          <w:bCs/>
        </w:rPr>
        <w:t xml:space="preserve">Comparison table fairness </w:t>
      </w:r>
      <w:r>
        <w:t xml:space="preserve">(Section 7) — IPFS is listed as having no client-side encryption, but IPFS can be combined with encryption layers (e.g., Textile). The comparison is fair for base protocols but the reader should be warned that real deployments layer additional features.</w:t>
      </w:r>
    </w:p>
    <w:p>
      <w:pPr>
        <w:pStyle w:val="ListParagraph"/>
        <w:numPr>
          <w:ilvl w:val="0"/>
          <w:numId w:val="2"/>
        </w:numPr>
        <w:spacing w:after="80" w:line="276"/>
      </w:pPr>
      <w:r>
        <w:rPr>
          <w:b/>
          <w:bCs/>
        </w:rPr>
        <w:t xml:space="preserve">Access policy underspecified </w:t>
      </w:r>
      <w:r>
        <w:t xml:space="preserve">— the access_policy field in the lattice key is described as ~20-50 bytes with brief mentions of one-time, time-limited, and delegatable semantics, but no concrete encoding or enforcement mechanism is provided.</w:t>
      </w:r>
    </w:p>
    <w:p>
      <w:pPr>
        <w:pStyle w:val="ListParagraph"/>
        <w:numPr>
          <w:ilvl w:val="0"/>
          <w:numId w:val="2"/>
        </w:numPr>
        <w:spacing w:after="80" w:line="276"/>
      </w:pPr>
      <w:r>
        <w:rPr>
          <w:b/>
          <w:bCs/>
        </w:rPr>
        <w:t xml:space="preserve">Consistent hashing algorithm </w:t>
      </w:r>
      <w:r>
        <w:t xml:space="preserve">— the paper references ConsistentHash() but does not specify which variant (e.g., Karger's ring, jump hash, rendezvous hash). The choice affects node churn behavior and should be specified or at least constrained.</w:t>
      </w:r>
    </w:p>
    <w:p>
      <w:pPr>
        <w:pStyle w:val="ListParagraph"/>
        <w:numPr>
          <w:ilvl w:val="0"/>
          <w:numId w:val="2"/>
        </w:numPr>
        <w:spacing w:after="80" w:line="276"/>
      </w:pPr>
      <w:r>
        <w:rPr>
          <w:b/>
          <w:bCs/>
        </w:rPr>
        <w:t xml:space="preserve">GF(256) choice for erasure coding </w:t>
      </w:r>
      <w:r>
        <w:t xml:space="preserve">— Reed-Solomon over GF(256) limits shard count to 255. For large entities requiring more parallelism, this may be a constraint. The paper should note this limit or specify fallback to GF(2^16).</w:t>
      </w:r>
    </w:p>
    <w:p>
      <w:pPr>
        <w:pStyle w:val="Heading1"/>
        <w:spacing w:before="300" w:after="150"/>
      </w:pPr>
      <w:r>
        <w:t xml:space="preserve">7. Questions for the Author</w:t>
      </w:r>
    </w:p>
    <w:p>
      <w:pPr>
        <w:pStyle w:val="ListParagraph"/>
        <w:numPr>
          <w:ilvl w:val="0"/>
          <w:numId w:val="3"/>
        </w:numPr>
        <w:spacing w:after="100" w:line="276"/>
      </w:pPr>
      <w:r>
        <w:t xml:space="preserve">How does the protocol handle key rotation for the receiver's ML-KEM encapsulation key pair? If a receiver rotates keys, previously sealed (but not yet materialized) lattice keys become undecryptable. Is there a re-sealing mechanism?</w:t>
      </w:r>
    </w:p>
    <w:p>
      <w:pPr>
        <w:pStyle w:val="ListParagraph"/>
        <w:numPr>
          <w:ilvl w:val="0"/>
          <w:numId w:val="3"/>
        </w:numPr>
        <w:spacing w:after="100" w:line="276"/>
      </w:pPr>
      <w:r>
        <w:t xml:space="preserve">What is the expected commitment record size for entities with very large shard counts (e.g., n = 255)? The Merkle root remains 32 bytes, but does the shard_map include a full Merkle tree or just the root?</w:t>
      </w:r>
    </w:p>
    <w:p>
      <w:pPr>
        <w:pStyle w:val="ListParagraph"/>
        <w:numPr>
          <w:ilvl w:val="0"/>
          <w:numId w:val="3"/>
        </w:numPr>
        <w:spacing w:after="100" w:line="276"/>
      </w:pPr>
      <w:r>
        <w:t xml:space="preserve">For the ZK transfer mode (Section 3.2), which proof system do you envision? Groth16, Plonk, STARKs? The choice has major implications for proof size, verification time, and the trusted setup question.</w:t>
      </w:r>
    </w:p>
    <w:p>
      <w:pPr>
        <w:pStyle w:val="ListParagraph"/>
        <w:numPr>
          <w:ilvl w:val="0"/>
          <w:numId w:val="3"/>
        </w:numPr>
        <w:spacing w:after="100" w:line="276"/>
      </w:pPr>
      <w:r>
        <w:t xml:space="preserve">How does LTP interact with data regulations (GDPR right to deletion, CCPA)? The immutability guarantee is at odds with the legal requirement to delete personal data. Is the TTL-based eviction (Section 5.4.4) intended to address this?</w:t>
      </w:r>
    </w:p>
    <w:p>
      <w:pPr>
        <w:pStyle w:val="ListParagraph"/>
        <w:numPr>
          <w:ilvl w:val="0"/>
          <w:numId w:val="3"/>
        </w:numPr>
        <w:spacing w:after="100" w:line="276"/>
      </w:pPr>
      <w:r>
        <w:t xml:space="preserve">What is the intended behavior when a receiver attempts materialization after the shard TTL has expired? Does the protocol distinguish between "shards evicted" and "entity never existed"?</w:t>
      </w:r>
    </w:p>
    <w:p>
      <w:pPr>
        <w:pStyle w:val="Heading1"/>
        <w:spacing w:before="300" w:after="150"/>
      </w:pPr>
      <w:r>
        <w:t xml:space="preserve">8. Conclusion</w:t>
      </w:r>
    </w:p>
    <w:p>
      <w:pPr>
        <w:spacing w:after="160" w:line="276"/>
      </w:pPr>
      <w:r>
        <w:t xml:space="preserve">This is a strong draft that demonstrates unusual depth of thought, technical competence, and intellectual maturity. The protocol-level synthesis of established primitives into the commit-lattice-materialize model is a genuine conceptual contribution, and the sealed lattice key as a receiver-bound, post-quantum transfer token is a well-designed construct.</w:t>
      </w:r>
    </w:p>
    <w:p>
      <w:pPr>
        <w:spacing w:after="160" w:line="276"/>
      </w:pPr>
      <w:r>
        <w:t xml:space="preserve">The paper's primary weakness is the gap between the rigor of its security proofs and the underspecification of several deployment-critical mechanisms (commitment log trust model, storage proofs, ZK mode, access policy enforcement, shape formalization). Closing this gap — either by formalizing these mechanisms or by explicitly scoping them out as future work with clearly stated interim assumptions — would elevate the paper from an excellent exploratory design to a publication-ready protocol specification.</w:t>
      </w:r>
    </w:p>
    <w:p>
      <w:pPr>
        <w:spacing w:after="160" w:line="276"/>
      </w:pPr>
      <w:r>
        <w:t xml:space="preserve">The writing quality and honesty of presentation set a high bar that the technical depth should match. I look forward to reading the next revision. </w:t>
      </w:r>
      <w:r>
        <w:rPr>
          <w:i/>
          <w:iCs/>
        </w:rPr>
        <w:t xml:space="preserve">The bones of this protocol are sound; the flesh needs filling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B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2026-03-02T14:41:24.893Z</dcterms:created>
  <dcterms:modified xsi:type="dcterms:W3CDTF">2026-03-02T14:41:24.895Z</dcterms:modified>
</cp:coreProperties>
</file>

<file path=docProps/custom.xml><?xml version="1.0" encoding="utf-8"?>
<Properties xmlns="http://schemas.openxmlformats.org/officeDocument/2006/custom-properties" xmlns:vt="http://schemas.openxmlformats.org/officeDocument/2006/docPropsVTypes"/>
</file>