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Arial" w:cs="Arial" w:eastAsia="Arial" w:hAnsi="Arial"/>
          <w:b/>
          <w:bCs/>
          <w:color w:val="152238"/>
          <w:sz w:val="34"/>
          <w:szCs w:val="34"/>
        </w:rPr>
        <w:t xml:space="preserve">MATHEMATICAL REVIEW</w:t>
      </w:r>
    </w:p>
    <w:p>
      <w:pPr>
        <w:pBdr>
          <w:bottom w:val="single" w:color="152238" w:sz="5" w:space="8"/>
        </w:pBdr>
        <w:spacing w:after="30"/>
        <w:jc w:val="center"/>
      </w:pPr>
      <w:r>
        <w:rPr>
          <w:rFonts w:ascii="Arial" w:cs="Arial" w:eastAsia="Arial" w:hAnsi="Arial"/>
          <w:color w:val="1F4E79"/>
          <w:sz w:val="22"/>
          <w:szCs w:val="22"/>
        </w:rPr>
        <w:t xml:space="preserve">LTP: Lattice Transfer Protocol — Whitepaper v0.1.0-draft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none" w:sz="0"/>
              <w:left w:val="none" w:sz="0"/>
              <w:bottom w:val="none" w:sz="0"/>
              <w:right w:val="none" w:sz="0"/>
            </w:tcBorders>
            <w:tcMar>
              <w:top w:type="dxa" w:w="25"/>
              <w:left w:type="dxa" w:w="0"/>
              <w:bottom w:type="dxa" w:w="25"/>
              <w:right w:type="dxa" w:w="60"/>
            </w:tcMar>
          </w:tcPr>
          <w:p>
            <w:r>
              <w:rPr>
                <w:rFonts w:ascii="Arial" w:cs="Arial" w:eastAsia="Arial" w:hAnsi="Arial"/>
                <w:b/>
                <w:bCs/>
                <w:color w:val="152238"/>
                <w:sz w:val="20"/>
                <w:szCs w:val="20"/>
              </w:rPr>
              <w:t xml:space="preserve">Review Date:</w:t>
            </w:r>
          </w:p>
        </w:tc>
        <w:tc>
          <w:tcPr>
            <w:tcW w:type="dxa" w:w="6660"/>
            <w:tcBorders>
              <w:top w:val="none" w:sz="0"/>
              <w:left w:val="none" w:sz="0"/>
              <w:bottom w:val="none" w:sz="0"/>
              <w:right w:val="none" w:sz="0"/>
            </w:tcBorders>
            <w:tcMar>
              <w:top w:type="dxa" w:w="25"/>
              <w:left w:type="dxa" w:w="0"/>
              <w:bottom w:type="dxa" w:w="25"/>
              <w:right w:type="dxa" w:w="0"/>
            </w:tcMar>
          </w:tcPr>
          <w:p>
            <w:r>
              <w:rPr>
                <w:rFonts w:ascii="Arial" w:cs="Arial" w:eastAsia="Arial" w:hAnsi="Arial"/>
                <w:color w:val="3B3B3B"/>
                <w:sz w:val="20"/>
                <w:szCs w:val="20"/>
              </w:rPr>
              <w:t xml:space="preserve">March 19, 2026</w:t>
            </w:r>
          </w:p>
        </w:tc>
      </w:tr>
      <w:tr>
        <w:tc>
          <w:tcPr>
            <w:tcW w:type="dxa" w:w="2700"/>
            <w:tcBorders>
              <w:top w:val="none" w:sz="0"/>
              <w:left w:val="none" w:sz="0"/>
              <w:bottom w:val="none" w:sz="0"/>
              <w:right w:val="none" w:sz="0"/>
            </w:tcBorders>
            <w:tcMar>
              <w:top w:type="dxa" w:w="25"/>
              <w:left w:type="dxa" w:w="0"/>
              <w:bottom w:type="dxa" w:w="25"/>
              <w:right w:type="dxa" w:w="60"/>
            </w:tcMar>
          </w:tcPr>
          <w:p>
            <w:r>
              <w:rPr>
                <w:rFonts w:ascii="Arial" w:cs="Arial" w:eastAsia="Arial" w:hAnsi="Arial"/>
                <w:b/>
                <w:bCs/>
                <w:color w:val="152238"/>
                <w:sz w:val="20"/>
                <w:szCs w:val="20"/>
              </w:rPr>
              <w:t xml:space="preserve">Reviewer:</w:t>
            </w:r>
          </w:p>
        </w:tc>
        <w:tc>
          <w:tcPr>
            <w:tcW w:type="dxa" w:w="6660"/>
            <w:tcBorders>
              <w:top w:val="none" w:sz="0"/>
              <w:left w:val="none" w:sz="0"/>
              <w:bottom w:val="none" w:sz="0"/>
              <w:right w:val="none" w:sz="0"/>
            </w:tcBorders>
            <w:tcMar>
              <w:top w:type="dxa" w:w="25"/>
              <w:left w:type="dxa" w:w="0"/>
              <w:bottom w:type="dxa" w:w="25"/>
              <w:right w:type="dxa" w:w="0"/>
            </w:tcMar>
          </w:tcPr>
          <w:p>
            <w:r>
              <w:rPr>
                <w:rFonts w:ascii="Arial" w:cs="Arial" w:eastAsia="Arial" w:hAnsi="Arial"/>
                <w:color w:val="3B3B3B"/>
                <w:sz w:val="20"/>
                <w:szCs w:val="20"/>
              </w:rPr>
              <w:t xml:space="preserve">Independent Mathematical Review — Quantum &amp; Classical Cryptographic Rigor</w:t>
            </w:r>
          </w:p>
        </w:tc>
      </w:tr>
      <w:tr>
        <w:tc>
          <w:tcPr>
            <w:tcW w:type="dxa" w:w="2700"/>
            <w:tcBorders>
              <w:top w:val="none" w:sz="0"/>
              <w:left w:val="none" w:sz="0"/>
              <w:bottom w:val="none" w:sz="0"/>
              <w:right w:val="none" w:sz="0"/>
            </w:tcBorders>
            <w:tcMar>
              <w:top w:type="dxa" w:w="25"/>
              <w:left w:type="dxa" w:w="0"/>
              <w:bottom w:type="dxa" w:w="25"/>
              <w:right w:type="dxa" w:w="60"/>
            </w:tcMar>
          </w:tcPr>
          <w:p>
            <w:r>
              <w:rPr>
                <w:rFonts w:ascii="Arial" w:cs="Arial" w:eastAsia="Arial" w:hAnsi="Arial"/>
                <w:b/>
                <w:bCs/>
                <w:color w:val="152238"/>
                <w:sz w:val="20"/>
                <w:szCs w:val="20"/>
              </w:rPr>
              <w:t xml:space="preserve">Document:</w:t>
            </w:r>
          </w:p>
        </w:tc>
        <w:tc>
          <w:tcPr>
            <w:tcW w:type="dxa" w:w="6660"/>
            <w:tcBorders>
              <w:top w:val="none" w:sz="0"/>
              <w:left w:val="none" w:sz="0"/>
              <w:bottom w:val="none" w:sz="0"/>
              <w:right w:val="none" w:sz="0"/>
            </w:tcBorders>
            <w:tcMar>
              <w:top w:type="dxa" w:w="25"/>
              <w:left w:type="dxa" w:w="0"/>
              <w:bottom w:type="dxa" w:w="25"/>
              <w:right w:type="dxa" w:w="0"/>
            </w:tcMar>
          </w:tcPr>
          <w:p>
            <w:r>
              <w:rPr>
                <w:rFonts w:ascii="Arial" w:cs="Arial" w:eastAsia="Arial" w:hAnsi="Arial"/>
                <w:color w:val="3B3B3B"/>
                <w:sz w:val="20"/>
                <w:szCs w:val="20"/>
              </w:rPr>
              <w:t xml:space="preserve">LTP Whitepaper v0.1.0-draft (2026-02-24)</w:t>
            </w:r>
          </w:p>
        </w:tc>
      </w:tr>
      <w:tr>
        <w:tc>
          <w:tcPr>
            <w:tcW w:type="dxa" w:w="2700"/>
            <w:tcBorders>
              <w:top w:val="none" w:sz="0"/>
              <w:left w:val="none" w:sz="0"/>
              <w:bottom w:val="none" w:sz="0"/>
              <w:right w:val="none" w:sz="0"/>
            </w:tcBorders>
            <w:tcMar>
              <w:top w:type="dxa" w:w="25"/>
              <w:left w:type="dxa" w:w="0"/>
              <w:bottom w:type="dxa" w:w="25"/>
              <w:right w:type="dxa" w:w="60"/>
            </w:tcMar>
          </w:tcPr>
          <w:p>
            <w:r>
              <w:rPr>
                <w:rFonts w:ascii="Arial" w:cs="Arial" w:eastAsia="Arial" w:hAnsi="Arial"/>
                <w:b/>
                <w:bCs/>
                <w:color w:val="152238"/>
                <w:sz w:val="20"/>
                <w:szCs w:val="20"/>
              </w:rPr>
              <w:t xml:space="preserve">Scope:</w:t>
            </w:r>
          </w:p>
        </w:tc>
        <w:tc>
          <w:tcPr>
            <w:tcW w:type="dxa" w:w="6660"/>
            <w:tcBorders>
              <w:top w:val="none" w:sz="0"/>
              <w:left w:val="none" w:sz="0"/>
              <w:bottom w:val="none" w:sz="0"/>
              <w:right w:val="none" w:sz="0"/>
            </w:tcBorders>
            <w:tcMar>
              <w:top w:type="dxa" w:w="25"/>
              <w:left w:type="dxa" w:w="0"/>
              <w:bottom w:type="dxa" w:w="25"/>
              <w:right w:type="dxa" w:w="0"/>
            </w:tcMar>
          </w:tcPr>
          <w:p>
            <w:r>
              <w:rPr>
                <w:rFonts w:ascii="Arial" w:cs="Arial" w:eastAsia="Arial" w:hAnsi="Arial"/>
                <w:color w:val="3B3B3B"/>
                <w:sz w:val="20"/>
                <w:szCs w:val="20"/>
              </w:rPr>
              <w:t xml:space="preserve">All proofs, derivations, security reductions, concrete computations, and formal models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2238" w:sz="2"/>
              <w:left w:val="single" w:color="152238" w:sz="7"/>
              <w:bottom w:val="single" w:color="152238" w:sz="2"/>
              <w:right w:val="single" w:color="152238" w:sz="2"/>
            </w:tcBorders>
            <w:shd w:fill="EAF2F8" w:val="clear"/>
            <w:tcMar>
              <w:top w:type="dxa" w:w="110"/>
              <w:left w:type="dxa" w:w="180"/>
              <w:bottom w:type="dxa" w:w="110"/>
              <w:right w:type="dxa" w:w="180"/>
            </w:tcMar>
          </w:tcPr>
          <w:p>
            <w:pPr>
              <w:spacing w:after="60"/>
            </w:pPr>
            <w:r>
              <w:rPr>
                <w:rFonts w:ascii="Arial" w:cs="Arial" w:eastAsia="Arial" w:hAnsi="Arial"/>
                <w:b/>
                <w:bCs/>
                <w:color w:val="152238"/>
                <w:sz w:val="21"/>
                <w:szCs w:val="21"/>
              </w:rPr>
              <w:t xml:space="preserve">Verdict</w:t>
            </w:r>
          </w:p>
          <w:p>
            <w:r>
              <w:rPr>
                <w:rFonts w:ascii="Arial" w:cs="Arial" w:eastAsia="Arial" w:hAnsi="Arial"/>
                <w:color w:val="1C1C1C"/>
                <w:sz w:val="19"/>
                <w:szCs w:val="19"/>
              </w:rPr>
              <w:t xml:space="preserve">The proof architecture passes rigor. The concrete computations do not.</w:t>
            </w:r>
          </w:p>
        </w:tc>
      </w:tr>
    </w:tbl>
    <w:p>
      <w:pPr>
        <w:spacing w:after="40"/>
      </w:pPr>
    </w:p>
    <w:p>
      <w:pPr>
        <w:pStyle w:val="Heading1"/>
      </w:pPr>
      <w:r>
        <w:t xml:space="preserve">Executive Summary</w:t>
      </w:r>
    </w:p>
    <w:p>
      <w:pPr>
        <w:spacing w:after="130" w:before="0"/>
      </w:pPr>
      <w:r>
        <w:rPr>
          <w:rFonts w:ascii="Arial" w:cs="Arial" w:eastAsia="Arial" w:hAnsi="Arial"/>
          <w:b w:val="false"/>
          <w:bCs w:val="false"/>
          <w:i w:val="false"/>
          <w:iCs w:val="false"/>
          <w:color w:val="1C1C1C"/>
          <w:sz w:val="20"/>
          <w:szCs w:val="20"/>
        </w:rPr>
        <w:t xml:space="preserve">The LTP whitepaper contains eleven formally stated or implied mathematical claims: Theorems 3–8, the availability model, the formal cost model, the nonce security argument, the ZK hiding claim, and the interoperability test vector. After line-by-line verification, three contain demonstrable arithmetic or factual errors, three contain sound bounds supported by logically incorrect reasoning, and five contain imprecisions that would not survive journal-level review. The remaining game-based security definitions and reduction structures are well-formed and correct.</w:t>
      </w:r>
    </w:p>
    <w:p>
      <w:pPr>
        <w:spacing w:after="130" w:before="0"/>
      </w:pPr>
      <w:r>
        <w:rPr>
          <w:rFonts w:ascii="Arial" w:cs="Arial" w:eastAsia="Arial" w:hAnsi="Arial"/>
          <w:b w:val="false"/>
          <w:bCs w:val="false"/>
          <w:i w:val="false"/>
          <w:iCs w:val="false"/>
          <w:color w:val="1C1C1C"/>
          <w:sz w:val="20"/>
          <w:szCs w:val="20"/>
        </w:rPr>
        <w:t xml:space="preserve">The paper demonstrates genuine fluency with provable-security methodology. Errors are concentrated in concrete instantiations — specific numbers, test vectors, and unit conversions — rather than in proof architecture, consistent with strong theoretical understanding undermined by insufficient computational verification.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960"/>
        <w:gridCol w:w="4000"/>
      </w:tblGrid>
      <w:tr>
        <w:tc>
          <w:tcPr>
            <w:tcW w:type="dxa" w:w="44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Category</w:t>
            </w:r>
          </w:p>
        </w:tc>
        <w:tc>
          <w:tcPr>
            <w:tcW w:type="dxa" w:w="96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Count</w:t>
            </w:r>
          </w:p>
        </w:tc>
        <w:tc>
          <w:tcPr>
            <w:tcW w:type="dxa" w:w="40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Severity</w:t>
            </w:r>
          </w:p>
        </w:tc>
      </w:tr>
      <w:tr>
        <w:tc>
          <w:tcPr>
            <w:tcW w:type="dxa" w:w="44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Mathematically wrong</w:t>
            </w:r>
          </w:p>
        </w:tc>
        <w:tc>
          <w:tcPr>
            <w:tcW w:type="dxa" w:w="96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bCs/>
                <w:i w:val="false"/>
                <w:iCs w:val="false"/>
                <w:color w:val="922B21"/>
                <w:sz w:val="18"/>
                <w:szCs w:val="18"/>
              </w:rPr>
              <w:t xml:space="preserve">3</w:t>
            </w:r>
          </w:p>
        </w:tc>
        <w:tc>
          <w:tcPr>
            <w:tcW w:type="dxa" w:w="40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922B21"/>
                <w:sz w:val="18"/>
                <w:szCs w:val="18"/>
              </w:rPr>
              <w:t xml:space="preserve">Critical — must fix before implementation</w:t>
            </w:r>
          </w:p>
        </w:tc>
      </w:tr>
      <w:tr>
        <w:tc>
          <w:tcPr>
            <w:tcW w:type="dxa" w:w="44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Sound bound, wrong reasoning</w:t>
            </w:r>
          </w:p>
        </w:tc>
        <w:tc>
          <w:tcPr>
            <w:tcW w:type="dxa" w:w="96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bCs/>
                <w:i w:val="false"/>
                <w:iCs w:val="false"/>
                <w:color w:val="7E5109"/>
                <w:sz w:val="18"/>
                <w:szCs w:val="18"/>
              </w:rPr>
              <w:t xml:space="preserve">3</w:t>
            </w:r>
          </w:p>
        </w:tc>
        <w:tc>
          <w:tcPr>
            <w:tcW w:type="dxa" w:w="40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7E5109"/>
                <w:sz w:val="18"/>
                <w:szCs w:val="18"/>
              </w:rPr>
              <w:t xml:space="preserve">Significant — proof text must be rewritten</w:t>
            </w:r>
          </w:p>
        </w:tc>
      </w:tr>
      <w:tr>
        <w:tc>
          <w:tcPr>
            <w:tcW w:type="dxa" w:w="4400"/>
            <w:tcBorders>
              <w:top w:val="single" w:color="C0C0C0" w:sz="1"/>
              <w:left w:val="single" w:color="C0C0C0" w:sz="1"/>
              <w:bottom w:val="single" w:color="C0C0C0" w:sz="1"/>
              <w:right w:val="single" w:color="C0C0C0" w:sz="1"/>
            </w:tcBorders>
            <w:shd w:fill="EAF2F8"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Imprecision / overly strong claims</w:t>
            </w:r>
          </w:p>
        </w:tc>
        <w:tc>
          <w:tcPr>
            <w:tcW w:type="dxa" w:w="960"/>
            <w:tcBorders>
              <w:top w:val="single" w:color="C0C0C0" w:sz="1"/>
              <w:left w:val="single" w:color="C0C0C0" w:sz="1"/>
              <w:bottom w:val="single" w:color="C0C0C0" w:sz="1"/>
              <w:right w:val="single" w:color="C0C0C0" w:sz="1"/>
            </w:tcBorders>
            <w:shd w:fill="EAF2F8" w:val="clear"/>
            <w:tcMar>
              <w:top w:type="dxa" w:w="55"/>
              <w:left w:type="dxa" w:w="100"/>
              <w:bottom w:type="dxa" w:w="55"/>
              <w:right w:type="dxa" w:w="100"/>
            </w:tcMar>
          </w:tcPr>
          <w:p>
            <w:pPr>
              <w:jc w:val="center"/>
            </w:pPr>
            <w:r>
              <w:rPr>
                <w:rFonts w:ascii="Arial" w:cs="Arial" w:eastAsia="Arial" w:hAnsi="Arial"/>
                <w:b/>
                <w:bCs/>
                <w:i w:val="false"/>
                <w:iCs w:val="false"/>
                <w:color w:val="1F4E79"/>
                <w:sz w:val="18"/>
                <w:szCs w:val="18"/>
              </w:rPr>
              <w:t xml:space="preserve">5</w:t>
            </w:r>
          </w:p>
        </w:tc>
        <w:tc>
          <w:tcPr>
            <w:tcW w:type="dxa" w:w="4000"/>
            <w:tcBorders>
              <w:top w:val="single" w:color="C0C0C0" w:sz="1"/>
              <w:left w:val="single" w:color="C0C0C0" w:sz="1"/>
              <w:bottom w:val="single" w:color="C0C0C0" w:sz="1"/>
              <w:right w:val="single" w:color="C0C0C0" w:sz="1"/>
            </w:tcBorders>
            <w:shd w:fill="EAF2F8" w:val="clear"/>
            <w:tcMar>
              <w:top w:type="dxa" w:w="55"/>
              <w:left w:type="dxa" w:w="100"/>
              <w:bottom w:type="dxa" w:w="55"/>
              <w:right w:type="dxa" w:w="100"/>
            </w:tcMar>
          </w:tcPr>
          <w:p>
            <w:r>
              <w:rPr>
                <w:rFonts w:ascii="Arial" w:cs="Arial" w:eastAsia="Arial" w:hAnsi="Arial"/>
                <w:b w:val="false"/>
                <w:bCs w:val="false"/>
                <w:i w:val="false"/>
                <w:iCs w:val="false"/>
                <w:color w:val="1F4E79"/>
                <w:sz w:val="18"/>
                <w:szCs w:val="18"/>
              </w:rPr>
              <w:t xml:space="preserve">Moderate — should fix for publication</w:t>
            </w:r>
          </w:p>
        </w:tc>
      </w:tr>
      <w:tr>
        <w:tc>
          <w:tcPr>
            <w:tcW w:type="dxa" w:w="4400"/>
            <w:tcBorders>
              <w:top w:val="single" w:color="C0C0C0" w:sz="1"/>
              <w:left w:val="single" w:color="C0C0C0" w:sz="1"/>
              <w:bottom w:val="single" w:color="C0C0C0" w:sz="1"/>
              <w:right w:val="single" w:color="C0C0C0" w:sz="1"/>
            </w:tcBorders>
            <w:shd w:fill="EAFAF1"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Clean, correct mathematics</w:t>
            </w:r>
          </w:p>
        </w:tc>
        <w:tc>
          <w:tcPr>
            <w:tcW w:type="dxa" w:w="960"/>
            <w:tcBorders>
              <w:top w:val="single" w:color="C0C0C0" w:sz="1"/>
              <w:left w:val="single" w:color="C0C0C0" w:sz="1"/>
              <w:bottom w:val="single" w:color="C0C0C0" w:sz="1"/>
              <w:right w:val="single" w:color="C0C0C0" w:sz="1"/>
            </w:tcBorders>
            <w:shd w:fill="EAFAF1" w:val="clear"/>
            <w:tcMar>
              <w:top w:type="dxa" w:w="55"/>
              <w:left w:type="dxa" w:w="100"/>
              <w:bottom w:type="dxa" w:w="55"/>
              <w:right w:type="dxa" w:w="100"/>
            </w:tcMar>
          </w:tcPr>
          <w:p>
            <w:pPr>
              <w:jc w:val="center"/>
            </w:pPr>
            <w:r>
              <w:rPr>
                <w:rFonts w:ascii="Arial" w:cs="Arial" w:eastAsia="Arial" w:hAnsi="Arial"/>
                <w:b/>
                <w:bCs/>
                <w:i w:val="false"/>
                <w:iCs w:val="false"/>
                <w:color w:val="1A5E2A"/>
                <w:sz w:val="18"/>
                <w:szCs w:val="18"/>
              </w:rPr>
              <w:t xml:space="preserve">7+</w:t>
            </w:r>
          </w:p>
        </w:tc>
        <w:tc>
          <w:tcPr>
            <w:tcW w:type="dxa" w:w="4000"/>
            <w:tcBorders>
              <w:top w:val="single" w:color="C0C0C0" w:sz="1"/>
              <w:left w:val="single" w:color="C0C0C0" w:sz="1"/>
              <w:bottom w:val="single" w:color="C0C0C0" w:sz="1"/>
              <w:right w:val="single" w:color="C0C0C0" w:sz="1"/>
            </w:tcBorders>
            <w:shd w:fill="EAFAF1" w:val="clear"/>
            <w:tcMar>
              <w:top w:type="dxa" w:w="55"/>
              <w:left w:type="dxa" w:w="100"/>
              <w:bottom w:type="dxa" w:w="55"/>
              <w:right w:type="dxa" w:w="100"/>
            </w:tcMar>
          </w:tcPr>
          <w:p>
            <w:r>
              <w:rPr>
                <w:rFonts w:ascii="Arial" w:cs="Arial" w:eastAsia="Arial" w:hAnsi="Arial"/>
                <w:b w:val="false"/>
                <w:bCs w:val="false"/>
                <w:i w:val="false"/>
                <w:iCs w:val="false"/>
                <w:color w:val="1A5E2A"/>
                <w:sz w:val="18"/>
                <w:szCs w:val="18"/>
              </w:rPr>
              <w:t xml:space="preserve">Pass</w:t>
            </w:r>
          </w:p>
        </w:tc>
      </w:tr>
    </w:tbl>
    <w:p>
      <w:pPr>
        <w:pBdr>
          <w:bottom w:val="single" w:color="152238" w:sz="4" w:space="1"/>
        </w:pBdr>
        <w:spacing w:before="180" w:after="180"/>
      </w:pPr>
    </w:p>
    <w:p>
      <w:pPr>
        <w:pStyle w:val="Heading1"/>
      </w:pPr>
      <w:r>
        <w:t xml:space="preserve">1. Critical Errors (Mathematically Wrong)</w:t>
      </w:r>
    </w:p>
    <w:p>
      <w:pPr>
        <w:spacing w:after="130" w:before="0"/>
      </w:pPr>
      <w:r>
        <w:rPr>
          <w:rFonts w:ascii="Arial" w:cs="Arial" w:eastAsia="Arial" w:hAnsi="Arial"/>
          <w:b w:val="false"/>
          <w:bCs w:val="false"/>
          <w:i w:val="false"/>
          <w:iCs w:val="false"/>
          <w:color w:val="1C1C1C"/>
          <w:sz w:val="20"/>
          <w:szCs w:val="20"/>
        </w:rPr>
        <w:t xml:space="preserve">These findings identify claims or computations that are demonstrably false. Each can be verified by direct hand computation against the paper’s own parameter definitions.</w:t>
      </w:r>
    </w:p>
    <w:p>
      <w:pPr>
        <w:pStyle w:val="Heading2"/>
      </w:pPr>
      <w:r>
        <w:t xml:space="preserve">1.1 The Interoperability Test Vector (§2.1.1) Is Incorrect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2"/>
              <w:left w:val="single" w:color="922B21" w:sz="7"/>
              <w:bottom w:val="single" w:color="922B21" w:sz="2"/>
              <w:right w:val="single" w:color="922B21" w:sz="2"/>
            </w:tcBorders>
            <w:shd w:fill="FDEDEC" w:val="clear"/>
            <w:tcMar>
              <w:top w:type="dxa" w:w="110"/>
              <w:left w:type="dxa" w:w="180"/>
              <w:bottom w:type="dxa" w:w="110"/>
              <w:right w:type="dxa" w:w="180"/>
            </w:tcMar>
          </w:tcPr>
          <w:p>
            <w:pPr>
              <w:spacing w:after="60"/>
            </w:pPr>
            <w:r>
              <w:rPr>
                <w:rFonts w:ascii="Arial" w:cs="Arial" w:eastAsia="Arial" w:hAnsi="Arial"/>
                <w:b/>
                <w:bCs/>
                <w:color w:val="922B21"/>
                <w:sz w:val="21"/>
                <w:szCs w:val="21"/>
              </w:rPr>
              <w:t xml:space="preserve">Severity: Critical</w:t>
            </w:r>
          </w:p>
          <w:p>
            <w:r>
              <w:rPr>
                <w:rFonts w:ascii="Arial" w:cs="Arial" w:eastAsia="Arial" w:hAnsi="Arial"/>
                <w:color w:val="1C1C1C"/>
                <w:sz w:val="19"/>
                <w:szCs w:val="19"/>
              </w:rPr>
              <w:t xml:space="preserve">The published test vector is inconsistent with the specified non-systematic Vandermonde encoding. Shard values correspond to a systematic code, contradicting the encoding matrix definition.</w:t>
            </w:r>
          </w:p>
        </w:tc>
      </w:tr>
    </w:tbl>
    <w:p>
      <w:pPr>
        <w:spacing w:after="30"/>
      </w:pPr>
    </w:p>
    <w:p>
      <w:pPr>
        <w:spacing w:after="130" w:before="0"/>
      </w:pPr>
      <w:r>
        <w:rPr>
          <w:rFonts w:ascii="Arial" w:cs="Arial" w:eastAsia="Arial" w:hAnsi="Arial"/>
          <w:b w:val="false"/>
          <w:bCs w:val="false"/>
          <w:i w:val="false"/>
          <w:iCs w:val="false"/>
          <w:color w:val="1C1C1C"/>
          <w:sz w:val="20"/>
          <w:szCs w:val="20"/>
        </w:rPr>
        <w:t xml:space="preserve">The paper specifies V[i][j] = α^(i·j) over GF(2⁸) with 0x11d and α = 0x02, then claims for entity [0x01, 0x02, 0x03, 0x04] with n=4, k=2:</w:t>
      </w:r>
    </w:p>
    <w:p>
      <w:pPr>
        <w:spacing w:after="130" w:before="0"/>
        <w:ind w:left="360"/>
      </w:pPr>
      <w:r>
        <w:rPr>
          <w:rFonts w:ascii="Arial" w:cs="Arial" w:eastAsia="Arial" w:hAnsi="Arial"/>
          <w:b w:val="false"/>
          <w:bCs w:val="false"/>
          <w:i/>
          <w:iCs/>
          <w:color w:val="1C1C1C"/>
          <w:sz w:val="20"/>
          <w:szCs w:val="20"/>
        </w:rPr>
        <w:t xml:space="preserve">Shard 0 (α⁰ = 1): 0102 — Shard 1 (α¹ = 2): 0x03 0x08</w:t>
      </w:r>
    </w:p>
    <w:p>
      <w:pPr>
        <w:spacing w:after="20"/>
      </w:pPr>
    </w:p>
    <w:p>
      <w:pPr>
        <w:spacing w:after="130" w:before="0"/>
      </w:pPr>
      <w:r>
        <w:rPr>
          <w:rFonts w:ascii="Arial" w:cs="Arial" w:eastAsia="Arial" w:hAnsi="Arial"/>
          <w:b/>
          <w:bCs/>
          <w:color w:val="1C1C1C"/>
          <w:sz w:val="20"/>
          <w:szCs w:val="20"/>
        </w:rPr>
        <w:t xml:space="preserve">Correct computation: </w:t>
      </w:r>
    </w:p>
    <w:p>
      <w:pPr>
        <w:spacing w:after="130" w:before="0"/>
      </w:pPr>
      <w:r>
        <w:rPr>
          <w:rFonts w:ascii="Arial" w:cs="Arial" w:eastAsia="Arial" w:hAnsi="Arial"/>
          <w:b w:val="false"/>
          <w:bCs w:val="false"/>
          <w:i w:val="false"/>
          <w:iCs w:val="false"/>
          <w:color w:val="1C1C1C"/>
          <w:sz w:val="20"/>
          <w:szCs w:val="20"/>
        </w:rPr>
        <w:t xml:space="preserve">With k = 2, entity splits into chunks c₀ = [0x01, 0x02] and c₁ = [0x03, 0x04]. The encoding polynomial per byte position b is p_b(x) = c₀[b] + c₁[b] · x, evaluated at αⁱ.</w:t>
      </w:r>
    </w:p>
    <w:p>
      <w:pPr>
        <w:spacing w:after="130" w:before="0"/>
      </w:pPr>
      <w:r>
        <w:rPr>
          <w:rFonts w:ascii="Arial" w:cs="Arial" w:eastAsia="Arial" w:hAnsi="Arial"/>
          <w:b/>
          <w:bCs/>
          <w:color w:val="1C1C1C"/>
          <w:sz w:val="20"/>
          <w:szCs w:val="20"/>
        </w:rPr>
        <w:t xml:space="preserve">Shard 0 at x = 1: </w:t>
      </w:r>
      <w:r>
        <w:rPr>
          <w:rFonts w:ascii="Arial" w:cs="Arial" w:eastAsia="Arial" w:hAnsi="Arial"/>
          <w:color w:val="1C1C1C"/>
          <w:sz w:val="20"/>
          <w:szCs w:val="20"/>
        </w:rPr>
        <w:t xml:space="preserve">p₀(1) = 0x01 ⊕ 0x03 = 0x02; p₁(1) = 0x02 ⊕ 0x04 = 0x06. Correct: [0x02, 0x06]. Paper claims [0x01, 0x02].</w:t>
      </w:r>
    </w:p>
    <w:p>
      <w:pPr>
        <w:spacing w:after="130" w:before="0"/>
      </w:pPr>
      <w:r>
        <w:rPr>
          <w:rFonts w:ascii="Arial" w:cs="Arial" w:eastAsia="Arial" w:hAnsi="Arial"/>
          <w:b/>
          <w:bCs/>
          <w:color w:val="1C1C1C"/>
          <w:sz w:val="20"/>
          <w:szCs w:val="20"/>
        </w:rPr>
        <w:t xml:space="preserve">Shard 1 at x = 2: </w:t>
      </w:r>
      <w:r>
        <w:rPr>
          <w:rFonts w:ascii="Arial" w:cs="Arial" w:eastAsia="Arial" w:hAnsi="Arial"/>
          <w:color w:val="1C1C1C"/>
          <w:sz w:val="20"/>
          <w:szCs w:val="20"/>
        </w:rPr>
        <w:t xml:space="preserve">p₀(2) = 0x01 ⊕ (0x02 ⊗ 0x03) = 0x01 ⊕ 0x06 = 0x07; p₁(2) = 0x02 ⊕ (0x02 ⊗ 0x04) = 0x02 ⊕ 0x08 = 0x0A. Correct: [0x07, 0x0A]. Paper claims [0x03, 0x08].</w:t>
      </w:r>
    </w:p>
    <w:p>
      <w:pPr>
        <w:spacing w:after="20"/>
      </w:pPr>
    </w:p>
    <w:p>
      <w:pPr>
        <w:spacing w:after="130" w:before="0"/>
      </w:pPr>
      <w:r>
        <w:rPr>
          <w:rFonts w:ascii="Arial" w:cs="Arial" w:eastAsia="Arial" w:hAnsi="Arial"/>
          <w:b/>
          <w:bCs/>
          <w:color w:val="1C1C1C"/>
          <w:sz w:val="20"/>
          <w:szCs w:val="20"/>
        </w:rPr>
        <w:t xml:space="preserve">Diagnosis: </w:t>
      </w:r>
      <w:r>
        <w:rPr>
          <w:rFonts w:ascii="Arial" w:cs="Arial" w:eastAsia="Arial" w:hAnsi="Arial"/>
          <w:color w:val="1C1C1C"/>
          <w:sz w:val="20"/>
          <w:szCs w:val="20"/>
        </w:rPr>
        <w:t xml:space="preserve">Shard 0 = raw data chunk c₀, the output of a systematic code — contradicting the “Non-systematic” specification. The parenthetical explanation for shard 1 applies GF multiplication incorrectly, conflating data bytes across chunks with Vandermonde row application.</w:t>
      </w:r>
    </w:p>
    <w:p>
      <w:pPr>
        <w:spacing w:after="130" w:before="0"/>
      </w:pPr>
      <w:r>
        <w:rPr>
          <w:rFonts w:ascii="Arial" w:cs="Arial" w:eastAsia="Arial" w:hAnsi="Arial"/>
          <w:b/>
          <w:bCs/>
          <w:color w:val="1C1C1C"/>
          <w:sz w:val="20"/>
          <w:szCs w:val="20"/>
        </w:rPr>
        <w:t xml:space="preserve">Impact: </w:t>
      </w:r>
      <w:r>
        <w:rPr>
          <w:rFonts w:ascii="Arial" w:cs="Arial" w:eastAsia="Arial" w:hAnsi="Arial"/>
          <w:color w:val="1C1C1C"/>
          <w:sz w:val="20"/>
          <w:szCs w:val="20"/>
        </w:rPr>
        <w:t xml:space="preserve">Any implementation validating against this vector will fail interoperability testing or silently implement the wrong encoding.</w:t>
      </w:r>
    </w:p>
    <w:p>
      <w:pPr>
        <w:spacing w:after="130" w:before="0"/>
      </w:pPr>
      <w:r>
        <w:rPr>
          <w:rFonts w:ascii="Arial" w:cs="Arial" w:eastAsia="Arial" w:hAnsi="Arial"/>
          <w:b/>
          <w:bCs/>
          <w:color w:val="922B21"/>
          <w:sz w:val="20"/>
          <w:szCs w:val="20"/>
        </w:rPr>
        <w:t xml:space="preserve">Required fix: </w:t>
      </w:r>
      <w:r>
        <w:rPr>
          <w:rFonts w:ascii="Arial" w:cs="Arial" w:eastAsia="Arial" w:hAnsi="Arial"/>
          <w:color w:val="1C1C1C"/>
          <w:sz w:val="20"/>
          <w:szCs w:val="20"/>
        </w:rPr>
        <w:t xml:space="preserve">Recompute all 4 shards via the specified Vandermonde matrix. List all shards plus expected Merkle root. Verify against independent GF(2⁸) implementation.</w:t>
      </w:r>
    </w:p>
    <w:p>
      <w:pPr>
        <w:pBdr>
          <w:bottom w:val="single" w:color="152238" w:sz="4" w:space="1"/>
        </w:pBdr>
        <w:spacing w:before="180" w:after="180"/>
      </w:pPr>
    </w:p>
    <w:p>
      <w:pPr>
        <w:pStyle w:val="Heading2"/>
      </w:pPr>
      <w:r>
        <w:t xml:space="preserve">1.2 Post-Quantum Collision Resistance (§3.3.1)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2"/>
              <w:left w:val="single" w:color="922B21" w:sz="7"/>
              <w:bottom w:val="single" w:color="922B21" w:sz="2"/>
              <w:right w:val="single" w:color="922B21" w:sz="2"/>
            </w:tcBorders>
            <w:shd w:fill="FDEDEC" w:val="clear"/>
            <w:tcMar>
              <w:top w:type="dxa" w:w="110"/>
              <w:left w:type="dxa" w:w="180"/>
              <w:bottom w:type="dxa" w:w="110"/>
              <w:right w:type="dxa" w:w="180"/>
            </w:tcMar>
          </w:tcPr>
          <w:p>
            <w:pPr>
              <w:spacing w:after="60"/>
            </w:pPr>
            <w:r>
              <w:rPr>
                <w:rFonts w:ascii="Arial" w:cs="Arial" w:eastAsia="Arial" w:hAnsi="Arial"/>
                <w:b/>
                <w:bCs/>
                <w:color w:val="922B21"/>
                <w:sz w:val="21"/>
                <w:szCs w:val="21"/>
              </w:rPr>
              <w:t xml:space="preserve">Severity: Critical</w:t>
            </w:r>
          </w:p>
          <w:p>
            <w:r>
              <w:rPr>
                <w:rFonts w:ascii="Arial" w:cs="Arial" w:eastAsia="Arial" w:hAnsi="Arial"/>
                <w:color w:val="1C1C1C"/>
                <w:sz w:val="19"/>
                <w:szCs w:val="19"/>
              </w:rPr>
              <w:t xml:space="preserve">BLAKE3-256 provides ~85-bit quantum collision resistance (BHT bound), not the claimed 128-bit. The paper cites only Grover’s algorithm while omitting the Brassard–Høyer–Tapp collision-finding algorithm.</w:t>
            </w:r>
          </w:p>
        </w:tc>
      </w:tr>
    </w:tbl>
    <w:p>
      <w:pPr>
        <w:spacing w:after="30"/>
      </w:pPr>
    </w:p>
    <w:p>
      <w:pPr>
        <w:spacing w:after="130" w:before="0"/>
      </w:pPr>
      <w:r>
        <w:rPr>
          <w:rFonts w:ascii="Arial" w:cs="Arial" w:eastAsia="Arial" w:hAnsi="Arial"/>
          <w:b w:val="false"/>
          <w:bCs w:val="false"/>
          <w:i w:val="false"/>
          <w:iCs w:val="false"/>
          <w:color w:val="1C1C1C"/>
          <w:sz w:val="20"/>
          <w:szCs w:val="20"/>
        </w:rPr>
        <w:t xml:space="preserve">The Brassard–Høyer–Tapp (BHT) quantum collision-finding algorithm (1998) achieves O(N^{1/3}) query complexity. For a 256-bit hash:</w:t>
      </w:r>
    </w:p>
    <w:p>
      <w:pPr>
        <w:spacing w:after="130" w:before="0"/>
        <w:ind w:left="360"/>
      </w:pPr>
      <w:r>
        <w:rPr>
          <w:rFonts w:ascii="Arial" w:cs="Arial" w:eastAsia="Arial" w:hAnsi="Arial"/>
          <w:b/>
          <w:bCs/>
          <w:i w:val="false"/>
          <w:iCs w:val="false"/>
          <w:color w:val="1C1C1C"/>
          <w:sz w:val="20"/>
          <w:szCs w:val="20"/>
        </w:rPr>
        <w:t xml:space="preserve">O((2²⁵⁶)^(1/3)) = O(2^{85.3})</w:t>
      </w:r>
    </w:p>
    <w:p>
      <w:pPr>
        <w:spacing w:after="130" w:before="0"/>
      </w:pPr>
      <w:r>
        <w:rPr>
          <w:rFonts w:ascii="Arial" w:cs="Arial" w:eastAsia="Arial" w:hAnsi="Arial"/>
          <w:b w:val="false"/>
          <w:bCs w:val="false"/>
          <w:i w:val="false"/>
          <w:iCs w:val="false"/>
          <w:color w:val="1C1C1C"/>
          <w:sz w:val="20"/>
          <w:szCs w:val="20"/>
        </w:rPr>
        <w:t xml:space="preserve">Aaronson and Shi (2004) proved the matching lower bound, confirming BHT is optimal. The paper’s claim that “Grover’s algorithm does not improve the birthday bound” is true only of Grover specifically — it ignores BHT, a different quantum algorithm solving a different problem (collision finding vs. preimage search).</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Property</w:t>
            </w:r>
          </w:p>
        </w:tc>
        <w:tc>
          <w:tcPr>
            <w:tcW w:type="dxa" w:w="288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Classical</w:t>
            </w:r>
          </w:p>
        </w:tc>
        <w:tc>
          <w:tcPr>
            <w:tcW w:type="dxa" w:w="288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Post-Quantum</w:t>
            </w:r>
          </w:p>
        </w:tc>
      </w:tr>
      <w:tr>
        <w:tc>
          <w:tcPr>
            <w:tcW w:type="dxa" w:w="36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Preimage resistance</w:t>
            </w:r>
          </w:p>
        </w:tc>
        <w:tc>
          <w:tcPr>
            <w:tcW w:type="dxa" w:w="288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256 bits</w:t>
            </w:r>
          </w:p>
        </w:tc>
        <w:tc>
          <w:tcPr>
            <w:tcW w:type="dxa" w:w="288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128 bits (Grover)</w:t>
            </w:r>
          </w:p>
        </w:tc>
      </w:tr>
      <w:tr>
        <w:tc>
          <w:tcPr>
            <w:tcW w:type="dxa" w:w="36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Collision resistance</w:t>
            </w:r>
          </w:p>
        </w:tc>
        <w:tc>
          <w:tcPr>
            <w:tcW w:type="dxa" w:w="288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128 bits (birthday)</w:t>
            </w:r>
          </w:p>
        </w:tc>
        <w:tc>
          <w:tcPr>
            <w:tcW w:type="dxa" w:w="288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bCs/>
                <w:i w:val="false"/>
                <w:iCs w:val="false"/>
                <w:color w:val="922B21"/>
                <w:sz w:val="18"/>
                <w:szCs w:val="18"/>
              </w:rPr>
              <w:t xml:space="preserve">~85 bits (BHT)</w:t>
            </w:r>
          </w:p>
        </w:tc>
      </w:tr>
    </w:tbl>
    <w:p>
      <w:pPr>
        <w:spacing w:after="20"/>
      </w:pPr>
    </w:p>
    <w:p>
      <w:pPr>
        <w:spacing w:after="130" w:before="0"/>
      </w:pPr>
      <w:r>
        <w:rPr>
          <w:rFonts w:ascii="Arial" w:cs="Arial" w:eastAsia="Arial" w:hAnsi="Arial"/>
          <w:b/>
          <w:bCs/>
          <w:color w:val="1C1C1C"/>
          <w:sz w:val="20"/>
          <w:szCs w:val="20"/>
        </w:rPr>
        <w:t xml:space="preserve">Propagation: </w:t>
      </w:r>
      <w:r>
        <w:rPr>
          <w:rFonts w:ascii="Arial" w:cs="Arial" w:eastAsia="Arial" w:hAnsi="Arial"/>
          <w:color w:val="1C1C1C"/>
          <w:sz w:val="20"/>
          <w:szCs w:val="20"/>
        </w:rPr>
        <w:t xml:space="preserve">Affects concrete security of Theorems 3 (IMM), 4 (SINT), and 8 (TIMM), all of which reduce to collision resistance. The ~85-bit level remains above practical attack thresholds, but the discrepancy is a factual error.</w:t>
      </w:r>
    </w:p>
    <w:p>
      <w:pPr>
        <w:spacing w:after="130" w:before="0"/>
      </w:pPr>
      <w:r>
        <w:rPr>
          <w:rFonts w:ascii="Arial" w:cs="Arial" w:eastAsia="Arial" w:hAnsi="Arial"/>
          <w:b/>
          <w:bCs/>
          <w:color w:val="922B21"/>
          <w:sz w:val="20"/>
          <w:szCs w:val="20"/>
        </w:rPr>
        <w:t xml:space="preserve">Required fix: </w:t>
      </w:r>
      <w:r>
        <w:rPr>
          <w:rFonts w:ascii="Arial" w:cs="Arial" w:eastAsia="Arial" w:hAnsi="Arial"/>
          <w:color w:val="1C1C1C"/>
          <w:sz w:val="20"/>
          <w:szCs w:val="20"/>
        </w:rPr>
        <w:t xml:space="preserve">Replace “128-bit PQ collision resistance” with “~85-bit (BHT bound)” throughout. Cite BHT (1998) and Aaronson–Shi (2004).</w:t>
      </w:r>
    </w:p>
    <w:p>
      <w:pPr>
        <w:pBdr>
          <w:bottom w:val="single" w:color="152238" w:sz="4" w:space="1"/>
        </w:pBdr>
        <w:spacing w:before="180" w:after="180"/>
      </w:pPr>
    </w:p>
    <w:p>
      <w:pPr>
        <w:pStyle w:val="Heading2"/>
      </w:pPr>
      <w:r>
        <w:t xml:space="preserve">1.3 Cost Model Omits Erasure Coding Expansion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2B21" w:sz="2"/>
              <w:left w:val="single" w:color="922B21" w:sz="7"/>
              <w:bottom w:val="single" w:color="922B21" w:sz="2"/>
              <w:right w:val="single" w:color="922B21" w:sz="2"/>
            </w:tcBorders>
            <w:shd w:fill="FDEDEC" w:val="clear"/>
            <w:tcMar>
              <w:top w:type="dxa" w:w="110"/>
              <w:left w:type="dxa" w:w="180"/>
              <w:bottom w:type="dxa" w:w="110"/>
              <w:right w:type="dxa" w:w="180"/>
            </w:tcMar>
          </w:tcPr>
          <w:p>
            <w:pPr>
              <w:spacing w:after="60"/>
            </w:pPr>
            <w:r>
              <w:rPr>
                <w:rFonts w:ascii="Arial" w:cs="Arial" w:eastAsia="Arial" w:hAnsi="Arial"/>
                <w:b/>
                <w:bCs/>
                <w:color w:val="922B21"/>
                <w:sz w:val="21"/>
                <w:szCs w:val="21"/>
              </w:rPr>
              <w:t xml:space="preserve">Severity: Critical</w:t>
            </w:r>
          </w:p>
          <w:p>
            <w:r>
              <w:rPr>
                <w:rFonts w:ascii="Arial" w:cs="Arial" w:eastAsia="Arial" w:hAnsi="Arial"/>
                <w:color w:val="1C1C1C"/>
                <w:sz w:val="19"/>
                <w:szCs w:val="19"/>
              </w:rPr>
              <w:t xml:space="preserve">Sender upload is understated by a factor of n/k. With the paper’s own defaults (n=64, k=32), actual commit cost is 2× the stated value.</w:t>
            </w:r>
          </w:p>
        </w:tc>
      </w:tr>
    </w:tbl>
    <w:p>
      <w:pPr>
        <w:spacing w:after="30"/>
      </w:pPr>
    </w:p>
    <w:p>
      <w:pPr>
        <w:spacing w:after="130" w:before="0"/>
      </w:pPr>
      <w:r>
        <w:rPr>
          <w:rFonts w:ascii="Arial" w:cs="Arial" w:eastAsia="Arial" w:hAnsi="Arial"/>
          <w:b w:val="false"/>
          <w:bCs w:val="false"/>
          <w:i w:val="false"/>
          <w:iCs w:val="false"/>
          <w:color w:val="1C1C1C"/>
          <w:sz w:val="20"/>
          <w:szCs w:val="20"/>
        </w:rPr>
        <w:t xml:space="preserve">RS (n, k) produces n shards of size D/k each. With replication factor r, correct sender upload:</w:t>
      </w:r>
    </w:p>
    <w:p>
      <w:pPr>
        <w:spacing w:after="130" w:before="0"/>
        <w:ind w:left="360"/>
      </w:pPr>
      <w:r>
        <w:rPr>
          <w:rFonts w:ascii="Arial" w:cs="Arial" w:eastAsia="Arial" w:hAnsi="Arial"/>
          <w:b/>
          <w:bCs/>
          <w:i w:val="false"/>
          <w:iCs w:val="false"/>
          <w:color w:val="1C1C1C"/>
          <w:sz w:val="20"/>
          <w:szCs w:val="20"/>
        </w:rPr>
        <w:t xml:space="preserve">B_sender = n · (D/k) · r = D · nr/k</w:t>
      </w:r>
    </w:p>
    <w:p>
      <w:pPr>
        <w:spacing w:after="130" w:before="0"/>
      </w:pPr>
      <w:r>
        <w:rPr>
          <w:rFonts w:ascii="Arial" w:cs="Arial" w:eastAsia="Arial" w:hAnsi="Arial"/>
          <w:b w:val="false"/>
          <w:bCs w:val="false"/>
          <w:i w:val="false"/>
          <w:iCs w:val="false"/>
          <w:color w:val="1C1C1C"/>
          <w:sz w:val="20"/>
          <w:szCs w:val="20"/>
        </w:rPr>
        <w:t xml:space="preserve">With n=64, k=32, r=3: B_sender = 6D. Paper claims D·r = 3D, off by factor n/k = 2.</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300"/>
        <w:gridCol w:w="2360"/>
      </w:tblGrid>
      <w:tr>
        <w:tc>
          <w:tcPr>
            <w:tcW w:type="dxa" w:w="26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Metric</w:t>
            </w:r>
          </w:p>
        </w:tc>
        <w:tc>
          <w:tcPr>
            <w:tcW w:type="dxa" w:w="21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Paper</w:t>
            </w:r>
          </w:p>
        </w:tc>
        <w:tc>
          <w:tcPr>
            <w:tcW w:type="dxa" w:w="23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Correct</w:t>
            </w:r>
          </w:p>
        </w:tc>
        <w:tc>
          <w:tcPr>
            <w:tcW w:type="dxa" w:w="236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Error</w:t>
            </w:r>
          </w:p>
        </w:tc>
      </w:tr>
      <w:tr>
        <w:tc>
          <w:tcPr>
            <w:tcW w:type="dxa" w:w="26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Sender upload</w:t>
            </w:r>
          </w:p>
        </w:tc>
        <w:tc>
          <w:tcPr>
            <w:tcW w:type="dxa" w:w="21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D · r</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bCs/>
                <w:i w:val="false"/>
                <w:iCs w:val="false"/>
                <w:color w:val="1C1C1C"/>
                <w:sz w:val="18"/>
                <w:szCs w:val="18"/>
              </w:rPr>
              <w:t xml:space="preserve">D · nr/k</w:t>
            </w:r>
          </w:p>
        </w:tc>
        <w:tc>
          <w:tcPr>
            <w:tcW w:type="dxa" w:w="236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bCs/>
                <w:i w:val="false"/>
                <w:iCs w:val="false"/>
                <w:color w:val="922B21"/>
                <w:sz w:val="18"/>
                <w:szCs w:val="18"/>
              </w:rPr>
              <w:t xml:space="preserve">n/k</w:t>
            </w:r>
          </w:p>
        </w:tc>
      </w:tr>
      <w:tr>
        <w:tc>
          <w:tcPr>
            <w:tcW w:type="dxa" w:w="26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Total, 1 receiver</w:t>
            </w:r>
          </w:p>
        </w:tc>
        <w:tc>
          <w:tcPr>
            <w:tcW w:type="dxa" w:w="21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D(r+1)</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bCs/>
                <w:i w:val="false"/>
                <w:iCs w:val="false"/>
                <w:color w:val="1C1C1C"/>
                <w:sz w:val="18"/>
                <w:szCs w:val="18"/>
              </w:rPr>
              <w:t xml:space="preserve">D(nr/k + 1)</w:t>
            </w:r>
          </w:p>
        </w:tc>
        <w:tc>
          <w:tcPr>
            <w:tcW w:type="dxa" w:w="236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 n/k</w:t>
            </w:r>
          </w:p>
        </w:tc>
      </w:tr>
      <w:tr>
        <w:tc>
          <w:tcPr>
            <w:tcW w:type="dxa" w:w="26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Total, N receivers</w:t>
            </w:r>
          </w:p>
        </w:tc>
        <w:tc>
          <w:tcPr>
            <w:tcW w:type="dxa" w:w="21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Dr + DN</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bCs/>
                <w:i w:val="false"/>
                <w:iCs w:val="false"/>
                <w:color w:val="1C1C1C"/>
                <w:sz w:val="18"/>
                <w:szCs w:val="18"/>
              </w:rPr>
              <w:t xml:space="preserve">Dnr/k + DN</w:t>
            </w:r>
          </w:p>
        </w:tc>
        <w:tc>
          <w:tcPr>
            <w:tcW w:type="dxa" w:w="236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variable</w:t>
            </w:r>
          </w:p>
        </w:tc>
      </w:tr>
      <w:tr>
        <w:tc>
          <w:tcPr>
            <w:tcW w:type="dxa" w:w="26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Break-even N</w:t>
            </w:r>
          </w:p>
        </w:tc>
        <w:tc>
          <w:tcPr>
            <w:tcW w:type="dxa" w:w="21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N &gt; r</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bCs/>
                <w:i w:val="false"/>
                <w:iCs w:val="false"/>
                <w:color w:val="1C1C1C"/>
                <w:sz w:val="18"/>
                <w:szCs w:val="18"/>
              </w:rPr>
              <w:t xml:space="preserve">N &gt; nr/k − 1</w:t>
            </w:r>
          </w:p>
        </w:tc>
        <w:tc>
          <w:tcPr>
            <w:tcW w:type="dxa" w:w="236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shifted</w:t>
            </w:r>
          </w:p>
        </w:tc>
      </w:tr>
    </w:tbl>
    <w:p>
      <w:pPr>
        <w:spacing w:after="20"/>
      </w:pPr>
    </w:p>
    <w:p>
      <w:pPr>
        <w:spacing w:after="130" w:before="0"/>
      </w:pPr>
      <w:r>
        <w:rPr>
          <w:rFonts w:ascii="Arial" w:cs="Arial" w:eastAsia="Arial" w:hAnsi="Arial"/>
          <w:b/>
          <w:bCs/>
          <w:color w:val="1C1C1C"/>
          <w:sz w:val="20"/>
          <w:szCs w:val="20"/>
        </w:rPr>
        <w:t xml:space="preserve">Impact on Appendix A: </w:t>
      </w:r>
      <w:r>
        <w:rPr>
          <w:rFonts w:ascii="Arial" w:cs="Arial" w:eastAsia="Arial" w:hAnsi="Arial"/>
          <w:color w:val="1C1C1C"/>
          <w:sz w:val="20"/>
          <w:szCs w:val="20"/>
        </w:rPr>
        <w:t xml:space="preserve">Mars Earth upload = 6 GB (not 3 GB), commit duration ≈ 13.4 hr (not 6.7 hr), break-even shifts from N &gt; 3 to N &gt; 5.</w:t>
      </w:r>
    </w:p>
    <w:p>
      <w:pPr>
        <w:spacing w:after="130" w:before="0"/>
      </w:pPr>
      <w:r>
        <w:rPr>
          <w:rFonts w:ascii="Arial" w:cs="Arial" w:eastAsia="Arial" w:hAnsi="Arial"/>
          <w:b/>
          <w:bCs/>
          <w:color w:val="922B21"/>
          <w:sz w:val="20"/>
          <w:szCs w:val="20"/>
        </w:rPr>
        <w:t xml:space="preserve">Required fix: </w:t>
      </w:r>
      <w:r>
        <w:rPr>
          <w:rFonts w:ascii="Arial" w:cs="Arial" w:eastAsia="Arial" w:hAnsi="Arial"/>
          <w:color w:val="1C1C1C"/>
          <w:sz w:val="20"/>
          <w:szCs w:val="20"/>
        </w:rPr>
        <w:t xml:space="preserve">Replace D·r with D·nr/k throughout §6.4 and Appendix A. Update all derived formulas.</w:t>
      </w:r>
    </w:p>
    <w:p>
      <w:pPr>
        <w:pBdr>
          <w:bottom w:val="single" w:color="152238" w:sz="4" w:space="1"/>
        </w:pBdr>
        <w:spacing w:before="180" w:after="180"/>
      </w:pPr>
    </w:p>
    <w:p>
      <w:pPr>
        <w:pStyle w:val="Heading1"/>
      </w:pPr>
      <w:r>
        <w:t xml:space="preserve">2. Significant Proof Defects (Sound Bounds, Wrong Reasoning)</w:t>
      </w:r>
    </w:p>
    <w:p>
      <w:pPr>
        <w:spacing w:after="130" w:before="0"/>
      </w:pPr>
      <w:r>
        <w:rPr>
          <w:rFonts w:ascii="Arial" w:cs="Arial" w:eastAsia="Arial" w:hAnsi="Arial"/>
          <w:b w:val="false"/>
          <w:bCs w:val="false"/>
          <w:i w:val="false"/>
          <w:iCs w:val="false"/>
          <w:color w:val="1C1C1C"/>
          <w:sz w:val="20"/>
          <w:szCs w:val="20"/>
        </w:rPr>
        <w:t xml:space="preserve">These findings identify theorems whose bound statements are technically valid, but whose proof arguments contain logical errors.</w:t>
      </w:r>
    </w:p>
    <w:p>
      <w:pPr>
        <w:pStyle w:val="Heading2"/>
      </w:pPr>
      <w:r>
        <w:t xml:space="preserve">2.1 Theorem 4 (SINT) — Union Bound Applied to a Conjunction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109" w:sz="2"/>
              <w:left w:val="single" w:color="7E5109" w:sz="7"/>
              <w:bottom w:val="single" w:color="7E5109" w:sz="2"/>
              <w:right w:val="single" w:color="7E5109" w:sz="2"/>
            </w:tcBorders>
            <w:shd w:fill="FEF9E7" w:val="clear"/>
            <w:tcMar>
              <w:top w:type="dxa" w:w="110"/>
              <w:left w:type="dxa" w:w="180"/>
              <w:bottom w:type="dxa" w:w="110"/>
              <w:right w:type="dxa" w:w="180"/>
            </w:tcMar>
          </w:tcPr>
          <w:p>
            <w:pPr>
              <w:spacing w:after="60"/>
            </w:pPr>
            <w:r>
              <w:rPr>
                <w:rFonts w:ascii="Arial" w:cs="Arial" w:eastAsia="Arial" w:hAnsi="Arial"/>
                <w:b/>
                <w:bCs/>
                <w:color w:val="7E5109"/>
                <w:sz w:val="21"/>
                <w:szCs w:val="21"/>
              </w:rPr>
              <w:t xml:space="preserve">Severity: Significant</w:t>
            </w:r>
          </w:p>
          <w:p>
            <w:r>
              <w:rPr>
                <w:rFonts w:ascii="Arial" w:cs="Arial" w:eastAsia="Arial" w:hAnsi="Arial"/>
                <w:color w:val="1C1C1C"/>
                <w:sz w:val="19"/>
                <w:szCs w:val="19"/>
              </w:rPr>
              <w:t xml:space="preserve">The proof applies “either…or” logic to a win condition requiring both hash collision AND AEAD tag verification. The bound is correct; the reasoning is inverted.</w:t>
            </w:r>
          </w:p>
        </w:tc>
      </w:tr>
    </w:tbl>
    <w:p>
      <w:pPr>
        <w:spacing w:after="20"/>
      </w:pPr>
    </w:p>
    <w:p>
      <w:pPr>
        <w:spacing w:after="130" w:before="0"/>
      </w:pPr>
      <w:r>
        <w:rPr>
          <w:rFonts w:ascii="Arial" w:cs="Arial" w:eastAsia="Arial" w:hAnsi="Arial"/>
          <w:b w:val="false"/>
          <w:bCs w:val="false"/>
          <w:i w:val="false"/>
          <w:iCs w:val="false"/>
          <w:color w:val="1C1C1C"/>
          <w:sz w:val="20"/>
          <w:szCs w:val="20"/>
        </w:rPr>
        <w:t xml:space="preserve">The SINT win condition requires simultaneous success: hash collides AND AEAD verifies. For independent events, Pr[A ∩ B] = Pr[A] · Pr[B] ≤ min(a, b), tighter than the stated sum. The sum bound is valid (min(a,b) ≤ a+b), so the theorem holds. The proof’s verbal logic is backwards.</w:t>
      </w:r>
    </w:p>
    <w:p>
      <w:pPr>
        <w:spacing w:after="130" w:before="0"/>
      </w:pPr>
      <w:r>
        <w:rPr>
          <w:rFonts w:ascii="Arial" w:cs="Arial" w:eastAsia="Arial" w:hAnsi="Arial"/>
          <w:b/>
          <w:bCs/>
          <w:color w:val="7E5109"/>
          <w:sz w:val="20"/>
          <w:szCs w:val="20"/>
        </w:rPr>
        <w:t xml:space="preserve">Fix: </w:t>
      </w:r>
      <w:r>
        <w:rPr>
          <w:rFonts w:ascii="Arial" w:cs="Arial" w:eastAsia="Arial" w:hAnsi="Arial"/>
          <w:color w:val="1C1C1C"/>
          <w:sz w:val="20"/>
          <w:szCs w:val="20"/>
        </w:rPr>
        <w:t xml:space="preserve">Rewrite proof to decompose adversary strategy via union bound over strategy choice, not over event conjunction.</w:t>
      </w:r>
    </w:p>
    <w:p>
      <w:pPr>
        <w:pStyle w:val="Heading2"/>
      </w:pPr>
      <w:r>
        <w:t xml:space="preserve">2.2 Theorem 5 (TCONF) — Unexplained Factor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109" w:sz="2"/>
              <w:left w:val="single" w:color="7E5109" w:sz="7"/>
              <w:bottom w:val="single" w:color="7E5109" w:sz="2"/>
              <w:right w:val="single" w:color="7E5109" w:sz="2"/>
            </w:tcBorders>
            <w:shd w:fill="FEF9E7" w:val="clear"/>
            <w:tcMar>
              <w:top w:type="dxa" w:w="110"/>
              <w:left w:type="dxa" w:w="180"/>
              <w:bottom w:type="dxa" w:w="110"/>
              <w:right w:type="dxa" w:w="180"/>
            </w:tcMar>
          </w:tcPr>
          <w:p>
            <w:pPr>
              <w:spacing w:after="60"/>
            </w:pPr>
            <w:r>
              <w:rPr>
                <w:rFonts w:ascii="Arial" w:cs="Arial" w:eastAsia="Arial" w:hAnsi="Arial"/>
                <w:b/>
                <w:bCs/>
                <w:color w:val="7E5109"/>
                <w:sz w:val="21"/>
                <w:szCs w:val="21"/>
              </w:rPr>
              <w:t xml:space="preserve">Severity: Significant</w:t>
            </w:r>
          </w:p>
          <w:p>
            <w:r>
              <w:rPr>
                <w:rFonts w:ascii="Arial" w:cs="Arial" w:eastAsia="Arial" w:hAnsi="Arial"/>
                <w:color w:val="1C1C1C"/>
                <w:sz w:val="19"/>
                <w:szCs w:val="19"/>
              </w:rPr>
              <w:t xml:space="preserve">The ML-KEM term carries a factor of 2 not justified by the game-hopping proof sketch.</w:t>
            </w:r>
          </w:p>
        </w:tc>
      </w:tr>
    </w:tbl>
    <w:p>
      <w:pPr>
        <w:spacing w:after="20"/>
      </w:pPr>
    </w:p>
    <w:p>
      <w:pPr>
        <w:spacing w:after="130" w:before="0"/>
      </w:pPr>
      <w:r>
        <w:rPr>
          <w:rFonts w:ascii="Arial" w:cs="Arial" w:eastAsia="Arial" w:hAnsi="Arial"/>
          <w:b w:val="false"/>
          <w:bCs w:val="false"/>
          <w:i w:val="false"/>
          <w:iCs w:val="false"/>
          <w:color w:val="1C1C1C"/>
          <w:sz w:val="20"/>
          <w:szCs w:val="20"/>
        </w:rPr>
        <w:t xml:space="preserve">The game-hopping argument yields |Pr[G₀] − 1/2| ≤ Adv(ML-KEM) + Adv(AEAD) by triangle inequality. Under Bellare–Rogaway conventions (advantage = 2|Pr − 1/2|), a factor of 2 would apply to both terms. The selective factor on only ML-KEM requires justification (guessing step, dual embedding) that is absent.</w:t>
      </w:r>
    </w:p>
    <w:p>
      <w:pPr>
        <w:spacing w:after="130" w:before="0"/>
      </w:pPr>
      <w:r>
        <w:rPr>
          <w:rFonts w:ascii="Arial" w:cs="Arial" w:eastAsia="Arial" w:hAnsi="Arial"/>
          <w:b/>
          <w:bCs/>
          <w:color w:val="7E5109"/>
          <w:sz w:val="20"/>
          <w:szCs w:val="20"/>
        </w:rPr>
        <w:t xml:space="preserve">Fix: </w:t>
      </w:r>
      <w:r>
        <w:rPr>
          <w:rFonts w:ascii="Arial" w:cs="Arial" w:eastAsia="Arial" w:hAnsi="Arial"/>
          <w:color w:val="1C1C1C"/>
          <w:sz w:val="20"/>
          <w:szCs w:val="20"/>
        </w:rPr>
        <w:t xml:space="preserve">Derive the factor from a specific reduction step, or remove it and state the tighter bound.</w:t>
      </w:r>
    </w:p>
    <w:p>
      <w:pPr>
        <w:pStyle w:val="Heading2"/>
      </w:pPr>
      <w:r>
        <w:t xml:space="preserve">2.3 Theorem 8 (TIMM) — Attack Graph Oversimplified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E5109" w:sz="2"/>
              <w:left w:val="single" w:color="7E5109" w:sz="7"/>
              <w:bottom w:val="single" w:color="7E5109" w:sz="2"/>
              <w:right w:val="single" w:color="7E5109" w:sz="2"/>
            </w:tcBorders>
            <w:shd w:fill="FEF9E7" w:val="clear"/>
            <w:tcMar>
              <w:top w:type="dxa" w:w="110"/>
              <w:left w:type="dxa" w:w="180"/>
              <w:bottom w:type="dxa" w:w="110"/>
              <w:right w:type="dxa" w:w="180"/>
            </w:tcMar>
          </w:tcPr>
          <w:p>
            <w:pPr>
              <w:spacing w:after="60"/>
            </w:pPr>
            <w:r>
              <w:rPr>
                <w:rFonts w:ascii="Arial" w:cs="Arial" w:eastAsia="Arial" w:hAnsi="Arial"/>
                <w:b/>
                <w:bCs/>
                <w:color w:val="7E5109"/>
                <w:sz w:val="21"/>
                <w:szCs w:val="21"/>
              </w:rPr>
              <w:t xml:space="preserve">Severity: Significant</w:t>
            </w:r>
          </w:p>
          <w:p>
            <w:r>
              <w:rPr>
                <w:rFonts w:ascii="Arial" w:cs="Arial" w:eastAsia="Arial" w:hAnsi="Arial"/>
                <w:color w:val="1C1C1C"/>
                <w:sz w:val="19"/>
                <w:szCs w:val="19"/>
              </w:rPr>
              <w:t xml:space="preserve">Viable attack paths require breaking multiple barriers simultaneously. “At least one” mischaracterizes the multi-barrier structure.</w:t>
            </w:r>
          </w:p>
        </w:tc>
      </w:tr>
    </w:tbl>
    <w:p>
      <w:pPr>
        <w:spacing w:after="20"/>
      </w:pPr>
    </w:p>
    <w:p>
      <w:pPr>
        <w:spacing w:after="130" w:before="0"/>
      </w:pPr>
      <w:r>
        <w:rPr>
          <w:rFonts w:ascii="Arial" w:cs="Arial" w:eastAsia="Arial" w:hAnsi="Arial"/>
          <w:b w:val="false"/>
          <w:bCs w:val="false"/>
          <w:i w:val="false"/>
          <w:iCs w:val="false"/>
          <w:color w:val="1C1C1C"/>
          <w:sz w:val="20"/>
          <w:szCs w:val="20"/>
        </w:rPr>
        <w:t xml:space="preserve">Each viable attack path requires two or more barrier failures:</w:t>
      </w:r>
    </w:p>
    <w:p>
      <w:pPr>
        <w:pStyle w:val="ListParagraph"/>
        <w:numPr>
          <w:ilvl w:val="0"/>
          <w:numId w:val="2"/>
        </w:numPr>
        <w:spacing w:after="70"/>
      </w:pPr>
      <w:r>
        <w:rPr>
          <w:rFonts w:ascii="Arial" w:cs="Arial" w:eastAsia="Arial" w:hAnsi="Arial"/>
          <w:color w:val="1C1C1C"/>
          <w:sz w:val="20"/>
          <w:szCs w:val="20"/>
        </w:rPr>
        <w:t xml:space="preserve">Path A: Break AEAD AUTH + break CR (hash collision for content substitution)</w:t>
      </w:r>
    </w:p>
    <w:p>
      <w:pPr>
        <w:pStyle w:val="ListParagraph"/>
        <w:numPr>
          <w:ilvl w:val="0"/>
          <w:numId w:val="2"/>
        </w:numPr>
        <w:spacing w:after="70"/>
      </w:pPr>
      <w:r>
        <w:rPr>
          <w:rFonts w:ascii="Arial" w:cs="Arial" w:eastAsia="Arial" w:hAnsi="Arial"/>
          <w:color w:val="1C1C1C"/>
          <w:sz w:val="20"/>
          <w:szCs w:val="20"/>
        </w:rPr>
        <w:t xml:space="preserve">Path B: Break EUF-CMA + break ML-KEM (forge record + redirect sealed key)</w:t>
      </w:r>
    </w:p>
    <w:p>
      <w:pPr>
        <w:pStyle w:val="ListParagraph"/>
        <w:numPr>
          <w:ilvl w:val="0"/>
          <w:numId w:val="2"/>
        </w:numPr>
        <w:spacing w:after="70"/>
      </w:pPr>
      <w:r>
        <w:rPr>
          <w:rFonts w:ascii="Arial" w:cs="Arial" w:eastAsia="Arial" w:hAnsi="Arial"/>
          <w:color w:val="1C1C1C"/>
          <w:sz w:val="20"/>
          <w:szCs w:val="20"/>
        </w:rPr>
        <w:t xml:space="preserve">Path C: Break ML-KEM + break CR (extract CEK + substitute entity)</w:t>
      </w:r>
    </w:p>
    <w:p>
      <w:pPr>
        <w:spacing w:after="130" w:before="0"/>
      </w:pPr>
      <w:r>
        <w:rPr>
          <w:rFonts w:ascii="Arial" w:cs="Arial" w:eastAsia="Arial" w:hAnsi="Arial"/>
          <w:b w:val="false"/>
          <w:bCs w:val="false"/>
          <w:i w:val="false"/>
          <w:iCs w:val="false"/>
          <w:color w:val="1C1C1C"/>
          <w:sz w:val="20"/>
          <w:szCs w:val="20"/>
        </w:rPr>
        <w:t xml:space="preserve">The union bound over four barriers is valid but “at least one” understates actual security.</w:t>
      </w:r>
    </w:p>
    <w:p>
      <w:pPr>
        <w:spacing w:after="130" w:before="0"/>
      </w:pPr>
      <w:r>
        <w:rPr>
          <w:rFonts w:ascii="Arial" w:cs="Arial" w:eastAsia="Arial" w:hAnsi="Arial"/>
          <w:b/>
          <w:bCs/>
          <w:color w:val="7E5109"/>
          <w:sz w:val="20"/>
          <w:szCs w:val="20"/>
        </w:rPr>
        <w:t xml:space="preserve">Fix: </w:t>
      </w:r>
      <w:r>
        <w:rPr>
          <w:rFonts w:ascii="Arial" w:cs="Arial" w:eastAsia="Arial" w:hAnsi="Arial"/>
          <w:color w:val="1C1C1C"/>
          <w:sz w:val="20"/>
          <w:szCs w:val="20"/>
        </w:rPr>
        <w:t xml:space="preserve">Describe the multi-barrier path structure. Motivate the sum bound via: each product is bounded by its largest factor.</w:t>
      </w:r>
    </w:p>
    <w:p>
      <w:pPr>
        <w:pBdr>
          <w:bottom w:val="single" w:color="152238" w:sz="4" w:space="1"/>
        </w:pBdr>
        <w:spacing w:before="180" w:after="180"/>
      </w:pPr>
    </w:p>
    <w:p>
      <w:pPr>
        <w:pStyle w:val="Heading1"/>
      </w:pPr>
      <w:r>
        <w:t xml:space="preserve">3. Moderate Issues (Imprecision, Not Errors)</w:t>
      </w:r>
    </w:p>
    <w:p>
      <w:pPr>
        <w:pStyle w:val="Heading2"/>
      </w:pPr>
      <w:r>
        <w:t xml:space="preserve">3.1 Theorem 7 (TSEC) — Compressed Proof</w:t>
      </w:r>
    </w:p>
    <w:p>
      <w:pPr>
        <w:spacing w:after="130" w:before="0"/>
      </w:pPr>
      <w:r>
        <w:rPr>
          <w:rFonts w:ascii="Arial" w:cs="Arial" w:eastAsia="Arial" w:hAnsi="Arial"/>
          <w:b w:val="false"/>
          <w:bCs w:val="false"/>
          <w:i w:val="false"/>
          <w:iCs w:val="false"/>
          <w:color w:val="1C1C1C"/>
          <w:sz w:val="20"/>
          <w:szCs w:val="20"/>
        </w:rPr>
        <w:t xml:space="preserve">The perfect secrecy claim Adv = 0 for t &lt; k is correct (MDS property). The proof omits the counting step: exactly 256^{k−t} polynomials are consistent with t &lt; k evaluations, independent of message. This count establishes the uniform conditional distribution required for Shannon perfect secrecy.</w:t>
      </w:r>
    </w:p>
    <w:p>
      <w:pPr>
        <w:pStyle w:val="Heading2"/>
      </w:pPr>
      <w:r>
        <w:t xml:space="preserve">3.2 Nonce Derivation — “Never Collide” Overstated (§2.1.1)</w:t>
      </w:r>
    </w:p>
    <w:p>
      <w:pPr>
        <w:spacing w:after="130" w:before="0"/>
      </w:pPr>
      <w:r>
        <w:rPr>
          <w:rFonts w:ascii="Arial" w:cs="Arial" w:eastAsia="Arial" w:hAnsi="Arial"/>
          <w:b w:val="false"/>
          <w:bCs w:val="false"/>
          <w:i w:val="false"/>
          <w:iCs w:val="false"/>
          <w:color w:val="1C1C1C"/>
          <w:sz w:val="20"/>
          <w:szCs w:val="20"/>
        </w:rPr>
        <w:t xml:space="preserve">Nonces are 256-bit hash outputs truncated to 96 bits. Collision probability: q²/2⁹⁷, where q = number of (entity, shard_index) pairs under same CEK. Negligible but non-zero. Replace “never” with “with negligible probability bounded by q²/2⁹⁷.”</w:t>
      </w:r>
    </w:p>
    <w:p>
      <w:pPr>
        <w:pStyle w:val="Heading2"/>
      </w:pPr>
      <w:r>
        <w:t xml:space="preserve">3.3 ZK Hiding Cites Wrong Property (§3.2.3)</w:t>
      </w:r>
    </w:p>
    <w:p>
      <w:pPr>
        <w:spacing w:after="130" w:before="0"/>
      </w:pPr>
      <w:r>
        <w:rPr>
          <w:rFonts w:ascii="Arial" w:cs="Arial" w:eastAsia="Arial" w:hAnsi="Arial"/>
          <w:b w:val="false"/>
          <w:bCs w:val="false"/>
          <w:i w:val="false"/>
          <w:iCs w:val="false"/>
          <w:color w:val="1C1C1C"/>
          <w:sz w:val="20"/>
          <w:szCs w:val="20"/>
        </w:rPr>
        <w:t xml:space="preserve">The paper invokes “preimage resistance of Poseidon” to justify hiding. The correct property is the hiding property of C(x; r) = Poseidon(x ‖ r). Hiding is strictly stronger than preimage resistance — hiding implies preimage resistance but not vice versa.</w:t>
      </w:r>
    </w:p>
    <w:p>
      <w:pPr>
        <w:pStyle w:val="Heading2"/>
      </w:pPr>
      <w:r>
        <w:t xml:space="preserve">3.4 Latency Formula Asymmetry (§6.4)</w:t>
      </w:r>
    </w:p>
    <w:p>
      <w:pPr>
        <w:spacing w:after="130" w:before="0"/>
      </w:pPr>
      <w:r>
        <w:rPr>
          <w:rFonts w:ascii="Arial" w:cs="Arial" w:eastAsia="Arial" w:hAnsi="Arial"/>
          <w:b w:val="false"/>
          <w:bCs w:val="false"/>
          <w:i w:val="false"/>
          <w:iCs w:val="false"/>
          <w:color w:val="1C1C1C"/>
          <w:sz w:val="20"/>
          <w:szCs w:val="20"/>
        </w:rPr>
        <w:t xml:space="preserve">T_direct includes latency L_SR; T_LTP omits the analogous L_RN and commitment record lookup L_log. The omission biases the formal comparison. In practice L_RN ≪ L_SR, so the qualitative conclusion holds, but the formal model should be symmetric.</w:t>
      </w:r>
    </w:p>
    <w:p>
      <w:pPr>
        <w:pStyle w:val="Heading2"/>
      </w:pPr>
      <w:r>
        <w:t xml:space="preserve">3.5 Cross-Domain Independence Uncaveated (§5.4.1.1)</w:t>
      </w:r>
    </w:p>
    <w:p>
      <w:pPr>
        <w:spacing w:after="130" w:before="0"/>
      </w:pPr>
      <w:r>
        <w:rPr>
          <w:rFonts w:ascii="Arial" w:cs="Arial" w:eastAsia="Arial" w:hAnsi="Arial"/>
          <w:b w:val="false"/>
          <w:bCs w:val="false"/>
          <w:i w:val="false"/>
          <w:iCs w:val="false"/>
          <w:color w:val="1C1C1C"/>
          <w:sz w:val="20"/>
          <w:szCs w:val="20"/>
        </w:rPr>
        <w:t xml:space="preserve">The “correlated” failure model addresses only intra-domain correlation. Cross-domain independence is still assumed, leaving global outages and common-mode failures unmodeled. Add an explicit caveat.</w:t>
      </w:r>
    </w:p>
    <w:p>
      <w:pPr>
        <w:pBdr>
          <w:bottom w:val="single" w:color="152238" w:sz="4" w:space="1"/>
        </w:pBdr>
        <w:spacing w:before="180" w:after="180"/>
      </w:pPr>
    </w:p>
    <w:p>
      <w:pPr>
        <w:pStyle w:val="Heading1"/>
      </w:pPr>
      <w:r>
        <w:t xml:space="preserve">4. What Passes Rigor Cleanly</w:t>
      </w:r>
    </w:p>
    <w:p>
      <w:pPr>
        <w:pStyle w:val="ListParagraph"/>
        <w:numPr>
          <w:ilvl w:val="0"/>
          <w:numId w:val="2"/>
        </w:numPr>
        <w:spacing w:after="70"/>
      </w:pPr>
      <w:r>
        <w:rPr>
          <w:rFonts w:ascii="Arial" w:cs="Arial" w:eastAsia="Arial" w:hAnsi="Arial"/>
          <w:color w:val="1C1C1C"/>
          <w:sz w:val="20"/>
          <w:szCs w:val="20"/>
        </w:rPr>
        <w:t xml:space="preserve">Theorem 3 (IMM, §3.3.1): Reduction from IMM to collision resistance is correct and tight.</w:t>
      </w:r>
    </w:p>
    <w:p>
      <w:pPr>
        <w:pStyle w:val="ListParagraph"/>
        <w:numPr>
          <w:ilvl w:val="0"/>
          <w:numId w:val="2"/>
        </w:numPr>
        <w:spacing w:after="70"/>
      </w:pPr>
      <w:r>
        <w:rPr>
          <w:rFonts w:ascii="Arial" w:cs="Arial" w:eastAsia="Arial" w:hAnsi="Arial"/>
          <w:color w:val="1C1C1C"/>
          <w:sz w:val="20"/>
          <w:szCs w:val="20"/>
        </w:rPr>
        <w:t xml:space="preserve">Theorem 6 (NREP, §3.3.4): Direct reduction to EUF-CMA is textbook-correct with no loss.</w:t>
      </w:r>
    </w:p>
    <w:p>
      <w:pPr>
        <w:pStyle w:val="ListParagraph"/>
        <w:numPr>
          <w:ilvl w:val="0"/>
          <w:numId w:val="2"/>
        </w:numPr>
        <w:spacing w:after="70"/>
      </w:pPr>
      <w:r>
        <w:rPr>
          <w:rFonts w:ascii="Arial" w:cs="Arial" w:eastAsia="Arial" w:hAnsi="Arial"/>
          <w:color w:val="1C1C1C"/>
          <w:sz w:val="20"/>
          <w:szCs w:val="20"/>
        </w:rPr>
        <w:t xml:space="preserve">Theorem 7 (TSEC, §3.3.5): Perfect secrecy claim is correct. Well-established MDS property.</w:t>
      </w:r>
    </w:p>
    <w:p>
      <w:pPr>
        <w:pStyle w:val="ListParagraph"/>
        <w:numPr>
          <w:ilvl w:val="0"/>
          <w:numId w:val="2"/>
        </w:numPr>
        <w:spacing w:after="70"/>
      </w:pPr>
      <w:r>
        <w:rPr>
          <w:rFonts w:ascii="Arial" w:cs="Arial" w:eastAsia="Arial" w:hAnsi="Arial"/>
          <w:color w:val="1C1C1C"/>
          <w:sz w:val="20"/>
          <w:szCs w:val="20"/>
        </w:rPr>
        <w:t xml:space="preserve">TCONF Fingerprinting (§3.3.3): Adv = 1 for chosen-plaintext adversaries against content-addressed logs is exactly right.</w:t>
      </w:r>
    </w:p>
    <w:p>
      <w:pPr>
        <w:pStyle w:val="ListParagraph"/>
        <w:numPr>
          <w:ilvl w:val="0"/>
          <w:numId w:val="2"/>
        </w:numPr>
        <w:spacing w:after="70"/>
      </w:pPr>
      <w:r>
        <w:rPr>
          <w:rFonts w:ascii="Arial" w:cs="Arial" w:eastAsia="Arial" w:hAnsi="Arial"/>
          <w:color w:val="1C1C1C"/>
          <w:sz w:val="20"/>
          <w:szCs w:val="20"/>
        </w:rPr>
        <w:t xml:space="preserve">ZK Mode Binding (§3.2.3): Groth16 soundness + Poseidon collision resistance prevents double-opening blind_id.</w:t>
      </w:r>
    </w:p>
    <w:p>
      <w:pPr>
        <w:pStyle w:val="ListParagraph"/>
        <w:numPr>
          <w:ilvl w:val="0"/>
          <w:numId w:val="2"/>
        </w:numPr>
        <w:spacing w:after="70"/>
      </w:pPr>
      <w:r>
        <w:rPr>
          <w:rFonts w:ascii="Arial" w:cs="Arial" w:eastAsia="Arial" w:hAnsi="Arial"/>
          <w:color w:val="1C1C1C"/>
          <w:sz w:val="20"/>
          <w:szCs w:val="20"/>
        </w:rPr>
        <w:t xml:space="preserve">Availability Model (§5.4.1): Binomial computations and worked examples are numerically correct.</w:t>
      </w:r>
    </w:p>
    <w:p>
      <w:pPr>
        <w:pStyle w:val="ListParagraph"/>
        <w:numPr>
          <w:ilvl w:val="0"/>
          <w:numId w:val="2"/>
        </w:numPr>
        <w:spacing w:after="70"/>
      </w:pPr>
      <w:r>
        <w:rPr>
          <w:rFonts w:ascii="Arial" w:cs="Arial" w:eastAsia="Arial" w:hAnsi="Arial"/>
          <w:color w:val="1C1C1C"/>
          <w:sz w:val="20"/>
          <w:szCs w:val="20"/>
        </w:rPr>
        <w:t xml:space="preserve">RS Specification (§2.1.1): GF(2⁸) parameters, Vandermonde construction, and MDS property are correct. Error is in the test vector only.</w:t>
      </w:r>
    </w:p>
    <w:p>
      <w:pPr>
        <w:pBdr>
          <w:bottom w:val="single" w:color="152238" w:sz="4" w:space="1"/>
        </w:pBdr>
        <w:spacing w:before="180" w:after="180"/>
      </w:pPr>
    </w:p>
    <w:p>
      <w:pPr>
        <w:pStyle w:val="Heading1"/>
      </w:pPr>
      <w:r>
        <w:t xml:space="preserve">5. Summary of Required Actions</w:t>
      </w:r>
    </w:p>
    <w:p>
      <w:pPr>
        <w:pStyle w:val="Heading2"/>
      </w:pPr>
      <w:r>
        <w:t xml:space="preserve">Must Fix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900"/>
        <w:gridCol w:w="5660"/>
      </w:tblGrid>
      <w:tr>
        <w:tc>
          <w:tcPr>
            <w:tcW w:type="dxa" w:w="5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w:t>
            </w:r>
          </w:p>
        </w:tc>
        <w:tc>
          <w:tcPr>
            <w:tcW w:type="dxa" w:w="23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Finding</w:t>
            </w:r>
          </w:p>
        </w:tc>
        <w:tc>
          <w:tcPr>
            <w:tcW w:type="dxa" w:w="9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Section</w:t>
            </w:r>
          </w:p>
        </w:tc>
        <w:tc>
          <w:tcPr>
            <w:tcW w:type="dxa" w:w="566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Action</w:t>
            </w:r>
          </w:p>
        </w:tc>
      </w:tr>
      <w:tr>
        <w:tc>
          <w:tcPr>
            <w:tcW w:type="dxa" w:w="5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1</w:t>
            </w:r>
          </w:p>
        </w:tc>
        <w:tc>
          <w:tcPr>
            <w:tcW w:type="dxa" w:w="23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Test vector wrong</w:t>
            </w:r>
          </w:p>
        </w:tc>
        <w:tc>
          <w:tcPr>
            <w:tcW w:type="dxa" w:w="9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§2.1.1</w:t>
            </w:r>
          </w:p>
        </w:tc>
        <w:tc>
          <w:tcPr>
            <w:tcW w:type="dxa" w:w="566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Recompute all 4 shards; list all shards + Merkle root; verify with independent GF(2⁸) lib</w:t>
            </w:r>
          </w:p>
        </w:tc>
      </w:tr>
      <w:tr>
        <w:tc>
          <w:tcPr>
            <w:tcW w:type="dxa" w:w="5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2</w:t>
            </w:r>
          </w:p>
        </w:tc>
        <w:tc>
          <w:tcPr>
            <w:tcW w:type="dxa" w:w="23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PQ collision overstated</w:t>
            </w:r>
          </w:p>
        </w:tc>
        <w:tc>
          <w:tcPr>
            <w:tcW w:type="dxa" w:w="9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§3.3.1</w:t>
            </w:r>
          </w:p>
        </w:tc>
        <w:tc>
          <w:tcPr>
            <w:tcW w:type="dxa" w:w="566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Replace “128-bit PQ” with “~85-bit (BHT)”; cite BHT (1998), Aaronson–Shi (2004)</w:t>
            </w:r>
          </w:p>
        </w:tc>
      </w:tr>
      <w:tr>
        <w:tc>
          <w:tcPr>
            <w:tcW w:type="dxa" w:w="5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w:t>
            </w:r>
          </w:p>
        </w:tc>
        <w:tc>
          <w:tcPr>
            <w:tcW w:type="dxa" w:w="23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Cost model missing n/k</w:t>
            </w:r>
          </w:p>
        </w:tc>
        <w:tc>
          <w:tcPr>
            <w:tcW w:type="dxa" w:w="90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§6.4, App A</w:t>
            </w:r>
          </w:p>
        </w:tc>
        <w:tc>
          <w:tcPr>
            <w:tcW w:type="dxa" w:w="5660"/>
            <w:tcBorders>
              <w:top w:val="single" w:color="C0C0C0" w:sz="1"/>
              <w:left w:val="single" w:color="C0C0C0" w:sz="1"/>
              <w:bottom w:val="single" w:color="C0C0C0" w:sz="1"/>
              <w:right w:val="single" w:color="C0C0C0" w:sz="1"/>
            </w:tcBorders>
            <w:shd w:fill="FDEDEC"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Replace D·r with D·nr/k; update all derived formulas and examples</w:t>
            </w:r>
          </w:p>
        </w:tc>
      </w:tr>
    </w:tbl>
    <w:p>
      <w:pPr>
        <w:spacing w:after="60"/>
      </w:pPr>
    </w:p>
    <w:p>
      <w:pPr>
        <w:pStyle w:val="Heading2"/>
      </w:pPr>
      <w:r>
        <w:t xml:space="preserve">Should Fix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900"/>
        <w:gridCol w:w="5660"/>
      </w:tblGrid>
      <w:tr>
        <w:tc>
          <w:tcPr>
            <w:tcW w:type="dxa" w:w="5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w:t>
            </w:r>
          </w:p>
        </w:tc>
        <w:tc>
          <w:tcPr>
            <w:tcW w:type="dxa" w:w="23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Finding</w:t>
            </w:r>
          </w:p>
        </w:tc>
        <w:tc>
          <w:tcPr>
            <w:tcW w:type="dxa" w:w="9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Section</w:t>
            </w:r>
          </w:p>
        </w:tc>
        <w:tc>
          <w:tcPr>
            <w:tcW w:type="dxa" w:w="566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Action</w:t>
            </w:r>
          </w:p>
        </w:tc>
      </w:tr>
      <w:tr>
        <w:tc>
          <w:tcPr>
            <w:tcW w:type="dxa" w:w="5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4</w:t>
            </w:r>
          </w:p>
        </w:tc>
        <w:tc>
          <w:tcPr>
            <w:tcW w:type="dxa" w:w="23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SINT proof logic inverted</w:t>
            </w:r>
          </w:p>
        </w:tc>
        <w:tc>
          <w:tcPr>
            <w:tcW w:type="dxa" w:w="9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§3.3.2</w:t>
            </w:r>
          </w:p>
        </w:tc>
        <w:tc>
          <w:tcPr>
            <w:tcW w:type="dxa" w:w="566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Rewrite proof to decompose adversary strategy correctly</w:t>
            </w:r>
          </w:p>
        </w:tc>
      </w:tr>
      <w:tr>
        <w:tc>
          <w:tcPr>
            <w:tcW w:type="dxa" w:w="5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5</w:t>
            </w:r>
          </w:p>
        </w:tc>
        <w:tc>
          <w:tcPr>
            <w:tcW w:type="dxa" w:w="23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TCONF factor of 2</w:t>
            </w:r>
          </w:p>
        </w:tc>
        <w:tc>
          <w:tcPr>
            <w:tcW w:type="dxa" w:w="9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§3.3.3</w:t>
            </w:r>
          </w:p>
        </w:tc>
        <w:tc>
          <w:tcPr>
            <w:tcW w:type="dxa" w:w="566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Derive the factor from a reduction step or remove it</w:t>
            </w:r>
          </w:p>
        </w:tc>
      </w:tr>
      <w:tr>
        <w:tc>
          <w:tcPr>
            <w:tcW w:type="dxa" w:w="5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6</w:t>
            </w:r>
          </w:p>
        </w:tc>
        <w:tc>
          <w:tcPr>
            <w:tcW w:type="dxa" w:w="23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TIMM barrier description</w:t>
            </w:r>
          </w:p>
        </w:tc>
        <w:tc>
          <w:tcPr>
            <w:tcW w:type="dxa" w:w="90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§3.3.6</w:t>
            </w:r>
          </w:p>
        </w:tc>
        <w:tc>
          <w:tcPr>
            <w:tcW w:type="dxa" w:w="5660"/>
            <w:tcBorders>
              <w:top w:val="single" w:color="C0C0C0" w:sz="1"/>
              <w:left w:val="single" w:color="C0C0C0" w:sz="1"/>
              <w:bottom w:val="single" w:color="C0C0C0" w:sz="1"/>
              <w:right w:val="single" w:color="C0C0C0" w:sz="1"/>
            </w:tcBorders>
            <w:shd w:fill="FEF9E7" w:val="clear"/>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Describe multi-barrier attack path structure accurately</w:t>
            </w:r>
          </w:p>
        </w:tc>
      </w:tr>
    </w:tbl>
    <w:p>
      <w:pPr>
        <w:spacing w:after="60"/>
      </w:pPr>
    </w:p>
    <w:p>
      <w:pPr>
        <w:pStyle w:val="Heading2"/>
      </w:pPr>
      <w:r>
        <w:t xml:space="preserve">Recommended (Moderate)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900"/>
        <w:gridCol w:w="5660"/>
      </w:tblGrid>
      <w:tr>
        <w:tc>
          <w:tcPr>
            <w:tcW w:type="dxa" w:w="5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w:t>
            </w:r>
          </w:p>
        </w:tc>
        <w:tc>
          <w:tcPr>
            <w:tcW w:type="dxa" w:w="23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Finding</w:t>
            </w:r>
          </w:p>
        </w:tc>
        <w:tc>
          <w:tcPr>
            <w:tcW w:type="dxa" w:w="90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Section</w:t>
            </w:r>
          </w:p>
        </w:tc>
        <w:tc>
          <w:tcPr>
            <w:tcW w:type="dxa" w:w="5660"/>
            <w:tcBorders>
              <w:top w:val="single" w:color="C0C0C0" w:sz="1"/>
              <w:left w:val="single" w:color="C0C0C0" w:sz="1"/>
              <w:bottom w:val="single" w:color="C0C0C0" w:sz="1"/>
              <w:right w:val="single" w:color="C0C0C0" w:sz="1"/>
            </w:tcBorders>
            <w:shd w:fill="152238" w:val="clear"/>
            <w:tcMar>
              <w:top w:type="dxa" w:w="55"/>
              <w:left w:type="dxa" w:w="100"/>
              <w:bottom w:type="dxa" w:w="55"/>
              <w:right w:type="dxa" w:w="100"/>
            </w:tcMar>
          </w:tcPr>
          <w:p>
            <w:r>
              <w:rPr>
                <w:rFonts w:ascii="Arial" w:cs="Arial" w:eastAsia="Arial" w:hAnsi="Arial"/>
                <w:b/>
                <w:bCs/>
                <w:color w:val="FFFFFF"/>
                <w:sz w:val="18"/>
                <w:szCs w:val="18"/>
              </w:rPr>
              <w:t xml:space="preserve">Action</w:t>
            </w:r>
          </w:p>
        </w:tc>
      </w:tr>
      <w:tr>
        <w:tc>
          <w:tcPr>
            <w:tcW w:type="dxa" w:w="5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7</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TSEC proof compressed</w:t>
            </w:r>
          </w:p>
        </w:tc>
        <w:tc>
          <w:tcPr>
            <w:tcW w:type="dxa" w:w="9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§3.3.5</w:t>
            </w:r>
          </w:p>
        </w:tc>
        <w:tc>
          <w:tcPr>
            <w:tcW w:type="dxa" w:w="566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Add polynomial-counting argument</w:t>
            </w:r>
          </w:p>
        </w:tc>
      </w:tr>
      <w:tr>
        <w:tc>
          <w:tcPr>
            <w:tcW w:type="dxa" w:w="5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8</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“Never collide” overstated</w:t>
            </w:r>
          </w:p>
        </w:tc>
        <w:tc>
          <w:tcPr>
            <w:tcW w:type="dxa" w:w="9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§2.1.1</w:t>
            </w:r>
          </w:p>
        </w:tc>
        <w:tc>
          <w:tcPr>
            <w:tcW w:type="dxa" w:w="566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Replace with negligible probability bound q²/2⁹⁷</w:t>
            </w:r>
          </w:p>
        </w:tc>
      </w:tr>
      <w:tr>
        <w:tc>
          <w:tcPr>
            <w:tcW w:type="dxa" w:w="5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9</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ZK hiding: wrong property</w:t>
            </w:r>
          </w:p>
        </w:tc>
        <w:tc>
          <w:tcPr>
            <w:tcW w:type="dxa" w:w="9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§3.2.3</w:t>
            </w:r>
          </w:p>
        </w:tc>
        <w:tc>
          <w:tcPr>
            <w:tcW w:type="dxa" w:w="566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Replace “preimage resistance” with “hiding property”</w:t>
            </w:r>
          </w:p>
        </w:tc>
      </w:tr>
      <w:tr>
        <w:tc>
          <w:tcPr>
            <w:tcW w:type="dxa" w:w="5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10</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Latency formula asymmetric</w:t>
            </w:r>
          </w:p>
        </w:tc>
        <w:tc>
          <w:tcPr>
            <w:tcW w:type="dxa" w:w="9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§6.4</w:t>
            </w:r>
          </w:p>
        </w:tc>
        <w:tc>
          <w:tcPr>
            <w:tcW w:type="dxa" w:w="566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Add L_RN and L_log terms to T_LTP</w:t>
            </w:r>
          </w:p>
        </w:tc>
      </w:tr>
      <w:tr>
        <w:tc>
          <w:tcPr>
            <w:tcW w:type="dxa" w:w="5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11</w:t>
            </w:r>
          </w:p>
        </w:tc>
        <w:tc>
          <w:tcPr>
            <w:tcW w:type="dxa" w:w="230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Cross-domain independence</w:t>
            </w:r>
          </w:p>
        </w:tc>
        <w:tc>
          <w:tcPr>
            <w:tcW w:type="dxa" w:w="900"/>
            <w:tcBorders>
              <w:top w:val="single" w:color="C0C0C0" w:sz="1"/>
              <w:left w:val="single" w:color="C0C0C0" w:sz="1"/>
              <w:bottom w:val="single" w:color="C0C0C0" w:sz="1"/>
              <w:right w:val="single" w:color="C0C0C0" w:sz="1"/>
            </w:tcBorders>
            <w:tcMar>
              <w:top w:type="dxa" w:w="55"/>
              <w:left w:type="dxa" w:w="100"/>
              <w:bottom w:type="dxa" w:w="55"/>
              <w:right w:type="dxa" w:w="100"/>
            </w:tcMar>
          </w:tcPr>
          <w:p>
            <w:pPr>
              <w:jc w:val="center"/>
            </w:pPr>
            <w:r>
              <w:rPr>
                <w:rFonts w:ascii="Arial" w:cs="Arial" w:eastAsia="Arial" w:hAnsi="Arial"/>
                <w:b w:val="false"/>
                <w:bCs w:val="false"/>
                <w:i w:val="false"/>
                <w:iCs w:val="false"/>
                <w:color w:val="1C1C1C"/>
                <w:sz w:val="18"/>
                <w:szCs w:val="18"/>
              </w:rPr>
              <w:t xml:space="preserve">§5.4.1.1</w:t>
            </w:r>
          </w:p>
        </w:tc>
        <w:tc>
          <w:tcPr>
            <w:tcW w:type="dxa" w:w="5660"/>
            <w:tcBorders>
              <w:top w:val="single" w:color="C0C0C0" w:sz="1"/>
              <w:left w:val="single" w:color="C0C0C0" w:sz="1"/>
              <w:bottom w:val="single" w:color="C0C0C0" w:sz="1"/>
              <w:right w:val="single" w:color="C0C0C0" w:sz="1"/>
            </w:tcBorders>
            <w:tcMar>
              <w:top w:type="dxa" w:w="55"/>
              <w:left w:type="dxa" w:w="100"/>
              <w:bottom w:type="dxa" w:w="55"/>
              <w:right w:type="dxa" w:w="100"/>
            </w:tcMar>
          </w:tcPr>
          <w:p>
            <w:r>
              <w:rPr>
                <w:rFonts w:ascii="Arial" w:cs="Arial" w:eastAsia="Arial" w:hAnsi="Arial"/>
                <w:b w:val="false"/>
                <w:bCs w:val="false"/>
                <w:i w:val="false"/>
                <w:iCs w:val="false"/>
                <w:color w:val="1C1C1C"/>
                <w:sz w:val="18"/>
                <w:szCs w:val="18"/>
              </w:rPr>
              <w:t xml:space="preserve">Add explicit caveat about remaining independence assumption</w:t>
            </w:r>
          </w:p>
        </w:tc>
      </w:tr>
    </w:tbl>
    <w:p>
      <w:pPr>
        <w:pBdr>
          <w:bottom w:val="single" w:color="152238" w:sz="4" w:space="1"/>
        </w:pBdr>
        <w:spacing w:before="180" w:after="180"/>
      </w:pPr>
    </w:p>
    <w:p>
      <w:pPr>
        <w:pStyle w:val="Heading1"/>
      </w:pPr>
      <w:r>
        <w:t xml:space="preserve">6. Overall Assessment</w:t>
      </w:r>
    </w:p>
    <w:p>
      <w:pPr>
        <w:spacing w:after="130" w:before="0"/>
      </w:pPr>
      <w:r>
        <w:rPr>
          <w:rFonts w:ascii="Arial" w:cs="Arial" w:eastAsia="Arial" w:hAnsi="Arial"/>
          <w:b w:val="false"/>
          <w:bCs w:val="false"/>
          <w:i w:val="false"/>
          <w:iCs w:val="false"/>
          <w:color w:val="1C1C1C"/>
          <w:sz w:val="20"/>
          <w:szCs w:val="20"/>
        </w:rPr>
        <w:t xml:space="preserve">The proof architecture of this paper is sound. The choice to define security properties as cryptographic games, reduce each to standard assumptions (CR, EUF-CMA, IND-CCA, IND-CPA, AEAD AUTH), and compose them into a composite Transfer Immutability theorem follows established provable-security methodology and is executed with competence. The honest enumeration of what cannot be formally proven (§3.3.7) reflects genuine mathematical maturity.</w:t>
      </w:r>
    </w:p>
    <w:p>
      <w:pPr>
        <w:spacing w:after="130" w:before="0"/>
      </w:pPr>
      <w:r>
        <w:rPr>
          <w:rFonts w:ascii="Arial" w:cs="Arial" w:eastAsia="Arial" w:hAnsi="Arial"/>
          <w:b w:val="false"/>
          <w:bCs w:val="false"/>
          <w:i w:val="false"/>
          <w:iCs w:val="false"/>
          <w:color w:val="1C1C1C"/>
          <w:sz w:val="20"/>
          <w:szCs w:val="20"/>
        </w:rPr>
        <w:t xml:space="preserve">The failures are concentrated in the concrete layer — the specific numbers, test vectors, and formulas that translate the abstract security framework into implementable specifications. This is a well-known failure mode in cryptographic protocol design: the theoretical structure is right, but the engineering-facing artifacts contain errors that would propagate into non-interoperable or incorrectly characterized implementations.</w:t>
      </w:r>
    </w:p>
    <w:p>
      <w:pPr>
        <w:spacing w:after="130" w:before="0"/>
      </w:pPr>
      <w:r>
        <w:rPr>
          <w:rFonts w:ascii="Arial" w:cs="Arial" w:eastAsia="Arial" w:hAnsi="Arial"/>
          <w:b w:val="false"/>
          <w:bCs w:val="false"/>
          <w:i w:val="false"/>
          <w:iCs w:val="false"/>
          <w:color w:val="1C1C1C"/>
          <w:sz w:val="20"/>
          <w:szCs w:val="20"/>
        </w:rPr>
        <w:t xml:space="preserve">The three critical errors are each independently sufficient to cause implementation or characterization failures. The test vector error would cause interoperability failures. The PQ collision resistance overstatement would lead to incorrect security parameter selection. The cost model error would cause operators to under-provision commit-phase bandwidth by a factor of n/k.</w:t>
      </w:r>
    </w:p>
    <w:p>
      <w:pPr>
        <w:spacing w:after="130" w:before="0"/>
      </w:pPr>
      <w:r>
        <w:rPr>
          <w:rFonts w:ascii="Arial" w:cs="Arial" w:eastAsia="Arial" w:hAnsi="Arial"/>
          <w:b/>
          <w:bCs/>
          <w:color w:val="1C1C1C"/>
          <w:sz w:val="20"/>
          <w:szCs w:val="20"/>
        </w:rPr>
        <w:t xml:space="preserve">None of these errors undermine the protocol’s fundamental design. </w:t>
      </w:r>
      <w:r>
        <w:rPr>
          <w:rFonts w:ascii="Arial" w:cs="Arial" w:eastAsia="Arial" w:hAnsi="Arial"/>
          <w:color w:val="1C1C1C"/>
          <w:sz w:val="20"/>
          <w:szCs w:val="20"/>
        </w:rPr>
        <w:t xml:space="preserve">Once corrected, the mathematical foundations of LTP are adequate for a protocol specification.</w:t>
      </w:r>
    </w:p>
    <w:p>
      <w:pPr>
        <w:pBdr>
          <w:bottom w:val="single" w:color="152238" w:sz="4" w:space="1"/>
        </w:pBdr>
        <w:spacing w:before="180" w:after="180"/>
      </w:pPr>
    </w:p>
    <w:p>
      <w:pPr>
        <w:spacing w:before="180"/>
        <w:jc w:val="center"/>
      </w:pPr>
      <w:r>
        <w:rPr>
          <w:rFonts w:ascii="Arial" w:cs="Arial" w:eastAsia="Arial" w:hAnsi="Arial"/>
          <w:i/>
          <w:iCs/>
          <w:color w:val="888888"/>
          <w:sz w:val="18"/>
          <w:szCs w:val="18"/>
        </w:rPr>
        <w:t xml:space="preserve">End of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4"/>
        <w:szCs w:val="14"/>
      </w:rPr>
      <w:t xml:space="preserve">Mathematical Review — LTP Whitepaper v0.1.0-draft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Arial" w:cs="Arial" w:eastAsia="Arial" w:hAnsi="Arial"/>
      <w:b/>
      <w:bCs/>
      <w:color w:val="152238"/>
      <w:sz w:val="29"/>
      <w:szCs w:val="29"/>
    </w:rPr>
  </w:style>
  <w:style w:type="paragraph" w:styleId="Heading2">
    <w:name w:val="Heading 2"/>
    <w:basedOn w:val="Normal"/>
    <w:next w:val="Normal"/>
    <w:qFormat/>
    <w:pPr>
      <w:spacing w:before="260" w:after="130"/>
      <w:outlineLvl w:val="1"/>
    </w:pPr>
    <w:rPr>
      <w:rFonts w:ascii="Arial" w:cs="Arial" w:eastAsia="Arial" w:hAnsi="Arial"/>
      <w:b/>
      <w:bCs/>
      <w:color w:val="1F4E79"/>
      <w:sz w:val="24"/>
      <w:szCs w:val="24"/>
    </w:rPr>
  </w:style>
  <w:style w:type="paragraph" w:styleId="Heading3">
    <w:name w:val="Heading 3"/>
    <w:basedOn w:val="Normal"/>
    <w:next w:val="Normal"/>
    <w:qFormat/>
    <w:pPr>
      <w:spacing w:before="180" w:after="90"/>
      <w:outlineLvl w:val="2"/>
    </w:pPr>
    <w:rPr>
      <w:rFonts w:ascii="Arial" w:cs="Arial" w:eastAsia="Arial" w:hAnsi="Arial"/>
      <w:b/>
      <w:bCs/>
      <w:color w:val="2874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2026-03-19T18:21:55.441Z</dcterms:created>
  <dcterms:modified xsi:type="dcterms:W3CDTF">2026-03-19T18:21:55.442Z</dcterms:modified>
</cp:coreProperties>
</file>

<file path=docProps/custom.xml><?xml version="1.0" encoding="utf-8"?>
<Properties xmlns="http://schemas.openxmlformats.org/officeDocument/2006/custom-properties" xmlns:vt="http://schemas.openxmlformats.org/officeDocument/2006/docPropsVTypes"/>
</file>