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5E"/>
          <w:sz w:val="36"/>
          <w:szCs w:val="36"/>
        </w:rPr>
        <w:t xml:space="preserve">FORMAL PEER REVIEW</w:t>
      </w:r>
    </w:p>
    <w:p>
      <w:pPr>
        <w:pBdr>
          <w:bottom w:val="single" w:color="2C3E50" w:sz="6" w:space="8"/>
        </w:pBdr>
        <w:spacing w:after="40"/>
        <w:jc w:val="center"/>
      </w:pPr>
      <w:r>
        <w:rPr>
          <w:rFonts w:ascii="Arial" w:cs="Arial" w:eastAsia="Arial" w:hAnsi="Arial"/>
          <w:color w:val="34495E"/>
          <w:sz w:val="26"/>
          <w:szCs w:val="26"/>
        </w:rPr>
        <w:t xml:space="preserve">Lattice Transfer Protocol (LTP) Whitepaper v0.1.0-draft</w:t>
      </w:r>
    </w:p>
    <w:p>
      <w:pPr>
        <w:spacing w:after="200"/>
      </w:pPr>
    </w:p>
    <w:p>
      <w:pPr>
        <w:spacing w:after="160"/>
      </w:pPr>
      <w:r>
        <w:rPr>
          <w:rFonts w:ascii="Arial" w:cs="Arial" w:eastAsia="Arial" w:hAnsi="Arial"/>
          <w:b/>
          <w:bCs/>
          <w:sz w:val="22"/>
          <w:szCs w:val="22"/>
        </w:rPr>
        <w:t xml:space="preserve">Review Date: </w:t>
      </w:r>
      <w:r>
        <w:rPr>
          <w:rFonts w:ascii="Arial" w:cs="Arial" w:eastAsia="Arial" w:hAnsi="Arial"/>
          <w:sz w:val="22"/>
          <w:szCs w:val="22"/>
        </w:rPr>
        <w:t xml:space="preserve">March 3, 2026</w:t>
      </w:r>
    </w:p>
    <w:p>
      <w:pPr>
        <w:spacing w:after="160"/>
      </w:pPr>
      <w:r>
        <w:rPr>
          <w:rFonts w:ascii="Arial" w:cs="Arial" w:eastAsia="Arial" w:hAnsi="Arial"/>
          <w:b/>
          <w:bCs/>
          <w:sz w:val="22"/>
          <w:szCs w:val="22"/>
        </w:rPr>
        <w:t xml:space="preserve">Paper Date: </w:t>
      </w:r>
      <w:r>
        <w:rPr>
          <w:rFonts w:ascii="Arial" w:cs="Arial" w:eastAsia="Arial" w:hAnsi="Arial"/>
          <w:sz w:val="22"/>
          <w:szCs w:val="22"/>
        </w:rPr>
        <w:t xml:space="preserve">February 24, 2026</w:t>
      </w:r>
    </w:p>
    <w:p>
      <w:pPr>
        <w:spacing w:after="160"/>
      </w:pPr>
      <w:r>
        <w:rPr>
          <w:rFonts w:ascii="Arial" w:cs="Arial" w:eastAsia="Arial" w:hAnsi="Arial"/>
          <w:b/>
          <w:bCs/>
          <w:sz w:val="22"/>
          <w:szCs w:val="22"/>
        </w:rPr>
        <w:t xml:space="preserve">Paper Status: </w:t>
      </w:r>
      <w:r>
        <w:rPr>
          <w:rFonts w:ascii="Arial" w:cs="Arial" w:eastAsia="Arial" w:hAnsi="Arial"/>
          <w:sz w:val="22"/>
          <w:szCs w:val="22"/>
        </w:rPr>
        <w:t xml:space="preserve">Exploratory Design</w:t>
      </w:r>
    </w:p>
    <w:p>
      <w:pPr>
        <w:spacing w:after="160"/>
      </w:pPr>
      <w:r>
        <w:rPr>
          <w:rFonts w:ascii="Arial" w:cs="Arial" w:eastAsia="Arial" w:hAnsi="Arial"/>
          <w:b/>
          <w:bCs/>
          <w:sz w:val="22"/>
          <w:szCs w:val="22"/>
        </w:rPr>
        <w:t xml:space="preserve">Review Type: </w:t>
      </w:r>
      <w:r>
        <w:rPr>
          <w:rFonts w:ascii="Arial" w:cs="Arial" w:eastAsia="Arial" w:hAnsi="Arial"/>
          <w:sz w:val="22"/>
          <w:szCs w:val="22"/>
        </w:rPr>
        <w:t xml:space="preserve">Technical peer review (cryptography, protocol design, systems architecture)</w:t>
      </w:r>
    </w:p>
    <w:p>
      <w:pPr>
        <w:spacing w:after="200"/>
      </w:pPr>
    </w:p>
    <w:p>
      <w:pPr>
        <w:pStyle w:val="Heading1"/>
      </w:pPr>
      <w:r>
        <w:t xml:space="preserve">1. Overall Assessment</w:t>
      </w:r>
    </w:p>
    <w:p>
      <w:pPr>
        <w:spacing w:after="160"/>
      </w:pPr>
      <w:r>
        <w:rPr>
          <w:rFonts w:ascii="Arial" w:cs="Arial" w:eastAsia="Arial" w:hAnsi="Arial"/>
          <w:sz w:val="22"/>
          <w:szCs w:val="22"/>
        </w:rPr>
        <w:t xml:space="preserve">The LTP whitepaper presents a thoughtfully designed data transfer protocol that reframes distributed, encrypted, erasure-coded storage as a transfer primitive rather than a storage system. The core conceptual contribution — separating the sender-to-receiver path (O(1) sealed key) from the data movement path (receiver-to-nearby-nodes) — is clearly articulated and well-motivated. The paper demonstrates an unusually high level of intellectual honesty, explicitly acknowledging where LTP loses to direct transfer, where prior art overlaps, and which claims cannot be formally proven.</w:t>
      </w:r>
    </w:p>
    <w:p>
      <w:pPr>
        <w:spacing w:after="160"/>
      </w:pPr>
      <w:r>
        <w:rPr>
          <w:rFonts w:ascii="Arial" w:cs="Arial" w:eastAsia="Arial" w:hAnsi="Arial"/>
          <w:sz w:val="22"/>
          <w:szCs w:val="22"/>
        </w:rPr>
        <w:t xml:space="preserve">The formal security section (§3.3) is a genuine strength: the game-based definitions, reductions to standard assumptions, and composite Transfer Immutability theorem (Theorem 8) are rigorous and well-structured. The availability analysis (§5.4), including the correlated failure model, reflects mature systems thinking.</w:t>
      </w:r>
    </w:p>
    <w:p>
      <w:pPr>
        <w:spacing w:after="160"/>
      </w:pPr>
      <w:r>
        <w:rPr>
          <w:rFonts w:ascii="Arial" w:cs="Arial" w:eastAsia="Arial" w:hAnsi="Arial"/>
          <w:sz w:val="22"/>
          <w:szCs w:val="22"/>
        </w:rPr>
        <w:t xml:space="preserve">However, the paper has several areas that require attention before it could be considered for publication or implementation. These range from cryptographic design concerns to structural gaps and presentation issues. The review below is organized into strengths, then issues by severity, followed by editorial observations.</w:t>
      </w:r>
    </w:p>
    <w:p>
      <w:pPr>
        <w:pStyle w:val="Heading1"/>
      </w:pPr>
      <w:r>
        <w:t xml:space="preserve">2. Principal Strengths</w:t>
      </w:r>
    </w:p>
    <w:p>
      <w:pPr>
        <w:pStyle w:val="Heading2"/>
      </w:pPr>
      <w:r>
        <w:t xml:space="preserve">2.1 Intellectual Honesty</w:t>
      </w:r>
    </w:p>
    <w:p>
      <w:pPr>
        <w:spacing w:after="160"/>
      </w:pPr>
      <w:r>
        <w:rPr>
          <w:rFonts w:ascii="Arial" w:cs="Arial" w:eastAsia="Arial" w:hAnsi="Arial"/>
          <w:sz w:val="22"/>
          <w:szCs w:val="22"/>
        </w:rPr>
        <w:t xml:space="preserve">This is the paper’s most distinguishing quality. Section 3.3.7 (“What Cannot Be Formally Proven”) is rare in whitepapers and significantly increases credibility. The formal cost model (§6.4) explicitly states where LTP is strictly worse than direct transfer (single-receiver bandwidth, storage overhead, protocol complexity). Section 8.7 (“What LTP Contributes”) is equally forthright, acknowledging that individual components are not novel and framing the contribution as synthesis. This tone should be maintained and is a model for protocol whitepapers.</w:t>
      </w:r>
    </w:p>
    <w:p>
      <w:pPr>
        <w:pStyle w:val="Heading2"/>
      </w:pPr>
      <w:r>
        <w:t xml:space="preserve">2.2 Formal Security Analysis</w:t>
      </w:r>
    </w:p>
    <w:p>
      <w:pPr>
        <w:spacing w:after="160"/>
      </w:pPr>
      <w:r>
        <w:rPr>
          <w:rFonts w:ascii="Arial" w:cs="Arial" w:eastAsia="Arial" w:hAnsi="Arial"/>
          <w:sz w:val="22"/>
          <w:szCs w:val="22"/>
        </w:rPr>
        <w:t xml:space="preserve">The game-based security definitions (IMM, SINT, TCONF, NREP, TSEC, TIMM) follow standard cryptographic conventions and reduce to well-understood assumptions (collision resistance, EUF-CMA, IND-CCA, AEAD security, information-theoretic MDS properties). Theorem 8 (Transfer Immutability) is the crown jewel — it composes all four barriers into a single end-to-end guarantee. The proof sketch via game hopping for TCONF (Theorem 5) is textbook-correct.</w:t>
      </w:r>
    </w:p>
    <w:p>
      <w:pPr>
        <w:pStyle w:val="Heading2"/>
      </w:pPr>
      <w:r>
        <w:t xml:space="preserve">2.3 Systems Design Maturity</w:t>
      </w:r>
    </w:p>
    <w:p>
      <w:pPr>
        <w:spacing w:after="160"/>
      </w:pPr>
      <w:r>
        <w:rPr>
          <w:rFonts w:ascii="Arial" w:cs="Arial" w:eastAsia="Arial" w:hAnsi="Arial"/>
          <w:sz w:val="22"/>
          <w:szCs w:val="22"/>
        </w:rPr>
        <w:t xml:space="preserve">The correlated failure model (§5.4.1.1) with failure domain partitioning shows real operational awareness. The CAP theorem analysis (§5.4.3) is honest about LTP’s tradeoffs. The economics section (§5.5) wisely defines interfaces rather than mandating a specific incentive mechanism, allowing deployment flexibility across enterprise, consortium, and public contexts.</w:t>
      </w:r>
    </w:p>
    <w:p>
      <w:pPr>
        <w:pStyle w:val="Heading2"/>
      </w:pPr>
      <w:r>
        <w:t xml:space="preserve">2.4 Post-Quantum Posture</w:t>
      </w:r>
    </w:p>
    <w:p>
      <w:pPr>
        <w:spacing w:after="160"/>
      </w:pPr>
      <w:r>
        <w:rPr>
          <w:rFonts w:ascii="Arial" w:cs="Arial" w:eastAsia="Arial" w:hAnsi="Arial"/>
          <w:sz w:val="22"/>
          <w:szCs w:val="22"/>
        </w:rPr>
        <w:t xml:space="preserve">Defaulting to ML-KEM-768 and ML-DSA-65 as primary primitives (rather than offering them as optional upgrades) is forward-looking and appropriate for a new protocol in 2026. The honest acknowledgment of the ~1,300-byte key overhead as the cost of quantum resistance is well-handled.</w:t>
      </w:r>
    </w:p>
    <w:p>
      <w:pPr>
        <w:pStyle w:val="Heading1"/>
      </w:pPr>
      <w:r>
        <w:t xml:space="preserve">3. Detailed Issue Register</w:t>
      </w:r>
    </w:p>
    <w:p>
      <w:pPr>
        <w:spacing w:after="160"/>
      </w:pPr>
      <w:r>
        <w:rPr>
          <w:rFonts w:ascii="Arial" w:cs="Arial" w:eastAsia="Arial" w:hAnsi="Arial"/>
          <w:sz w:val="22"/>
          <w:szCs w:val="22"/>
        </w:rPr>
        <w:t xml:space="preserve">Issues are classified as Critical (blocks publication or deployment), Major (requires resolution before finalization), or Minor (quality improvements).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3280"/>
        <w:gridCol w:w="328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160"/>
            </w:pPr>
            <w:r>
              <w:rPr>
                <w:rFonts w:ascii="Arial" w:cs="Arial" w:eastAsia="Arial" w:hAnsi="Arial"/>
                <w:b/>
                <w:bCs/>
                <w:color w:val="FFFFFF"/>
                <w:sz w:val="22"/>
                <w:szCs w:val="22"/>
              </w:rPr>
              <w:t xml:space="preserve">ID</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160"/>
            </w:pPr>
            <w:r>
              <w:rPr>
                <w:rFonts w:ascii="Arial" w:cs="Arial" w:eastAsia="Arial" w:hAnsi="Arial"/>
                <w:b/>
                <w:bCs/>
                <w:color w:val="FFFFFF"/>
                <w:sz w:val="22"/>
                <w:szCs w:val="22"/>
              </w:rPr>
              <w:t xml:space="preserve">Severity</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160"/>
            </w:pPr>
            <w:r>
              <w:rPr>
                <w:rFonts w:ascii="Arial" w:cs="Arial" w:eastAsia="Arial" w:hAnsi="Arial"/>
                <w:b/>
                <w:bCs/>
                <w:color w:val="FFFFFF"/>
                <w:sz w:val="22"/>
                <w:szCs w:val="22"/>
              </w:rPr>
              <w:t xml:space="preserve">Section</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160"/>
            </w:pPr>
            <w:r>
              <w:rPr>
                <w:rFonts w:ascii="Arial" w:cs="Arial" w:eastAsia="Arial" w:hAnsi="Arial"/>
                <w:b/>
                <w:bCs/>
                <w:color w:val="FFFFFF"/>
                <w:sz w:val="22"/>
                <w:szCs w:val="22"/>
              </w:rPr>
              <w:t xml:space="preserve">Issue</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160"/>
            </w:pPr>
            <w:r>
              <w:rPr>
                <w:rFonts w:ascii="Arial" w:cs="Arial" w:eastAsia="Arial" w:hAnsi="Arial"/>
                <w:b/>
                <w:bCs/>
                <w:color w:val="FFFFFF"/>
                <w:sz w:val="22"/>
                <w:szCs w:val="22"/>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C1</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60"/>
            </w:pPr>
            <w:r>
              <w:rPr>
                <w:rFonts w:ascii="Arial" w:cs="Arial" w:eastAsia="Arial" w:hAnsi="Arial"/>
                <w:sz w:val="22"/>
                <w:szCs w:val="22"/>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§2.1.1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AEAD nonce construction uses shard index directly (nonce=index). With a fixed small nonce domain (0..n-1, typically 0..63), the entire nonce-reuse safety rests on CEK uniqueness. While the paper acknowledges this, the construction is fragile: a CSPRNG failure, a seed-state clone (e.g., VM snapshot/restore), or an implementation that caches CEKs across retry paths would be catastrophic. The crib-dragging attack described in the paper itself demonstrates the severity.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Derive nonces as nonce = H(CEK || entity_id || shard_index) truncated to the AEAD nonce length. This makes nonce uniqueness depend on both CEK freshness and entity identity, providing defense-in-depth. Alternatively, use a nonce-misuse-resistant AEAD construction such as AES-GCM-SIV or AEGIS, which tolerates limited nonce reuse without catastrophic failure.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C2</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60"/>
            </w:pPr>
            <w:r>
              <w:rPr>
                <w:rFonts w:ascii="Arial" w:cs="Arial" w:eastAsia="Arial" w:hAnsi="Arial"/>
                <w:sz w:val="22"/>
                <w:szCs w:val="22"/>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§3.3.3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TCONF game (Theorem 5) gives the adversary encrypted shards and the sealed key, but does NOT give the adversary the EntityID from the commitment log. In practice, the commitment record (including entity_id) is published to an append-only public log. The adversary can compute EntityID = H(e_b) for both candidate entities and compare against the logged value. The paper’s own “Important caveat” acknowledges this but does not integrate it into the formal game. As stated, the theorem overpromises: it claims IND-CPA-level confidentiality while the commitment log leaks a deterministic fingerprint of the plaintext.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Revise the TCONF game to explicitly include the commitment record in the adversary’s view. Restate the theorem with the caveat that confidentiality holds only when the entity space has sufficient min-entropy (i.e., the adversary cannot enumerate candidate entities). For low-entropy entities, direct the reader to the ZK transfer mode (§3.2) as the mitigation, and formalize the ZK mode’s confidentiality guarantee separately.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C3</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60"/>
            </w:pPr>
            <w:r>
              <w:rPr>
                <w:rFonts w:ascii="Arial" w:cs="Arial" w:eastAsia="Arial" w:hAnsi="Arial"/>
                <w:sz w:val="22"/>
                <w:szCs w:val="22"/>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§3.2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Zero-Knowledge Transfer Mode is described in only 8 lines with no formal definition, no proof, and no specified ZK proof system. It claims properties (“proving the entity satisfies certain properties without revealing content”) that require a concrete instantiation to evaluate. As written, it is an aspiration, not a protocol component.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Either (a) remove the ZK mode from the main body and relocate it to the Open Questions/Future Work section, clearly marking it as unspecified, or (b) provide a concrete instantiation (e.g., specifying a SNARK system, defining the relation being proved, estimating proof size and generation time) and formalize its security properties.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M1</w:t>
            </w:r>
          </w:p>
        </w:tc>
        <w:tc>
          <w:tcPr>
            <w:tcW w:type="dxa" w:w="1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160"/>
            </w:pPr>
            <w:r>
              <w:rPr>
                <w:rFonts w:ascii="Arial" w:cs="Arial" w:eastAsia="Arial" w:hAnsi="Arial"/>
                <w:sz w:val="22"/>
                <w:szCs w:val="22"/>
              </w:rPr>
              <w:t xml:space="preserve">Major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§2.2.2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term “Latticement” appears in the section heading (2.2.2) but is never defined or used again. It reads as a portmanteau of “lattice” and “commitment” but has no clear semantic role in the protocol vocabulary.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Either define “Latticement” formally and use it consistently throughout the paper, or remove it and use a descriptive heading such as “Properties of the Lattice Key.”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M2</w:t>
            </w:r>
          </w:p>
        </w:tc>
        <w:tc>
          <w:tcPr>
            <w:tcW w:type="dxa" w:w="1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160"/>
            </w:pPr>
            <w:r>
              <w:rPr>
                <w:rFonts w:ascii="Arial" w:cs="Arial" w:eastAsia="Arial" w:hAnsi="Arial"/>
                <w:sz w:val="22"/>
                <w:szCs w:val="22"/>
              </w:rPr>
              <w:t xml:space="preserve">Major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§1.2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EntityID hash includes timestamp and sender_pubkey, which means identical content committed by the same sender at different logical times produces different EntityIDs. While the paper calls this “not a bug,” it has significant implications: (1) content deduplication across commits is impossible, (2) the commitment network stores duplicate shards for the same content, inflating storage costs, and (3) there is no mechanism to detect or prevent redundant commits of identical payloads.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Acknowledge the storage cost implication explicitly in §6.4. Consider defining an optional content-only hash (ContentHash = H(content || shape)) alongside EntityID to enable deduplication at the storage layer without breaking immutability semantics. Discuss the privacy tradeoff: a content-only hash enables a node to detect duplicate content across senders.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M3</w:t>
            </w:r>
          </w:p>
        </w:tc>
        <w:tc>
          <w:tcPr>
            <w:tcW w:type="dxa" w:w="1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160"/>
            </w:pPr>
            <w:r>
              <w:rPr>
                <w:rFonts w:ascii="Arial" w:cs="Arial" w:eastAsia="Arial" w:hAnsi="Arial"/>
                <w:sz w:val="22"/>
                <w:szCs w:val="22"/>
              </w:rPr>
              <w:t xml:space="preserve">Major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§5.2.2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anti-outsourcing time bound requires T &lt; min RTT to the nearest replica. In practice, this is extremely difficult to calibrate: network conditions are variable, the auditor may not know the exact topology, and a sophisticated adversary could colocate a lightweight proxy near the challenged node. The paper acknowledges this (“Honest limitation”), but the gap between the formal inequality and operational reality is larger than presented.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Discuss calibration strategies for T (e.g., historical latency profiling, adaptive bounds). Acknowledge that the time-bound is a statistical deterrent, not a cryptographic guarantee, and quantify the expected detection rate under realistic assumptions. Consider citing or adapting techniques from Filecoin’s PoRep literature for stronger guarantees.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M4</w:t>
            </w:r>
          </w:p>
        </w:tc>
        <w:tc>
          <w:tcPr>
            <w:tcW w:type="dxa" w:w="1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160"/>
            </w:pPr>
            <w:r>
              <w:rPr>
                <w:rFonts w:ascii="Arial" w:cs="Arial" w:eastAsia="Arial" w:hAnsi="Arial"/>
                <w:sz w:val="22"/>
                <w:szCs w:val="22"/>
              </w:rPr>
              <w:t xml:space="preserve">Major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§5.1.2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commitment log is described as not requiring “full BFT consensus” and a CT-style Merkle log being “sufficient.” However, the security proofs (Theorems 6 and 8) assume an idealized append-only log. The gap between the CT-style trust model (at least one honest operator) and the formal assumption (perfect append-only integrity) is acknowledged in §5.1.4 but not reflected in the theorem statements. Readers may take the theorems at face value without appreciating the conditional nature of the guarantees.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Add an explicit “Trust Model Assumption” preamble to §3.3 stating that all theorems assume an honest append-only log, and cross-reference §5.1.4 for the practical conditions under which this assumption holds. Consider restating key theorems conditionally: “Under the assumption that the commitment log satisfies append-only integrity (§5.1.4), the following holds...”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M5</w:t>
            </w:r>
          </w:p>
        </w:tc>
        <w:tc>
          <w:tcPr>
            <w:tcW w:type="dxa" w:w="1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160"/>
            </w:pPr>
            <w:r>
              <w:rPr>
                <w:rFonts w:ascii="Arial" w:cs="Arial" w:eastAsia="Arial" w:hAnsi="Arial"/>
                <w:sz w:val="22"/>
                <w:szCs w:val="22"/>
              </w:rPr>
              <w:t xml:space="preserve">Major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§6.4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latency model T_LTP assumes k parallel shard fetches complete in time proportional to a single shard fetch (D/k / bandwidth_RN). This implicitly assumes unlimited parallelism and no contention at the receiver or at commitment nodes. In practice, TCP connection overhead, node-side I/O scheduling, and receiver bandwidth caps will introduce a parallelism penalty. The formula is optimistic.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Introduce a parallelism efficiency factor (e.g., α ∈ (0,1]) into the latency model. Discuss conditions under which α approaches 1 (dedicated bandwidth, low contention) versus when it degrades (shared nodes, limited receiver bandwidth). Even a brief sensitivity analysis would significantly strengthen the cost model.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M6</w:t>
            </w:r>
          </w:p>
        </w:tc>
        <w:tc>
          <w:tcPr>
            <w:tcW w:type="dxa" w:w="1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160"/>
            </w:pPr>
            <w:r>
              <w:rPr>
                <w:rFonts w:ascii="Arial" w:cs="Arial" w:eastAsia="Arial" w:hAnsi="Arial"/>
                <w:sz w:val="22"/>
                <w:szCs w:val="22"/>
              </w:rPr>
              <w:t xml:space="preserve">Major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§9.5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Mars colony use case is vivid but conflates protocol capabilities with infrastructure deployment. LTP does not solve the fundamental problem (light-delay for initial shard replication to Mars). The advantage described (amortized replication during off-peak periods) is a deployment strategy, not a protocol feature. Including it as a “use case” risks overpromising.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Reframe as a thought experiment illustrating the sender-independence and geographic optimization properties, rather than as a practical use case. Alternatively, quantify the break-even point: how many Mars-side receivers are needed before LTP’s amortized commit cost beats N individual direct transfers across the light-delay link?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M7</w:t>
            </w:r>
          </w:p>
        </w:tc>
        <w:tc>
          <w:tcPr>
            <w:tcW w:type="dxa" w:w="1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160"/>
            </w:pPr>
            <w:r>
              <w:rPr>
                <w:rFonts w:ascii="Arial" w:cs="Arial" w:eastAsia="Arial" w:hAnsi="Arial"/>
                <w:sz w:val="22"/>
                <w:szCs w:val="22"/>
              </w:rPr>
              <w:t xml:space="preserve">Major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§2.1.1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erasure coding algorithm is specified as “reed-solomon-gf256” in the commitment record but the paper does not specify which generator polynomial, primitive element, or evaluation points are used. Different Reed-Solomon implementations over GF(256) can produce different shard encodings for the same input. Two conforming implementations could produce different shards and different Merkle roots for the same entity, breaking interoperability.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Specify the exact RS parameters: the primitive polynomial for GF(256), the evaluation points (e.g., powers of a generator), and the encoding matrix construction (Vandermonde vs. Cauchy). Alternatively, reference a specific standard or library as the canonical implementation.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m1</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sz w:val="22"/>
                <w:szCs w:val="22"/>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§1.1.1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Shape specification allows arbitrary x-ltp/ extension types but provides no registry or governance mechanism. Without a coordination point, independently developed LTP implementations may assign conflicting meanings to the same x-ltp/ subtype.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Define a lightweight registry process for x-ltp/ types (even if informal, such as a public registry document maintained alongside the spec).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m2</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sz w:val="22"/>
                <w:szCs w:val="22"/>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§3.3.1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Theorem 3 refers to BLAKE2b-256 as the hash function, but §1.2 lists “BLAKE3 or Poseidon” as alternatives. The security theorems should be parameterized by the hash function or should commit to a single concrete choice.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Either commit to one hash function throughout the formal analysis, or parameterize the theorems explicitly (e.g., “for any collision-resistant hash H with n-bit output”) and provide concrete security estimates for each candidate.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m3</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sz w:val="22"/>
                <w:szCs w:val="22"/>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§4.1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Immutability Guarantees section (§4) largely restates material already covered in §3.3 (Theorems 1, 3, 4, 8). While the expository framing differs, the redundancy may confuse readers about whether §4 adds new technical content or is a summary.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Consider merging §4 into §3 as a subsection providing the intuitive explanation, then referencing the formal theorems. Alternatively, clearly label §4 as an “Informal Summary” of the formal results in §3.3.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m4</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sz w:val="22"/>
                <w:szCs w:val="22"/>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§7</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comparison table in §7 lists 14 properties, and LTP has “Yes” for all of them. While each claim is individually justified, the table’s visual impression is that LTP dominates every prior system in every dimension. Given the paper’s otherwise honest tone, adding a row for “Protocol complexity” or “Deployment maturity” (where LTP would score lowest) would preserve credibility.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Add 2–3 rows where LTP is weakest (e.g., protocol complexity, production deployment maturity, single-transfer overhead) to make the table a balanced comparison rather than a feature checklist.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m5</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sz w:val="22"/>
                <w:szCs w:val="22"/>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§2.3.1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Step 10 of the MATERIALIZE process computes H(entity_content || shape || timestamp || sender_pubkey) to verify against entity_id. However, shape, timestamp, and sender_pubkey are obtained from the commitment record, which the receiver already verified in steps 3–4. If the commitment record is trusted after signature verification, the final hash check is redundant with the Merkle root verification. The two checks serve different purposes (commitment integrity vs. content integrity) but this distinction is not explained.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Add a brief note clarifying that the final hash check provides end-to-end content integrity independent of the shard-level Merkle verification. This defends against a subtle attack where an adversary substitutes a valid but different commitment record.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m6</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sz w:val="22"/>
                <w:szCs w:val="22"/>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General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The paper oscillates between specifying BLAKE2b and BLAKE3 as the hash function. §1.2 says “BLAKE3 or Poseidon,” §2.1.3 uses “blake3:” prefixes in examples, and §3.3.1 analyzes BLAKE2b-256 security. This inconsistency, while minor, undermines confidence in the specification.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60"/>
            </w:pPr>
            <w:r>
              <w:rPr>
                <w:rFonts w:ascii="Arial" w:cs="Arial" w:eastAsia="Arial" w:hAnsi="Arial"/>
                <w:sz w:val="22"/>
                <w:szCs w:val="22"/>
              </w:rPr>
              <w:t xml:space="preserve">Choose a single default hash function for the core protocol and document alternatives as negotiable parameters. Specify the canonical form of hash output encoding (hex, base64, raw bytes) used in EntityID strings.</w:t>
            </w:r>
          </w:p>
        </w:tc>
      </w:tr>
    </w:tbl>
    <w:p>
      <w:pPr>
        <w:spacing w:after="200"/>
      </w:pPr>
    </w:p>
    <w:p>
      <w:pPr>
        <w:pStyle w:val="Heading1"/>
      </w:pPr>
      <w:r>
        <w:t xml:space="preserve">4. Structural and Presentation Observations</w:t>
      </w:r>
    </w:p>
    <w:p>
      <w:pPr>
        <w:pStyle w:val="Heading2"/>
      </w:pPr>
      <w:r>
        <w:t xml:space="preserve">4.1 Paper Organization</w:t>
      </w:r>
    </w:p>
    <w:p>
      <w:pPr>
        <w:spacing w:after="160"/>
      </w:pPr>
      <w:r>
        <w:rPr>
          <w:rFonts w:ascii="Arial" w:cs="Arial" w:eastAsia="Arial" w:hAnsi="Arial"/>
          <w:sz w:val="22"/>
          <w:szCs w:val="22"/>
        </w:rPr>
        <w:t xml:space="preserve">The paper is well-organized overall, but the ordering of sections creates some forward-reference issues. The security model (§3) references the commitment network (§5) before it is defined. The immutability guarantees (§4) substantially overlap with the formal security definitions (§3.3). A suggested reordering: (1) Ontology, (2) Three Phases, (3) Commitment Network, (4) Security Model (with immutability guarantees folded in), (5) Cost Analysis, (6) Comparison, (7) Related Work, (8) Use Cases, (9) Open Questions, (10) Conclusion.</w:t>
      </w:r>
    </w:p>
    <w:p>
      <w:pPr>
        <w:pStyle w:val="Heading2"/>
      </w:pPr>
      <w:r>
        <w:t xml:space="preserve">4.2 Writing Quality</w:t>
      </w:r>
    </w:p>
    <w:p>
      <w:pPr>
        <w:spacing w:after="160"/>
      </w:pPr>
      <w:r>
        <w:rPr>
          <w:rFonts w:ascii="Arial" w:cs="Arial" w:eastAsia="Arial" w:hAnsi="Arial"/>
          <w:sz w:val="22"/>
          <w:szCs w:val="22"/>
        </w:rPr>
        <w:t xml:space="preserve">The prose is generally clear and occasionally elegant (the closing line “Data doesn’t move. Proof moves. Truth materializes.” is memorable). The expository style of working through examples and then honestly stating limitations is effective and should be preserved. A few areas are overwritten — the three-fold etymology of “Lattice” in the opening note, while clever, may distract from the technical content.</w:t>
      </w:r>
    </w:p>
    <w:p>
      <w:pPr>
        <w:pStyle w:val="Heading2"/>
      </w:pPr>
      <w:r>
        <w:t xml:space="preserve">4.3 Notation Consistency</w:t>
      </w:r>
    </w:p>
    <w:p>
      <w:pPr>
        <w:spacing w:after="160"/>
      </w:pPr>
      <w:r>
        <w:rPr>
          <w:rFonts w:ascii="Arial" w:cs="Arial" w:eastAsia="Arial" w:hAnsi="Arial"/>
          <w:sz w:val="22"/>
          <w:szCs w:val="22"/>
        </w:rPr>
        <w:t xml:space="preserve">The paper mixes pseudocode styles (Python-like list comprehensions in §2.1.1, numbered-step procedural in §2.3.1, JSON in §2.1.3, and ASCII diagrams in §2.3.2). While each is clear in isolation, a more uniform pseudocode convention would improve readability. The mathematical notation in §3.3 is standard and well-formatted.</w:t>
      </w:r>
    </w:p>
    <w:p>
      <w:pPr>
        <w:pStyle w:val="Heading2"/>
      </w:pPr>
      <w:r>
        <w:t xml:space="preserve">4.4 Missing Specification Detail</w:t>
      </w:r>
    </w:p>
    <w:p>
      <w:pPr>
        <w:spacing w:after="160"/>
      </w:pPr>
      <w:r>
        <w:rPr>
          <w:rFonts w:ascii="Arial" w:cs="Arial" w:eastAsia="Arial" w:hAnsi="Arial"/>
          <w:sz w:val="22"/>
          <w:szCs w:val="22"/>
        </w:rPr>
        <w:t xml:space="preserve">For a protocol whitepaper (as opposed to a research paper), several implementer-facing details are absent: the exact AEAD algorithm (AES-256-GCM? ChaCha20-Poly1305?), the serialization format for the lattice key inner payload, the wire format for sealed keys, the consistent hashing algorithm and its parameters, and the commitment record serialization (the JSON shown is illustrative but not normative). These can reasonably be deferred to a future specification document, but the paper should explicitly state that these are deferred.</w:t>
      </w:r>
    </w:p>
    <w:p>
      <w:pPr>
        <w:pStyle w:val="Heading1"/>
      </w:pPr>
      <w:r>
        <w:t xml:space="preserve">5. Post-Quantum Security Assessment</w:t>
      </w:r>
    </w:p>
    <w:p>
      <w:pPr>
        <w:spacing w:after="160"/>
      </w:pPr>
      <w:r>
        <w:rPr>
          <w:rFonts w:ascii="Arial" w:cs="Arial" w:eastAsia="Arial" w:hAnsi="Arial"/>
          <w:sz w:val="22"/>
          <w:szCs w:val="22"/>
        </w:rPr>
        <w:t xml:space="preserve">The paper’s post-quantum posture is generally sound. ML-KEM-768 (NIST FIPS 203) and ML-DSA-65 (NIST FIPS 204) are appropriate choices at NIST Level 3. BLAKE2b/BLAKE3 are quantum-resistant for collision resistance (Grover’s algorithm does not improve the birthday bound, as the paper correctly notes). The erasure coding threshold secrecy is information-theoretic and thus quantum-immune.</w:t>
      </w:r>
    </w:p>
    <w:p>
      <w:pPr>
        <w:spacing w:after="160"/>
      </w:pPr>
      <w:r>
        <w:rPr>
          <w:rFonts w:ascii="Arial" w:cs="Arial" w:eastAsia="Arial" w:hAnsi="Arial"/>
          <w:sz w:val="22"/>
          <w:szCs w:val="22"/>
        </w:rPr>
        <w:t xml:space="preserve">One gap: the paper does not discuss hybrid key encapsulation (e.g., ML-KEM-768 + X25519). NIST and multiple standards bodies currently recommend hybrid constructions during the PQ transition period to hedge against potential lattice-based cryptanalysis breakthroughs. For a protocol explicitly positioning itself as forward-looking, the absence of a hybrid option is notable. This does not need to be the default, but should be discussed as a negotiable parameter.</w:t>
      </w:r>
    </w:p>
    <w:p>
      <w:pPr>
        <w:spacing w:after="160"/>
      </w:pPr>
      <w:r>
        <w:rPr>
          <w:rFonts w:ascii="Arial" w:cs="Arial" w:eastAsia="Arial" w:hAnsi="Arial"/>
          <w:sz w:val="22"/>
          <w:szCs w:val="22"/>
        </w:rPr>
        <w:t xml:space="preserve">Additionally, the paper claims “No X25519 or Ed25519 in the protocol” as a feature. While this simplifies the cryptographic surface area, it also means the protocol cannot interoperate with existing PKI infrastructure (TLS certificates, SSH keys, etc.) without a bridging mechanism. This tradeoff deserves mention.</w:t>
      </w:r>
    </w:p>
    <w:p>
      <w:pPr>
        <w:pStyle w:val="Heading1"/>
      </w:pPr>
      <w:r>
        <w:t xml:space="preserve">6. Editorial Notes</w:t>
      </w:r>
    </w:p>
    <w:p>
      <w:pPr>
        <w:spacing w:after="160"/>
      </w:pPr>
      <w:r>
        <w:rPr>
          <w:rFonts w:ascii="Arial" w:cs="Arial" w:eastAsia="Arial" w:hAnsi="Arial"/>
          <w:sz w:val="22"/>
          <w:szCs w:val="22"/>
        </w:rPr>
        <w:t xml:space="preserve">The following minor typographical and editorial items were noted. These do not affect technical content but should be corrected before any wider distribution:</w:t>
      </w:r>
    </w:p>
    <w:p>
      <w:pPr>
        <w:spacing w:after="160"/>
      </w:pPr>
      <w:r>
        <w:rPr>
          <w:rFonts w:ascii="Arial" w:cs="Arial" w:eastAsia="Arial" w:hAnsi="Arial"/>
          <w:b/>
          <w:bCs/>
          <w:sz w:val="22"/>
          <w:szCs w:val="22"/>
        </w:rPr>
        <w:t xml:space="preserve">Section 2.2.2: </w:t>
      </w:r>
      <w:r>
        <w:rPr>
          <w:rFonts w:ascii="Arial" w:cs="Arial" w:eastAsia="Arial" w:hAnsi="Arial"/>
          <w:sz w:val="22"/>
          <w:szCs w:val="22"/>
        </w:rPr>
        <w:t xml:space="preserve">“Latticement” — undefined portmanteau; either define or remove.</w:t>
      </w:r>
    </w:p>
    <w:p>
      <w:pPr>
        <w:spacing w:after="160"/>
      </w:pPr>
      <w:r>
        <w:rPr>
          <w:rFonts w:ascii="Arial" w:cs="Arial" w:eastAsia="Arial" w:hAnsi="Arial"/>
          <w:b/>
          <w:bCs/>
          <w:sz w:val="22"/>
          <w:szCs w:val="22"/>
        </w:rPr>
        <w:t xml:space="preserve">Section 3.3.5: </w:t>
      </w:r>
      <w:r>
        <w:rPr>
          <w:rFonts w:ascii="Arial" w:cs="Arial" w:eastAsia="Arial" w:hAnsi="Arial"/>
          <w:sz w:val="22"/>
          <w:szCs w:val="22"/>
        </w:rPr>
        <w:t xml:space="preserve">The TSEC game references “messages (m_0, m_1)” but elsewhere the paper uses “entity” consistently. Use “entity” for consistency.</w:t>
      </w:r>
    </w:p>
    <w:p>
      <w:pPr>
        <w:spacing w:after="160"/>
      </w:pPr>
      <w:r>
        <w:rPr>
          <w:rFonts w:ascii="Arial" w:cs="Arial" w:eastAsia="Arial" w:hAnsi="Arial"/>
          <w:b/>
          <w:bCs/>
          <w:sz w:val="22"/>
          <w:szCs w:val="22"/>
        </w:rPr>
        <w:t xml:space="preserve">Section 5.2.2: </w:t>
      </w:r>
      <w:r>
        <w:rPr>
          <w:rFonts w:ascii="Arial" w:cs="Arial" w:eastAsia="Arial" w:hAnsi="Arial"/>
          <w:sz w:val="22"/>
          <w:szCs w:val="22"/>
        </w:rPr>
        <w:t xml:space="preserve">The formula for outsourcing cost uses “b” for burst challenge count but this variable is not introduced until the next paragraph.</w:t>
      </w:r>
    </w:p>
    <w:p>
      <w:pPr>
        <w:spacing w:after="160"/>
      </w:pPr>
      <w:r>
        <w:rPr>
          <w:rFonts w:ascii="Arial" w:cs="Arial" w:eastAsia="Arial" w:hAnsi="Arial"/>
          <w:b/>
          <w:bCs/>
          <w:sz w:val="22"/>
          <w:szCs w:val="22"/>
        </w:rPr>
        <w:t xml:space="preserve">Section 9.5: </w:t>
      </w:r>
      <w:r>
        <w:rPr>
          <w:rFonts w:ascii="Arial" w:cs="Arial" w:eastAsia="Arial" w:hAnsi="Arial"/>
          <w:sz w:val="22"/>
          <w:szCs w:val="22"/>
        </w:rPr>
        <w:t xml:space="preserve">“Cross-Planetary Data Transfer” — while engaging, the title may undermine the paper’s credibility with skeptical reviewers. Consider “High-Latency Link Optimization” as an alternative framing.</w:t>
      </w:r>
    </w:p>
    <w:p>
      <w:pPr>
        <w:spacing w:after="160"/>
      </w:pPr>
      <w:r>
        <w:rPr>
          <w:rFonts w:ascii="Arial" w:cs="Arial" w:eastAsia="Arial" w:hAnsi="Arial"/>
          <w:b/>
          <w:bCs/>
          <w:sz w:val="22"/>
          <w:szCs w:val="22"/>
        </w:rPr>
        <w:t xml:space="preserve">References: </w:t>
      </w:r>
      <w:r>
        <w:rPr>
          <w:rFonts w:ascii="Arial" w:cs="Arial" w:eastAsia="Arial" w:hAnsi="Arial"/>
          <w:sz w:val="22"/>
          <w:szCs w:val="22"/>
        </w:rPr>
        <w:t xml:space="preserve">Reference [13] lists the publication date as 2014 but notes the project started in 2009. Clarify which date is being cited. Reference [2] cites Git by URL rather than by a published paper — consider citing Torvalds’s original design notes or a peer-reviewed retrospective.</w:t>
      </w:r>
    </w:p>
    <w:p>
      <w:pPr>
        <w:pStyle w:val="Heading1"/>
      </w:pPr>
      <w:r>
        <w:t xml:space="preserve">7. Summary Verdict</w:t>
      </w:r>
    </w:p>
    <w:p>
      <w:pPr>
        <w:pBdr>
          <w:top w:val="single" w:color="2C3E50" w:sz="2" w:space="8"/>
          <w:bottom w:val="single" w:color="2C3E50" w:sz="2" w:space="8"/>
        </w:pBdr>
        <w:spacing w:after="200"/>
      </w:pPr>
      <w:r>
        <w:rPr>
          <w:rFonts w:ascii="Arial" w:cs="Arial" w:eastAsia="Arial" w:hAnsi="Arial"/>
          <w:b/>
          <w:bCs/>
          <w:color w:val="1A3C5E"/>
          <w:sz w:val="24"/>
          <w:szCs w:val="24"/>
        </w:rPr>
        <w:t xml:space="preserve">RECOMMENDATION: Major revision required before publication or external distribution.</w:t>
      </w:r>
    </w:p>
    <w:p>
      <w:pPr>
        <w:spacing w:after="160"/>
      </w:pPr>
      <w:r>
        <w:rPr>
          <w:rFonts w:ascii="Arial" w:cs="Arial" w:eastAsia="Arial" w:hAnsi="Arial"/>
          <w:sz w:val="22"/>
          <w:szCs w:val="22"/>
        </w:rPr>
        <w:t xml:space="preserve">The whitepaper demonstrates strong technical foundations, rigorous formal analysis, and commendable intellectual honesty. The core insight — reframing distributed encrypted storage as a transfer primitive with O(1) sender-to-receiver overhead — is genuinely interesting and well-argued.</w:t>
      </w:r>
    </w:p>
    <w:p>
      <w:pPr>
        <w:spacing w:after="160"/>
      </w:pPr>
      <w:r>
        <w:rPr>
          <w:rFonts w:ascii="Arial" w:cs="Arial" w:eastAsia="Arial" w:hAnsi="Arial"/>
          <w:sz w:val="22"/>
          <w:szCs w:val="22"/>
        </w:rPr>
        <w:t xml:space="preserve">However, three critical issues must be resolved: (C1) the fragile AEAD nonce construction, (C2) the TCONF theorem’s gap between its formal game and the information actually available to an adversary via the public commitment log, and (C3) the unspecified ZK transfer mode. Additionally, the seven major issues identified above represent meaningful gaps in specification precision, operational realism, and formal rigor that would impede both peer evaluation and implementation.</w:t>
      </w:r>
    </w:p>
    <w:p>
      <w:pPr>
        <w:spacing w:after="160"/>
      </w:pPr>
      <w:r>
        <w:rPr>
          <w:rFonts w:ascii="Arial" w:cs="Arial" w:eastAsia="Arial" w:hAnsi="Arial"/>
          <w:sz w:val="22"/>
          <w:szCs w:val="22"/>
        </w:rPr>
        <w:t xml:space="preserve">With these revisions, the paper would be a strong candidate for a venue such as USENIX Security, NDSS, or IEEE S&amp;P (systems security track), or as a standalone protocol specification. The intellectual honesty and formal security analysis are already at or above the standard for protocol whitepapers in the distributed systems space.</w:t>
      </w:r>
    </w:p>
    <w:p>
      <w:pPr>
        <w:spacing w:after="200"/>
      </w:pPr>
    </w:p>
    <w:p>
      <w:pPr>
        <w:pBdr>
          <w:top w:val="single" w:color="2C3E50" w:sz="4" w:space="8"/>
        </w:pBdr>
        <w:spacing w:before="400"/>
      </w:pPr>
      <w:r>
        <w:rPr>
          <w:rFonts w:ascii="Arial" w:cs="Arial" w:eastAsia="Arial" w:hAnsi="Arial"/>
          <w:i/>
          <w:iCs/>
          <w:color w:val="888888"/>
          <w:sz w:val="20"/>
          <w:szCs w:val="20"/>
        </w:rPr>
        <w:t xml:space="preserve">End of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4"/>
      </w:pBdr>
      <w:jc w:val="right"/>
    </w:pPr>
    <w:r>
      <w:rPr>
        <w:rFonts w:ascii="Arial" w:cs="Arial" w:eastAsia="Arial" w:hAnsi="Arial"/>
        <w:i/>
        <w:iCs/>
        <w:color w:val="888888"/>
        <w:sz w:val="18"/>
        <w:szCs w:val="18"/>
      </w:rPr>
      <w:t xml:space="preserve">Formal Peer Review — LTP Whitepaper v0.1.0-draft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98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2026-03-04T00:42:52.576Z</dcterms:created>
  <dcterms:modified xsi:type="dcterms:W3CDTF">2026-03-04T00:42:52.577Z</dcterms:modified>
</cp:coreProperties>
</file>

<file path=docProps/custom.xml><?xml version="1.0" encoding="utf-8"?>
<Properties xmlns="http://schemas.openxmlformats.org/officeDocument/2006/custom-properties" xmlns:vt="http://schemas.openxmlformats.org/officeDocument/2006/docPropsVTypes"/>
</file>