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FORMAL REVIEW</w:t>
      </w:r>
    </w:p>
    <w:p>
      <w:pPr>
        <w:spacing w:after="80"/>
        <w:jc w:val="center"/>
      </w:pPr>
      <w:r>
        <w:rPr>
          <w:rFonts w:ascii="Arial" w:cs="Arial" w:eastAsia="Arial" w:hAnsi="Arial"/>
          <w:color w:val="2E75B6"/>
          <w:sz w:val="32"/>
          <w:szCs w:val="32"/>
        </w:rPr>
        <w:t xml:space="preserve">Lattice Transfer Protocol (LTP)</w:t>
      </w:r>
    </w:p>
    <w:p>
      <w:pPr>
        <w:spacing w:after="40"/>
        <w:jc w:val="center"/>
      </w:pPr>
      <w:r>
        <w:rPr>
          <w:rFonts w:ascii="Arial" w:cs="Arial" w:eastAsia="Arial" w:hAnsi="Arial"/>
          <w:i/>
          <w:iCs/>
          <w:color w:val="666666"/>
          <w:sz w:val="24"/>
          <w:szCs w:val="24"/>
        </w:rPr>
        <w:t xml:space="preserve">Whitepaper v0.1.0-draft</w:t>
      </w:r>
    </w:p>
    <w:p>
      <w:pPr>
        <w:pBdr>
          <w:bottom w:val="single" w:color="1B3A5C" w:sz="8" w:space="8"/>
        </w:pBdr>
        <w:spacing w:after="300"/>
        <w:jc w:val="center"/>
      </w:pPr>
      <w:r>
        <w:rPr>
          <w:rFonts w:ascii="Arial" w:cs="Arial" w:eastAsia="Arial" w:hAnsi="Arial"/>
          <w:color w:val="666666"/>
          <w:sz w:val="22"/>
          <w:szCs w:val="22"/>
        </w:rPr>
        <w:t xml:space="preserve">Review Date: 2026-03-04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Document Under Review</w:t>
            </w:r>
          </w:p>
        </w:tc>
        <w:tc>
          <w:tcPr>
            <w:tcW w:type="dxa" w:w="6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LTP: Lattice Transfer Protocol — Whitepaper v0.1.0-draft (2026-02-24)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Review 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2026-03-04</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Document Status</w:t>
            </w:r>
          </w:p>
        </w:tc>
        <w:tc>
          <w:tcPr>
            <w:tcW w:type="dxa" w:w="6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Exploratory Design</w:t>
            </w:r>
          </w:p>
        </w:tc>
      </w:tr>
    </w:tbl>
    <w:p>
      <w:pPr>
        <w:spacing w:after="200"/>
      </w:pPr>
    </w:p>
    <w:p>
      <w:pPr>
        <w:pStyle w:val="Heading1"/>
        <w:pBdr>
          <w:bottom w:val="single" w:color="2E75B6" w:sz="6" w:space="4"/>
        </w:pBdr>
        <w:spacing w:before="360" w:after="200"/>
      </w:pPr>
      <w:r>
        <w:rPr>
          <w:rFonts w:ascii="Arial" w:cs="Arial" w:eastAsia="Arial" w:hAnsi="Arial"/>
          <w:b/>
          <w:bCs/>
          <w:color w:val="1B3A5C"/>
          <w:sz w:val="32"/>
          <w:szCs w:val="32"/>
        </w:rPr>
        <w:t xml:space="preserve">1. Executive Summary</w:t>
      </w:r>
    </w:p>
    <w:p>
      <w:pPr>
        <w:spacing w:after="160" w:line="276"/>
      </w:pPr>
      <w:r>
        <w:rPr>
          <w:rFonts w:ascii="Arial" w:cs="Arial" w:eastAsia="Arial" w:hAnsi="Arial"/>
          <w:sz w:val="22"/>
          <w:szCs w:val="22"/>
        </w:rPr>
        <w:t xml:space="preserve">This review evaluates the Lattice Transfer Protocol (LTP) whitepaper, which proposes an alternative data transfer paradigm built on content-addressed storage, erasure coding, post-quantum cryptography, and capability-based access control. Rather than transmitting payloads directly from sender to receiver, LTP introduces a three-phase model—commit, lattice, materialize—in which the sender commits encrypted shards to a distributed network, transmits a constant-size cryptographic key to the receiver, and the receiver reconstructs the entity from nearby nodes.</w:t>
      </w:r>
    </w:p>
    <w:p>
      <w:pPr>
        <w:spacing w:after="160" w:line="276"/>
      </w:pPr>
      <w:r>
        <w:rPr>
          <w:rFonts w:ascii="Arial" w:cs="Arial" w:eastAsia="Arial" w:hAnsi="Arial"/>
          <w:sz w:val="22"/>
          <w:szCs w:val="22"/>
        </w:rPr>
        <w:t xml:space="preserve">The whitepaper is an ambitious, technically rigorous document that demonstrates strong command of the underlying cryptographic and distributed systems literature. Its most notable quality is its intellectual honesty: the authors consistently identify limitations, acknowledge prior art, and avoid overclaiming. However, the paper also exhibits structural redundancy, leaves several critical design choices underspecified, and would benefit from tighter scoping of its formal security analysis. This review provides a detailed assessment of the whitepaper’s strengths, weaknesses, technical concerns, and editorial recommendations.</w:t>
      </w:r>
    </w:p>
    <w:p>
      <w:pPr>
        <w:pStyle w:val="Heading1"/>
        <w:pBdr>
          <w:bottom w:val="single" w:color="2E75B6" w:sz="6" w:space="4"/>
        </w:pBdr>
        <w:spacing w:before="360" w:after="200"/>
      </w:pPr>
      <w:r>
        <w:rPr>
          <w:rFonts w:ascii="Arial" w:cs="Arial" w:eastAsia="Arial" w:hAnsi="Arial"/>
          <w:b/>
          <w:bCs/>
          <w:color w:val="1B3A5C"/>
          <w:sz w:val="32"/>
          <w:szCs w:val="32"/>
        </w:rPr>
        <w:t xml:space="preserve">2. Overall Assessment</w:t>
      </w:r>
    </w:p>
    <w:p>
      <w:pPr>
        <w:spacing w:after="160" w:line="276"/>
      </w:pPr>
      <w:r>
        <w:rPr>
          <w:rFonts w:ascii="Arial" w:cs="Arial" w:eastAsia="Arial" w:hAnsi="Arial"/>
          <w:b/>
          <w:bCs/>
          <w:sz w:val="22"/>
          <w:szCs w:val="22"/>
        </w:rPr>
        <w:t xml:space="preserve">Verdict: Promising but early-stage. </w:t>
      </w:r>
      <w:r>
        <w:rPr>
          <w:rFonts w:ascii="Arial" w:cs="Arial" w:eastAsia="Arial" w:hAnsi="Arial"/>
          <w:sz w:val="22"/>
          <w:szCs w:val="22"/>
        </w:rPr>
        <w:t xml:space="preserve">The core idea—reframing distributed encrypted storage as a transfer protocol with a constant-size sender-to-receiver path—is well-motivated and clearly articulated. The formal security analysis is notably more rigorous than most protocol whitepapers at this stage. However, LTP’s practical viability rests on infrastructure assumptions (a well-provisioned, geographically distributed commitment network) that are not yet validated, and several protocol components remain at the interface-definition level rather than the specification level.</w:t>
      </w:r>
    </w:p>
    <w:p>
      <w:pPr>
        <w:spacing w:after="160" w:line="276"/>
      </w:pPr>
      <w:r>
        <w:rPr>
          <w:rFonts w:ascii="Arial" w:cs="Arial" w:eastAsia="Arial" w:hAnsi="Arial"/>
          <w:sz w:val="22"/>
          <w:szCs w:val="22"/>
        </w:rPr>
        <w:t xml:space="preserve">The whitepaper would benefit from a clearer separation between what is specified versus what is deferred, and from a more concise presentation that eliminates the significant amount of restated material across sections.</w:t>
      </w:r>
    </w:p>
    <w:p>
      <w:pPr>
        <w:pStyle w:val="Heading1"/>
        <w:pBdr>
          <w:bottom w:val="single" w:color="2E75B6" w:sz="6" w:space="4"/>
        </w:pBdr>
        <w:spacing w:before="360" w:after="200"/>
      </w:pPr>
      <w:r>
        <w:rPr>
          <w:rFonts w:ascii="Arial" w:cs="Arial" w:eastAsia="Arial" w:hAnsi="Arial"/>
          <w:b/>
          <w:bCs/>
          <w:color w:val="1B3A5C"/>
          <w:sz w:val="32"/>
          <w:szCs w:val="32"/>
        </w:rPr>
        <w:t xml:space="preserve">3. Strengths</w:t>
      </w:r>
    </w:p>
    <w:p>
      <w:pPr>
        <w:pStyle w:val="Heading2"/>
        <w:spacing w:before="280" w:after="160"/>
      </w:pPr>
      <w:r>
        <w:rPr>
          <w:rFonts w:ascii="Arial" w:cs="Arial" w:eastAsia="Arial" w:hAnsi="Arial"/>
          <w:b/>
          <w:bCs/>
          <w:color w:val="2E75B6"/>
          <w:sz w:val="26"/>
          <w:szCs w:val="26"/>
        </w:rPr>
        <w:t xml:space="preserve">3.1 Intellectual Honesty and Self-Awareness</w:t>
      </w:r>
    </w:p>
    <w:p>
      <w:pPr>
        <w:spacing w:after="160" w:line="276"/>
      </w:pPr>
      <w:r>
        <w:rPr>
          <w:rFonts w:ascii="Arial" w:cs="Arial" w:eastAsia="Arial" w:hAnsi="Arial"/>
          <w:sz w:val="22"/>
          <w:szCs w:val="22"/>
        </w:rPr>
        <w:t xml:space="preserve">This is the whitepaper’s single greatest asset. The authors do not shy away from identifying where LTP underperforms direct transfer (single-transfer bandwidth is r+1 times worse), where security guarantees are conditional (the append-only log assumption), or where individual components are not novel (Section 8.7 explicitly states that LTP’s components are drawn from prior art). The “What Cannot Be Formally Proven” table in Section 3.3.7 and the “Where LTP Loses Honestly” list in Section 6.4 are unusually candid for a protocol whitepaper and lend significant credibility to the document.</w:t>
      </w:r>
    </w:p>
    <w:p>
      <w:pPr>
        <w:pStyle w:val="Heading2"/>
        <w:spacing w:before="280" w:after="160"/>
      </w:pPr>
      <w:r>
        <w:rPr>
          <w:rFonts w:ascii="Arial" w:cs="Arial" w:eastAsia="Arial" w:hAnsi="Arial"/>
          <w:b/>
          <w:bCs/>
          <w:color w:val="2E75B6"/>
          <w:sz w:val="26"/>
          <w:szCs w:val="26"/>
        </w:rPr>
        <w:t xml:space="preserve">3.2 Rigorous Formal Security Analysis</w:t>
      </w:r>
    </w:p>
    <w:p>
      <w:pPr>
        <w:spacing w:after="160" w:line="276"/>
      </w:pPr>
      <w:r>
        <w:rPr>
          <w:rFonts w:ascii="Arial" w:cs="Arial" w:eastAsia="Arial" w:hAnsi="Arial"/>
          <w:sz w:val="22"/>
          <w:szCs w:val="22"/>
        </w:rPr>
        <w:t xml:space="preserve">Section 3.3 provides game-based security definitions and reductions for five core properties: entity immutability, shard integrity, transfer confidentiality, non-repudiation, and transfer immutability. The proofs follow standard cryptographic conventions (Bellare-Rogaway notation, advantage bounding, game-hopping), and the composite Transfer Immutability theorem (Theorem 8) correctly chains four independent cryptographic assumptions. The honest treatment of the TCONF limitation—acknowledging that EntityID fingerprinting gives an adversary advantage 1 for low-entropy entities—is exemplary.</w:t>
      </w:r>
    </w:p>
    <w:p>
      <w:pPr>
        <w:pStyle w:val="Heading2"/>
        <w:spacing w:before="280" w:after="160"/>
      </w:pPr>
      <w:r>
        <w:rPr>
          <w:rFonts w:ascii="Arial" w:cs="Arial" w:eastAsia="Arial" w:hAnsi="Arial"/>
          <w:b/>
          <w:bCs/>
          <w:color w:val="2E75B6"/>
          <w:sz w:val="26"/>
          <w:szCs w:val="26"/>
        </w:rPr>
        <w:t xml:space="preserve">3.3 Post-Quantum Security as Default</w:t>
      </w:r>
    </w:p>
    <w:p>
      <w:pPr>
        <w:spacing w:after="160" w:line="276"/>
      </w:pPr>
      <w:r>
        <w:rPr>
          <w:rFonts w:ascii="Arial" w:cs="Arial" w:eastAsia="Arial" w:hAnsi="Arial"/>
          <w:sz w:val="22"/>
          <w:szCs w:val="22"/>
        </w:rPr>
        <w:t xml:space="preserve">LTP’s decision to use ML-KEM-768 and ML-DSA-65 as default primitives (rather than offering them as optional upgrades) is forward-looking. The explicit exclusion of X25519 and Ed25519 from the protocol removes the risk of classical-only fallback paths that often undermine post-quantum migration efforts in practice.</w:t>
      </w:r>
    </w:p>
    <w:p>
      <w:pPr>
        <w:pStyle w:val="Heading2"/>
        <w:spacing w:before="280" w:after="160"/>
      </w:pPr>
      <w:r>
        <w:rPr>
          <w:rFonts w:ascii="Arial" w:cs="Arial" w:eastAsia="Arial" w:hAnsi="Arial"/>
          <w:b/>
          <w:bCs/>
          <w:color w:val="2E75B6"/>
          <w:sz w:val="26"/>
          <w:szCs w:val="26"/>
        </w:rPr>
        <w:t xml:space="preserve">3.4 Thorough Prior Art Discussion</w:t>
      </w:r>
    </w:p>
    <w:p>
      <w:pPr>
        <w:spacing w:after="160" w:line="276"/>
      </w:pPr>
      <w:r>
        <w:rPr>
          <w:rFonts w:ascii="Arial" w:cs="Arial" w:eastAsia="Arial" w:hAnsi="Arial"/>
          <w:sz w:val="22"/>
          <w:szCs w:val="22"/>
        </w:rPr>
        <w:t xml:space="preserve">Section 8 provides an honest and detailed comparison with IPFS, Tahoe-LAFS, Storj, Filecoin, BitTorrent, NDN, Certificate Transparency, and others. The “What LTP borrows” and “Where LTP diverges” structure for each system is effective and transparent.</w:t>
      </w:r>
    </w:p>
    <w:p>
      <w:pPr>
        <w:pStyle w:val="Heading2"/>
        <w:spacing w:before="280" w:after="160"/>
      </w:pPr>
      <w:r>
        <w:rPr>
          <w:rFonts w:ascii="Arial" w:cs="Arial" w:eastAsia="Arial" w:hAnsi="Arial"/>
          <w:b/>
          <w:bCs/>
          <w:color w:val="2E75B6"/>
          <w:sz w:val="26"/>
          <w:szCs w:val="26"/>
        </w:rPr>
        <w:t xml:space="preserve">3.5 Well-Defined Interoperability Constraints</w:t>
      </w:r>
    </w:p>
    <w:p>
      <w:pPr>
        <w:spacing w:after="160" w:line="276"/>
      </w:pPr>
      <w:r>
        <w:rPr>
          <w:rFonts w:ascii="Arial" w:cs="Arial" w:eastAsia="Arial" w:hAnsi="Arial"/>
          <w:sz w:val="22"/>
          <w:szCs w:val="22"/>
        </w:rPr>
        <w:t xml:space="preserve">The Reed-Solomon canonical parameters table, the interoperability test vector in Section 2.1.1, and the shape canonicalization rules in Section 1.1.1 all demonstrate an awareness that protocol specifications must be precise enough for independent implementations to produce identical outputs. This level of detail is often missing from early-stage whitepapers.</w:t>
      </w:r>
    </w:p>
    <w:p>
      <w:pPr>
        <w:pStyle w:val="Heading1"/>
        <w:pBdr>
          <w:bottom w:val="single" w:color="2E75B6" w:sz="6" w:space="4"/>
        </w:pBdr>
        <w:spacing w:before="360" w:after="200"/>
      </w:pPr>
      <w:r>
        <w:rPr>
          <w:rFonts w:ascii="Arial" w:cs="Arial" w:eastAsia="Arial" w:hAnsi="Arial"/>
          <w:b/>
          <w:bCs/>
          <w:color w:val="1B3A5C"/>
          <w:sz w:val="32"/>
          <w:szCs w:val="32"/>
        </w:rPr>
        <w:t xml:space="preserve">4. Weaknesses and Areas for Improvement</w:t>
      </w:r>
    </w:p>
    <w:p>
      <w:pPr>
        <w:pStyle w:val="Heading2"/>
        <w:spacing w:before="280" w:after="160"/>
      </w:pPr>
      <w:r>
        <w:rPr>
          <w:rFonts w:ascii="Arial" w:cs="Arial" w:eastAsia="Arial" w:hAnsi="Arial"/>
          <w:b/>
          <w:bCs/>
          <w:color w:val="2E75B6"/>
          <w:sz w:val="26"/>
          <w:szCs w:val="26"/>
        </w:rPr>
        <w:t xml:space="preserve">4.1 Structural Redundancy</w:t>
      </w:r>
    </w:p>
    <w:p>
      <w:pPr>
        <w:spacing w:after="160" w:line="276"/>
      </w:pPr>
      <w:r>
        <w:rPr>
          <w:rFonts w:ascii="Arial" w:cs="Arial" w:eastAsia="Arial" w:hAnsi="Arial"/>
          <w:sz w:val="22"/>
          <w:szCs w:val="22"/>
        </w:rPr>
        <w:t xml:space="preserve">The whitepaper suffers from significant repetition. The immutability guarantee is explained in the Abstract, restated in Section 2 (three-phase description), formally proved in Section 3.3 (Theorems 1 and 8), restated in prose in Section 4, and referenced again in Section 5.4.3 and the Conclusion. While some repetition is expected for accessibility, the current level introduces confusion about which section is authoritative. Recommendation: designate Section 3.3 as the single authoritative security section and reduce Sections 4 and parts of the Conclusion to brief cross-references.</w:t>
      </w:r>
    </w:p>
    <w:p>
      <w:pPr>
        <w:pStyle w:val="Heading2"/>
        <w:spacing w:before="280" w:after="160"/>
      </w:pPr>
      <w:r>
        <w:rPr>
          <w:rFonts w:ascii="Arial" w:cs="Arial" w:eastAsia="Arial" w:hAnsi="Arial"/>
          <w:b/>
          <w:bCs/>
          <w:color w:val="2E75B6"/>
          <w:sz w:val="26"/>
          <w:szCs w:val="26"/>
        </w:rPr>
        <w:t xml:space="preserve">4.2 Underspecified Components</w:t>
      </w:r>
    </w:p>
    <w:p>
      <w:pPr>
        <w:spacing w:after="160" w:line="276"/>
      </w:pPr>
      <w:r>
        <w:rPr>
          <w:rFonts w:ascii="Arial" w:cs="Arial" w:eastAsia="Arial" w:hAnsi="Arial"/>
          <w:sz w:val="22"/>
          <w:szCs w:val="22"/>
        </w:rPr>
        <w:t xml:space="preserve">Several critical protocol aspects are defined only as interfaces without sufficient guidance for implementers:</w:t>
      </w:r>
    </w:p>
    <w:p>
      <w:pPr>
        <w:pStyle w:val="ListParagraph"/>
        <w:numPr>
          <w:ilvl w:val="0"/>
          <w:numId w:val="2"/>
        </w:numPr>
        <w:spacing w:after="100" w:line="276"/>
      </w:pPr>
      <w:r>
        <w:rPr>
          <w:rFonts w:ascii="Arial" w:cs="Arial" w:eastAsia="Arial" w:hAnsi="Arial"/>
          <w:b/>
          <w:bCs/>
          <w:sz w:val="22"/>
          <w:szCs w:val="22"/>
        </w:rPr>
        <w:t xml:space="preserve">Commitment log consensus (§3.1): </w:t>
      </w:r>
      <w:r>
        <w:rPr>
          <w:rFonts w:ascii="Arial" w:cs="Arial" w:eastAsia="Arial" w:hAnsi="Arial"/>
          <w:sz w:val="22"/>
          <w:szCs w:val="22"/>
        </w:rPr>
        <w:t xml:space="preserve">The paper provides four possible trust tiers without recommending a default or specifying minimum requirements for conformance. An implementer reading this section cannot determine what they must build.</w:t>
      </w:r>
    </w:p>
    <w:p>
      <w:pPr>
        <w:pStyle w:val="ListParagraph"/>
        <w:numPr>
          <w:ilvl w:val="0"/>
          <w:numId w:val="2"/>
        </w:numPr>
        <w:spacing w:after="100" w:line="276"/>
      </w:pPr>
      <w:r>
        <w:rPr>
          <w:rFonts w:ascii="Arial" w:cs="Arial" w:eastAsia="Arial" w:hAnsi="Arial"/>
          <w:b/>
          <w:bCs/>
          <w:sz w:val="22"/>
          <w:szCs w:val="22"/>
        </w:rPr>
        <w:t xml:space="preserve">Network economics (§5.5): </w:t>
      </w:r>
      <w:r>
        <w:rPr>
          <w:rFonts w:ascii="Arial" w:cs="Arial" w:eastAsia="Arial" w:hAnsi="Arial"/>
          <w:sz w:val="22"/>
          <w:szCs w:val="22"/>
        </w:rPr>
        <w:t xml:space="preserve">The three interfaces (NodeIncentive, CommitmentPricing, AdmissionControl) are helpful abstractions, but the paper provides no reference implementation or even a minimal viable economic model.</w:t>
      </w:r>
    </w:p>
    <w:p>
      <w:pPr>
        <w:pStyle w:val="ListParagraph"/>
        <w:numPr>
          <w:ilvl w:val="0"/>
          <w:numId w:val="2"/>
        </w:numPr>
        <w:spacing w:after="100" w:line="276"/>
      </w:pPr>
      <w:r>
        <w:rPr>
          <w:rFonts w:ascii="Arial" w:cs="Arial" w:eastAsia="Arial" w:hAnsi="Arial"/>
          <w:b/>
          <w:bCs/>
          <w:sz w:val="22"/>
          <w:szCs w:val="22"/>
        </w:rPr>
        <w:t xml:space="preserve">Access policy (§2.2.1): </w:t>
      </w:r>
      <w:r>
        <w:rPr>
          <w:rFonts w:ascii="Arial" w:cs="Arial" w:eastAsia="Arial" w:hAnsi="Arial"/>
          <w:sz w:val="22"/>
          <w:szCs w:val="22"/>
        </w:rPr>
        <w:t xml:space="preserve">The lattice key includes an “access_policy” field described as “~20-50 bytes — materialization rules,” but the policy language, enforcement mechanism, and semantics are never specified.</w:t>
      </w:r>
    </w:p>
    <w:p>
      <w:pPr>
        <w:pStyle w:val="Heading2"/>
        <w:spacing w:before="280" w:after="160"/>
      </w:pPr>
      <w:r>
        <w:rPr>
          <w:rFonts w:ascii="Arial" w:cs="Arial" w:eastAsia="Arial" w:hAnsi="Arial"/>
          <w:b/>
          <w:bCs/>
          <w:color w:val="2E75B6"/>
          <w:sz w:val="26"/>
          <w:szCs w:val="26"/>
        </w:rPr>
        <w:t xml:space="preserve">4.3 The Deduplication Problem Is Understated</w:t>
      </w:r>
    </w:p>
    <w:p>
      <w:pPr>
        <w:spacing w:after="160" w:line="276"/>
      </w:pPr>
      <w:r>
        <w:rPr>
          <w:rFonts w:ascii="Arial" w:cs="Arial" w:eastAsia="Arial" w:hAnsi="Arial"/>
          <w:sz w:val="22"/>
          <w:szCs w:val="22"/>
        </w:rPr>
        <w:t xml:space="preserve">Section 1.2 acknowledges that identical content committed at different logical times produces different EntityIDs and distinct shard sets, with storage costs accumulating linearly. The optional ContentHash mechanism is offered as a mitigation but comes with a privacy tradeoff. However, for many practical workloads (version control, incremental backups, collaborative editing), the lack of deduplication would be a serious efficiency concern. The paper would benefit from a more thorough analysis of storage cost implications for these use cases.</w:t>
      </w:r>
    </w:p>
    <w:p>
      <w:pPr>
        <w:pStyle w:val="Heading2"/>
        <w:spacing w:before="280" w:after="160"/>
      </w:pPr>
      <w:r>
        <w:rPr>
          <w:rFonts w:ascii="Arial" w:cs="Arial" w:eastAsia="Arial" w:hAnsi="Arial"/>
          <w:b/>
          <w:bCs/>
          <w:color w:val="2E75B6"/>
          <w:sz w:val="26"/>
          <w:szCs w:val="26"/>
        </w:rPr>
        <w:t xml:space="preserve">4.4 Availability Assumptions Are Optimistic</w:t>
      </w:r>
    </w:p>
    <w:p>
      <w:pPr>
        <w:spacing w:after="160" w:line="276"/>
      </w:pPr>
      <w:r>
        <w:rPr>
          <w:rFonts w:ascii="Arial" w:cs="Arial" w:eastAsia="Arial" w:hAnsi="Arial"/>
          <w:sz w:val="22"/>
          <w:szCs w:val="22"/>
        </w:rPr>
        <w:t xml:space="preserve">The availability model in Section 5.4.1 provides impressive numbers (nine nines with cross-region replication), but the correlated failure model still assumes that domain-level failures are independent across regions. In practice, correlated failures often span regions (global cloud provider outages, coordinated attacks, software bugs affecting all nodes running the same implementation). The paper should discuss common-cause failures and software monoculture risk more explicitly.</w:t>
      </w:r>
    </w:p>
    <w:p>
      <w:pPr>
        <w:pStyle w:val="Heading2"/>
        <w:spacing w:before="280" w:after="160"/>
      </w:pPr>
      <w:r>
        <w:rPr>
          <w:rFonts w:ascii="Arial" w:cs="Arial" w:eastAsia="Arial" w:hAnsi="Arial"/>
          <w:b/>
          <w:bCs/>
          <w:color w:val="2E75B6"/>
          <w:sz w:val="26"/>
          <w:szCs w:val="26"/>
        </w:rPr>
        <w:t xml:space="preserve">4.5 ZK Mode’s Post-Quantum Gap</w:t>
      </w:r>
    </w:p>
    <w:p>
      <w:pPr>
        <w:spacing w:after="160" w:line="276"/>
      </w:pPr>
      <w:r>
        <w:rPr>
          <w:rFonts w:ascii="Arial" w:cs="Arial" w:eastAsia="Arial" w:hAnsi="Arial"/>
          <w:sz w:val="22"/>
          <w:szCs w:val="22"/>
        </w:rPr>
        <w:t xml:space="preserve">Section 3.2.4 honestly acknowledges that ZK mode (Groth16 over BLS12-381) does not provide quantum-resistant hiding, since elliptic curve pairings are vulnerable to Shor’s algorithm. This creates an asymmetry in the protocol’s security posture: the standard mode is fully post-quantum, but the privacy-enhanced mode is not. Given LTP’s stated commitment to post-quantum security as a default, this gap deserves more prominent treatment—perhaps even a warning in the Abstract or the comparison table in Section 7.</w:t>
      </w:r>
    </w:p>
    <w:p>
      <w:pPr>
        <w:pStyle w:val="Heading2"/>
        <w:spacing w:before="280" w:after="160"/>
      </w:pPr>
      <w:r>
        <w:rPr>
          <w:rFonts w:ascii="Arial" w:cs="Arial" w:eastAsia="Arial" w:hAnsi="Arial"/>
          <w:b/>
          <w:bCs/>
          <w:color w:val="2E75B6"/>
          <w:sz w:val="26"/>
          <w:szCs w:val="26"/>
        </w:rPr>
        <w:t xml:space="preserve">4.6 Missing Performance Benchmarks</w:t>
      </w:r>
    </w:p>
    <w:p>
      <w:pPr>
        <w:spacing w:after="160" w:line="276"/>
      </w:pPr>
      <w:r>
        <w:rPr>
          <w:rFonts w:ascii="Arial" w:cs="Arial" w:eastAsia="Arial" w:hAnsi="Arial"/>
          <w:sz w:val="22"/>
          <w:szCs w:val="22"/>
        </w:rPr>
        <w:t xml:space="preserve">The paper includes performance estimates for ZK proof generation (500ms–2s CPU) and the formal cost model (Section 6.4), but no empirical benchmarks for the protocol as a whole. Even rough prototype measurements for commit throughput, materialization latency, and shard fetch parallelism efficiency (the α parameter) would significantly strengthen the practical claims.</w:t>
      </w:r>
    </w:p>
    <w:p>
      <w:r>
        <w:br w:type="page"/>
      </w:r>
    </w:p>
    <w:p>
      <w:pPr>
        <w:pStyle w:val="Heading1"/>
        <w:pBdr>
          <w:bottom w:val="single" w:color="2E75B6" w:sz="6" w:space="4"/>
        </w:pBdr>
        <w:spacing w:before="360" w:after="200"/>
      </w:pPr>
      <w:r>
        <w:rPr>
          <w:rFonts w:ascii="Arial" w:cs="Arial" w:eastAsia="Arial" w:hAnsi="Arial"/>
          <w:b/>
          <w:bCs/>
          <w:color w:val="1B3A5C"/>
          <w:sz w:val="32"/>
          <w:szCs w:val="32"/>
        </w:rPr>
        <w:t xml:space="preserve">5. Technical Observations</w:t>
      </w:r>
    </w:p>
    <w:p>
      <w:pPr>
        <w:pStyle w:val="Heading2"/>
        <w:spacing w:before="280" w:after="160"/>
      </w:pPr>
      <w:r>
        <w:rPr>
          <w:rFonts w:ascii="Arial" w:cs="Arial" w:eastAsia="Arial" w:hAnsi="Arial"/>
          <w:b/>
          <w:bCs/>
          <w:color w:val="2E75B6"/>
          <w:sz w:val="26"/>
          <w:szCs w:val="26"/>
        </w:rPr>
        <w:t xml:space="preserve">5.1 EntityID Construction</w:t>
      </w:r>
    </w:p>
    <w:p>
      <w:pPr>
        <w:spacing w:after="160" w:line="276"/>
      </w:pPr>
      <w:r>
        <w:rPr>
          <w:rFonts w:ascii="Arial" w:cs="Arial" w:eastAsia="Arial" w:hAnsi="Arial"/>
          <w:sz w:val="22"/>
          <w:szCs w:val="22"/>
        </w:rPr>
        <w:t xml:space="preserve">The EntityID formula H(content || shape || timestamp || sender_pubkey) includes a logical timestamp and sender public key, which ensures uniqueness across time and identity but prevents content-level deduplication at the protocol layer. This is a deliberate design choice, but the paper should more explicitly discuss the tradeoff space: systems like IPFS and Git use content-only hashing precisely because deduplication is a primary goal. LTP sacrifices this for immutability and provenance, which is defensible but should be framed as a conscious tradeoff rather than an incidental consequence.</w:t>
      </w:r>
    </w:p>
    <w:p>
      <w:pPr>
        <w:pStyle w:val="Heading2"/>
        <w:spacing w:before="280" w:after="160"/>
      </w:pPr>
      <w:r>
        <w:rPr>
          <w:rFonts w:ascii="Arial" w:cs="Arial" w:eastAsia="Arial" w:hAnsi="Arial"/>
          <w:b/>
          <w:bCs/>
          <w:color w:val="2E75B6"/>
          <w:sz w:val="26"/>
          <w:szCs w:val="26"/>
        </w:rPr>
        <w:t xml:space="preserve">5.2 Nonce Derivation Scheme</w:t>
      </w:r>
    </w:p>
    <w:p>
      <w:pPr>
        <w:spacing w:after="160" w:line="276"/>
      </w:pPr>
      <w:r>
        <w:rPr>
          <w:rFonts w:ascii="Arial" w:cs="Arial" w:eastAsia="Arial" w:hAnsi="Arial"/>
          <w:sz w:val="22"/>
          <w:szCs w:val="22"/>
        </w:rPr>
        <w:t xml:space="preserve">The nonce derivation nonce_i = H(CEK || entity_id || shard_index)[:nonce_len] is well-designed and provides defense-in-depth against CSPRNG failures. The analysis of CEK reuse scenarios is thorough. One minor observation: the truncation of the hash output to nonce_len bytes (e.g., 12 bytes for AES-256-GCM) discards entropy but this is standard practice and does not weaken the construction given the collision resistance of the underlying hash.</w:t>
      </w:r>
    </w:p>
    <w:p>
      <w:pPr>
        <w:pStyle w:val="Heading2"/>
        <w:spacing w:before="280" w:after="160"/>
      </w:pPr>
      <w:r>
        <w:rPr>
          <w:rFonts w:ascii="Arial" w:cs="Arial" w:eastAsia="Arial" w:hAnsi="Arial"/>
          <w:b/>
          <w:bCs/>
          <w:color w:val="2E75B6"/>
          <w:sz w:val="26"/>
          <w:szCs w:val="26"/>
        </w:rPr>
        <w:t xml:space="preserve">5.3 Storage Proof Limitations</w:t>
      </w:r>
    </w:p>
    <w:p>
      <w:pPr>
        <w:spacing w:after="160" w:line="276"/>
      </w:pPr>
      <w:r>
        <w:rPr>
          <w:rFonts w:ascii="Arial" w:cs="Arial" w:eastAsia="Arial" w:hAnsi="Arial"/>
          <w:sz w:val="22"/>
          <w:szCs w:val="22"/>
        </w:rPr>
        <w:t xml:space="preserve">The paper is commendably honest about the limitations of time-bounded challenge-response storage proofs (Section 5.2.2), noting that they are a statistical deterrent rather than a cryptographic guarantee. However, the calibration guidance for the time bound T is operationally complex (requiring continuous RTT measurement, adaptive bounds, and weekly re-evaluation). In practice, this complexity may lead to either overly conservative bounds (causing false positives that evict honest nodes) or overly permissive bounds (allowing outsourcing to go undetected). A simpler, more robust default would be valuable.</w:t>
      </w:r>
    </w:p>
    <w:p>
      <w:pPr>
        <w:pStyle w:val="Heading2"/>
        <w:spacing w:before="280" w:after="160"/>
      </w:pPr>
      <w:r>
        <w:rPr>
          <w:rFonts w:ascii="Arial" w:cs="Arial" w:eastAsia="Arial" w:hAnsi="Arial"/>
          <w:b/>
          <w:bCs/>
          <w:color w:val="2E75B6"/>
          <w:sz w:val="26"/>
          <w:szCs w:val="26"/>
        </w:rPr>
        <w:t xml:space="preserve">5.4 Theorem Numbering</w:t>
      </w:r>
    </w:p>
    <w:p>
      <w:pPr>
        <w:spacing w:after="160" w:line="276"/>
      </w:pPr>
      <w:r>
        <w:rPr>
          <w:rFonts w:ascii="Arial" w:cs="Arial" w:eastAsia="Arial" w:hAnsi="Arial"/>
          <w:sz w:val="22"/>
          <w:szCs w:val="22"/>
        </w:rPr>
        <w:t xml:space="preserve">There is a numbering inconsistency in the formal security section. The theorems are numbered 3 through 8, but the prose in Section 4 references “Theorems 1–8” and introduces “Theorem 1 (Immutability)” and “Theorem 2 (Availability Boundary)” that appear to be separate from the game-based theorems in Section 3.3. This creates confusion about whether Theorems 1–2 are informal restatements or distinct formal results. Recommendation: unify the numbering under a single sequence.</w:t>
      </w:r>
    </w:p>
    <w:p>
      <w:pPr>
        <w:pStyle w:val="Heading2"/>
        <w:spacing w:before="280" w:after="160"/>
      </w:pPr>
      <w:r>
        <w:rPr>
          <w:rFonts w:ascii="Arial" w:cs="Arial" w:eastAsia="Arial" w:hAnsi="Arial"/>
          <w:b/>
          <w:bCs/>
          <w:color w:val="2E75B6"/>
          <w:sz w:val="26"/>
          <w:szCs w:val="26"/>
        </w:rPr>
        <w:t xml:space="preserve">5.5 The Mars Thought Experiment</w:t>
      </w:r>
    </w:p>
    <w:p>
      <w:pPr>
        <w:spacing w:after="160" w:line="276"/>
      </w:pPr>
      <w:r>
        <w:rPr>
          <w:rFonts w:ascii="Arial" w:cs="Arial" w:eastAsia="Arial" w:hAnsi="Arial"/>
          <w:sz w:val="22"/>
          <w:szCs w:val="22"/>
        </w:rPr>
        <w:t xml:space="preserve">Section 9.5 (High-Latency Link Optimization) is well-labeled as a thought experiment and includes appropriate caveats. However, its inclusion in a formal whitepaper is unusual and may invite criticism. The same properties (sender-independence and geographic optimization) are already demonstrated by the more grounded examples in Sections 9.1–9.4. Consider moving this to an appendix or a separate document to maintain the whitepaper’s technical focus.</w:t>
      </w:r>
    </w:p>
    <w:p>
      <w:pPr>
        <w:pStyle w:val="Heading1"/>
        <w:pBdr>
          <w:bottom w:val="single" w:color="2E75B6" w:sz="6" w:space="4"/>
        </w:pBdr>
        <w:spacing w:before="360" w:after="200"/>
      </w:pPr>
      <w:r>
        <w:rPr>
          <w:rFonts w:ascii="Arial" w:cs="Arial" w:eastAsia="Arial" w:hAnsi="Arial"/>
          <w:b/>
          <w:bCs/>
          <w:color w:val="1B3A5C"/>
          <w:sz w:val="32"/>
          <w:szCs w:val="32"/>
        </w:rPr>
        <w:t xml:space="preserve">6. Editorial and Structural Recommendations</w:t>
      </w:r>
    </w:p>
    <w:p>
      <w:pPr>
        <w:pStyle w:val="ListParagraph"/>
        <w:numPr>
          <w:ilvl w:val="0"/>
          <w:numId w:val="3"/>
        </w:numPr>
        <w:spacing w:after="100" w:line="276"/>
      </w:pPr>
      <w:r>
        <w:rPr>
          <w:rFonts w:ascii="Arial" w:cs="Arial" w:eastAsia="Arial" w:hAnsi="Arial"/>
          <w:b/>
          <w:bCs/>
          <w:sz w:val="22"/>
          <w:szCs w:val="22"/>
        </w:rPr>
        <w:t xml:space="preserve">Reduce repetition: </w:t>
      </w:r>
      <w:r>
        <w:rPr>
          <w:rFonts w:ascii="Arial" w:cs="Arial" w:eastAsia="Arial" w:hAnsi="Arial"/>
          <w:sz w:val="22"/>
          <w:szCs w:val="22"/>
        </w:rPr>
        <w:t xml:space="preserve">The immutability and bottleneck-relocation arguments are each made at least five times. A single, definitive treatment with forward references would reduce length and improve clarity.</w:t>
      </w:r>
    </w:p>
    <w:p>
      <w:pPr>
        <w:pStyle w:val="ListParagraph"/>
        <w:numPr>
          <w:ilvl w:val="0"/>
          <w:numId w:val="3"/>
        </w:numPr>
        <w:spacing w:after="100" w:line="276"/>
      </w:pPr>
      <w:r>
        <w:rPr>
          <w:rFonts w:ascii="Arial" w:cs="Arial" w:eastAsia="Arial" w:hAnsi="Arial"/>
          <w:b/>
          <w:bCs/>
          <w:sz w:val="22"/>
          <w:szCs w:val="22"/>
        </w:rPr>
        <w:t xml:space="preserve">Separate specification from motivation: </w:t>
      </w:r>
      <w:r>
        <w:rPr>
          <w:rFonts w:ascii="Arial" w:cs="Arial" w:eastAsia="Arial" w:hAnsi="Arial"/>
          <w:sz w:val="22"/>
          <w:szCs w:val="22"/>
        </w:rPr>
        <w:t xml:space="preserve">Consider restructuring into a core specification section and a companion discussion section, or adopting an RFC-like format where normative requirements (MUST, SHOULD) are clearly distinguished from informative commentary.</w:t>
      </w:r>
    </w:p>
    <w:p>
      <w:pPr>
        <w:pStyle w:val="ListParagraph"/>
        <w:numPr>
          <w:ilvl w:val="0"/>
          <w:numId w:val="3"/>
        </w:numPr>
        <w:spacing w:after="100" w:line="276"/>
      </w:pPr>
      <w:r>
        <w:rPr>
          <w:rFonts w:ascii="Arial" w:cs="Arial" w:eastAsia="Arial" w:hAnsi="Arial"/>
          <w:b/>
          <w:bCs/>
          <w:sz w:val="22"/>
          <w:szCs w:val="22"/>
        </w:rPr>
        <w:t xml:space="preserve">Add a notation table: </w:t>
      </w:r>
      <w:r>
        <w:rPr>
          <w:rFonts w:ascii="Arial" w:cs="Arial" w:eastAsia="Arial" w:hAnsi="Arial"/>
          <w:sz w:val="22"/>
          <w:szCs w:val="22"/>
        </w:rPr>
        <w:t xml:space="preserve">The paper uses a substantial number of symbols across different sections. A consolidated notation table would improve readability significantly.</w:t>
      </w:r>
    </w:p>
    <w:p>
      <w:pPr>
        <w:pStyle w:val="ListParagraph"/>
        <w:numPr>
          <w:ilvl w:val="0"/>
          <w:numId w:val="3"/>
        </w:numPr>
        <w:spacing w:after="100" w:line="276"/>
      </w:pPr>
      <w:r>
        <w:rPr>
          <w:rFonts w:ascii="Arial" w:cs="Arial" w:eastAsia="Arial" w:hAnsi="Arial"/>
          <w:b/>
          <w:bCs/>
          <w:sz w:val="22"/>
          <w:szCs w:val="22"/>
        </w:rPr>
        <w:t xml:space="preserve">Clarify version references: </w:t>
      </w:r>
      <w:r>
        <w:rPr>
          <w:rFonts w:ascii="Arial" w:cs="Arial" w:eastAsia="Arial" w:hAnsi="Arial"/>
          <w:sz w:val="22"/>
          <w:szCs w:val="22"/>
        </w:rPr>
        <w:t xml:space="preserve">References to “Option C” and “LTP v2” in Section 5.3 are unexplained. These should be contextualized or removed in favor of describing the current design.</w:t>
      </w:r>
    </w:p>
    <w:p>
      <w:pPr>
        <w:pStyle w:val="ListParagraph"/>
        <w:numPr>
          <w:ilvl w:val="0"/>
          <w:numId w:val="3"/>
        </w:numPr>
        <w:spacing w:after="100" w:line="276"/>
      </w:pPr>
      <w:r>
        <w:rPr>
          <w:rFonts w:ascii="Arial" w:cs="Arial" w:eastAsia="Arial" w:hAnsi="Arial"/>
          <w:b/>
          <w:bCs/>
          <w:sz w:val="22"/>
          <w:szCs w:val="22"/>
        </w:rPr>
        <w:t xml:space="preserve">Clean up Open Questions: </w:t>
      </w:r>
      <w:r>
        <w:rPr>
          <w:rFonts w:ascii="Arial" w:cs="Arial" w:eastAsia="Arial" w:hAnsi="Arial"/>
          <w:sz w:val="22"/>
          <w:szCs w:val="22"/>
        </w:rPr>
        <w:t xml:space="preserve">Struck-through resolved items in Section 10 should be removed or moved to a “Resolved Questions” appendix.</w:t>
      </w:r>
    </w:p>
    <w:p>
      <w:pPr>
        <w:pStyle w:val="Heading1"/>
        <w:pBdr>
          <w:bottom w:val="single" w:color="2E75B6" w:sz="6" w:space="4"/>
        </w:pBdr>
        <w:spacing w:before="360" w:after="200"/>
      </w:pPr>
      <w:r>
        <w:rPr>
          <w:rFonts w:ascii="Arial" w:cs="Arial" w:eastAsia="Arial" w:hAnsi="Arial"/>
          <w:b/>
          <w:bCs/>
          <w:color w:val="1B3A5C"/>
          <w:sz w:val="32"/>
          <w:szCs w:val="32"/>
        </w:rPr>
        <w:t xml:space="preserve">7. Summary of Recommendations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Unify theorem numbering across Sections 3.3 and 4</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7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Specify a default or minimum-viable commitment log implementation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the access_policy field semantics and enforcement</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7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Reduce structural repetition (immutability, bottleneck-relocation arguments)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consolidated notation/symbol table</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7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Address the ZK mode post-quantum gap more prominently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at least rough empirical benchmarks from the proof-of-concept</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7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Move the Mars thought experiment to an appendix</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struck-through resolved open questions</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7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Clarify or remove internal version references (Option C, LTP v2)</w:t>
            </w:r>
          </w:p>
        </w:tc>
      </w:tr>
    </w:tbl>
    <w:p>
      <w:pPr>
        <w:pStyle w:val="Heading1"/>
        <w:pBdr>
          <w:bottom w:val="single" w:color="2E75B6" w:sz="6" w:space="4"/>
        </w:pBdr>
        <w:spacing w:before="360" w:after="200"/>
      </w:pPr>
      <w:r>
        <w:rPr>
          <w:rFonts w:ascii="Arial" w:cs="Arial" w:eastAsia="Arial" w:hAnsi="Arial"/>
          <w:b/>
          <w:bCs/>
          <w:color w:val="1B3A5C"/>
          <w:sz w:val="32"/>
          <w:szCs w:val="32"/>
        </w:rPr>
        <w:t xml:space="preserve">8. Conclusion</w:t>
      </w:r>
    </w:p>
    <w:p>
      <w:pPr>
        <w:spacing w:after="160" w:line="276"/>
      </w:pPr>
      <w:r>
        <w:rPr>
          <w:rFonts w:ascii="Arial" w:cs="Arial" w:eastAsia="Arial" w:hAnsi="Arial"/>
          <w:sz w:val="22"/>
          <w:szCs w:val="22"/>
        </w:rPr>
        <w:t xml:space="preserve">The LTP whitepaper presents a thoughtful, technically grounded protocol design that synthesizes well-understood cryptographic and distributed systems primitives into a coherent transfer paradigm. Its greatest strength is its intellectual honesty—the authors consistently acknowledge limitations, prior art, and open questions rather than overclaiming. The formal security analysis is rigorous and well-structured.</w:t>
      </w:r>
    </w:p>
    <w:p>
      <w:pPr>
        <w:spacing w:after="160" w:line="276"/>
      </w:pPr>
      <w:r>
        <w:rPr>
          <w:rFonts w:ascii="Arial" w:cs="Arial" w:eastAsia="Arial" w:hAnsi="Arial"/>
          <w:sz w:val="22"/>
          <w:szCs w:val="22"/>
        </w:rPr>
        <w:t xml:space="preserve">The primary areas for improvement are structural (redundancy, unclear specification boundaries) and practical (missing benchmarks, underspecified components). At v0.1.0-draft, these are expected and correctable. The core protocol idea—decoupling the sender-receiver path from entity size via a constant-size cryptographic key, with geographic optimization of the materialization phase—is well-motivated and clearly articulated.</w:t>
      </w:r>
    </w:p>
    <w:p>
      <w:pPr>
        <w:spacing w:after="160" w:line="276"/>
      </w:pPr>
      <w:r>
        <w:rPr>
          <w:rFonts w:ascii="Arial" w:cs="Arial" w:eastAsia="Arial" w:hAnsi="Arial"/>
          <w:sz w:val="22"/>
          <w:szCs w:val="22"/>
        </w:rPr>
        <w:t xml:space="preserve">This reviewer recommends continuing development with a focus on tightening the specification (particularly the commitment log and access policy), producing empirical performance data, and reducing the document’s length through consolidation of repeated arguments. The protocol is at an appropriate stage for peer review and early prototype validation.</w:t>
      </w:r>
    </w:p>
    <w:p>
      <w:pPr>
        <w:spacing w:before="400"/>
      </w:pPr>
    </w:p>
    <w:p>
      <w:pPr>
        <w:pBdr>
          <w:top w:val="single" w:color="1B3A5C" w:sz="4" w:space="8"/>
        </w:pBdr>
        <w:jc w:val="center"/>
      </w:pPr>
      <w:r>
        <w:rPr>
          <w:rFonts w:ascii="Arial" w:cs="Arial" w:eastAsia="Arial" w:hAnsi="Arial"/>
          <w:i/>
          <w:iCs/>
          <w:color w:val="666666"/>
          <w:sz w:val="20"/>
          <w:szCs w:val="20"/>
        </w:rPr>
        <w:t xml:space="preserve">End of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8"/>
        <w:szCs w:val="18"/>
      </w:rPr>
      <w:t xml:space="preserve">Formal Review: LTP Whitepaper v0.1.0-draft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2026-03-04T23:46:22.805Z</dcterms:created>
  <dcterms:modified xsi:type="dcterms:W3CDTF">2026-03-04T23:46:22.806Z</dcterms:modified>
</cp:coreProperties>
</file>

<file path=docProps/custom.xml><?xml version="1.0" encoding="utf-8"?>
<Properties xmlns="http://schemas.openxmlformats.org/officeDocument/2006/custom-properties" xmlns:vt="http://schemas.openxmlformats.org/officeDocument/2006/docPropsVTypes"/>
</file>