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E9C3EC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Segmentos de Clientes</w:t>
      </w:r>
      <w:r/>
      <w:r>
        <w:rPr>
          <w:rFonts w:ascii="Times New Roman" w:hAnsi="Times New Roman" w:eastAsia="Times New Roman" w:cs="Times New Roman"/>
          <w:sz w:val="36"/>
        </w:rPr>
      </w:r>
    </w:p>
    <w:p w14:paraId="3271FDA0">
      <w:pPr>
        <w:pBdr/>
        <w:spacing/>
        <w:ind/>
        <w:rPr/>
      </w:pPr>
      <w:r/>
      <w:r/>
    </w:p>
    <w:p w14:paraId="6EB417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Os segmentos representam categorias amplas de usuários com necessidades e comportamentos semelhantes.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78CF83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3DEFD2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t xml:space="preserve">Principais Segmentos: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4381876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 Usuários Finais do Transporte Público</w:t>
      </w:r>
      <w:r>
        <w:rPr>
          <w:b w:val="0"/>
          <w:bCs w:val="0"/>
          <w:sz w:val="28"/>
          <w:szCs w:val="28"/>
        </w:rPr>
      </w:r>
    </w:p>
    <w:p w14:paraId="160A49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Estudantes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(ensino médio, técnico, superior) que usam carteirinha estudantil com desconto.</w:t>
      </w:r>
      <w:r>
        <w:rPr>
          <w:sz w:val="28"/>
          <w:szCs w:val="28"/>
        </w:rPr>
      </w:r>
    </w:p>
    <w:p w14:paraId="2A6505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Trabalhadores assalariados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que recebem vale-transporte da empresa.</w:t>
      </w:r>
      <w:r>
        <w:rPr>
          <w:sz w:val="28"/>
          <w:szCs w:val="28"/>
        </w:rPr>
      </w:r>
    </w:p>
    <w:p w14:paraId="123D0B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Usuários ocasionais ou autônomos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que compram créditos avulsos (Bilhete Único comum).</w:t>
      </w:r>
      <w:r>
        <w:rPr>
          <w:sz w:val="28"/>
          <w:szCs w:val="28"/>
        </w:rPr>
      </w:r>
    </w:p>
    <w:p w14:paraId="06D467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Pessoas vulneráveis a roubo/furto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que já perderam cartões físicos ou têm medo de perder.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4E0293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 Administradores e Gestores</w:t>
      </w:r>
      <w:r>
        <w:rPr>
          <w:b w:val="0"/>
          <w:bCs w:val="0"/>
          <w:sz w:val="28"/>
          <w:szCs w:val="28"/>
        </w:rPr>
      </w:r>
    </w:p>
    <w:p w14:paraId="5281ABE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Departamentos de RH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de empresas que gerenciam vale-transporte para funcionários.</w:t>
      </w:r>
      <w:r>
        <w:rPr>
          <w:sz w:val="28"/>
          <w:szCs w:val="28"/>
        </w:rPr>
      </w:r>
    </w:p>
    <w:p w14:paraId="2222AEB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Gestores de benefícios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que buscam reduzir custos administrativos e fraudes com VT.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872AF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Secretarias e coordenações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de escolas, faculdades e universidades que emitem e gerenciam carteirinhas estudantis.</w:t>
      </w:r>
      <w:r>
        <w:rPr>
          <w:sz w:val="28"/>
          <w:szCs w:val="28"/>
        </w:rPr>
      </w:r>
    </w:p>
    <w:p w14:paraId="7BEB974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Órgãos públicos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responsáveis por validar descontos estudantis (ex: prefeituras, secretarias de educação).</w:t>
      </w:r>
      <w:r>
        <w:rPr>
          <w:sz w:val="28"/>
          <w:szCs w:val="28"/>
        </w:rPr>
      </w:r>
    </w:p>
    <w:p w14:paraId="443EFDC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Empresas de ônibus, metrô, trem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que operam o transporte.</w:t>
      </w:r>
      <w:r>
        <w:rPr>
          <w:sz w:val="28"/>
          <w:szCs w:val="28"/>
        </w:rPr>
      </w:r>
    </w:p>
    <w:p w14:paraId="67CB40F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Consórcios e autoridades de mobilidade urbana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(ex: SPTrans, ETUFOR) que regulam bilhetagem eletrônica.</w:t>
      </w:r>
      <w:r>
        <w:rPr>
          <w:sz w:val="28"/>
          <w:szCs w:val="28"/>
        </w:rPr>
      </w:r>
    </w:p>
    <w:p w14:paraId="453974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bookmarkStart w:id="0" w:name="_GoBack"/>
      <w:r>
        <w:rPr>
          <w:sz w:val="28"/>
          <w:szCs w:val="28"/>
        </w:rPr>
      </w:r>
      <w:bookmarkEnd w:id="0"/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180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AD7CF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2026-08-12T23:15:47Z</dcterms:modified>
</cp:coreProperties>
</file>