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D054E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686C7A">
              <w:rPr>
                <w:rFonts w:ascii="Calibri" w:hAnsi="Calibri"/>
                <w:sz w:val="18"/>
              </w:rPr>
              <w:t>Akun E-Mail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D054E">
              <w:rPr>
                <w:rFonts w:ascii="Calibri" w:hAnsi="Calibri"/>
                <w:b/>
                <w:sz w:val="18"/>
              </w:rPr>
              <w:t>PersonAccountEMail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D054E">
              <w:rPr>
                <w:rFonts w:ascii="Calibri" w:hAnsi="Calibri"/>
                <w:b/>
                <w:sz w:val="18"/>
              </w:rPr>
              <w:t>PersonAccountEMail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D054E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2D054E">
        <w:rPr>
          <w:rFonts w:ascii="Courier New" w:hAnsi="Courier New" w:cs="Courier New"/>
          <w:sz w:val="16"/>
        </w:rPr>
        <w:t>PersonAccountEMail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2D054E">
        <w:rPr>
          <w:rFonts w:ascii="Courier New" w:hAnsi="Courier New" w:cs="Courier New"/>
          <w:sz w:val="16"/>
        </w:rPr>
        <w:t>PersonAccountEMail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"properties": {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"person_RefID": {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"type": [ "integer", "null" ],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"minimum": 1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"account": {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"type": [ "string", "null" ],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"minLength": 1,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"maxLength": 256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</w:t>
      </w:r>
    </w:p>
    <w:p w:rsidR="0006328C" w:rsidRPr="00E30705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},</w:t>
      </w:r>
    </w:p>
    <w:p w:rsidR="0006328C" w:rsidRDefault="0006328C" w:rsidP="000632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"required": [ "person_RefID", "account"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2D054E">
        <w:rPr>
          <w:rFonts w:ascii="Courier New" w:hAnsi="Courier New" w:cs="Courier New"/>
          <w:sz w:val="16"/>
        </w:rPr>
        <w:t>PersonAccountEMail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B36E7B">
        <w:rPr>
          <w:rFonts w:ascii="Courier New" w:hAnsi="Courier New" w:cs="Courier New"/>
          <w:color w:val="FF0000"/>
          <w:sz w:val="16"/>
        </w:rPr>
        <w:t>Product Type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36E7B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D054E">
        <w:rPr>
          <w:rFonts w:ascii="Courier New" w:hAnsi="Courier New" w:cs="Courier New"/>
          <w:sz w:val="16"/>
        </w:rPr>
        <w:t>PersonAccountEMail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  <w:t xml:space="preserve">'recordID' =&gt; </w:t>
      </w:r>
      <w:r w:rsidR="006606C7">
        <w:rPr>
          <w:rFonts w:ascii="Courier New" w:hAnsi="Courier New" w:cs="Courier New"/>
          <w:b/>
          <w:color w:val="00B050"/>
          <w:sz w:val="16"/>
        </w:rPr>
        <w:t>530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B10A11">
        <w:rPr>
          <w:rFonts w:ascii="Courier New" w:hAnsi="Courier New" w:cs="Courier New"/>
          <w:b/>
          <w:color w:val="00B050"/>
          <w:sz w:val="16"/>
        </w:rPr>
        <w:t>Product Type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2D054E">
        <w:rPr>
          <w:rFonts w:ascii="Courier New" w:hAnsi="Courier New" w:cs="Courier New"/>
          <w:sz w:val="16"/>
          <w:szCs w:val="20"/>
        </w:rPr>
        <w:t>PersonAccountEMail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6606C7">
        <w:rPr>
          <w:rFonts w:ascii="Courier New" w:hAnsi="Courier New" w:cs="Courier New"/>
          <w:sz w:val="16"/>
          <w:szCs w:val="20"/>
        </w:rPr>
        <w:t>530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6606C7">
        <w:rPr>
          <w:rFonts w:ascii="Courier New" w:hAnsi="Courier New" w:cs="Courier New"/>
          <w:sz w:val="16"/>
          <w:szCs w:val="20"/>
        </w:rPr>
        <w:t>530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068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06836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0683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06836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D2ED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D2ED2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D2ED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328C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C42AB"/>
    <w:rsid w:val="002D054E"/>
    <w:rsid w:val="002D1356"/>
    <w:rsid w:val="002D2ED2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606C7"/>
    <w:rsid w:val="00686C7A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D7448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2CF3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06836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2FD24-CAAA-4CE8-A6AE-E2381C74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179</cp:revision>
  <cp:lastPrinted>2020-10-15T05:32:00Z</cp:lastPrinted>
  <dcterms:created xsi:type="dcterms:W3CDTF">2020-10-14T06:32:00Z</dcterms:created>
  <dcterms:modified xsi:type="dcterms:W3CDTF">2020-12-10T10:28:00Z</dcterms:modified>
</cp:coreProperties>
</file>