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MODEL COMPARISON: ARIMA, MOVING AVERAGE, AND BAYESIAN FORECASTING</w:t>
      </w:r>
    </w:p>
    <w:p>
      <w:pPr>
        <w:pStyle w:val="Normal"/>
        <w:jc w:val="center"/>
        <w:rPr>
          <w:rFonts w:ascii="Times New Roman" w:hAnsi="Times New Roman"/>
          <w:i/>
          <w:sz w:val="20"/>
        </w:rPr>
      </w:pPr>
      <w:r>
        <w:rPr>
          <w:i/>
          <w:sz w:val="20"/>
        </w:rPr>
      </w:r>
    </w:p>
    <w:p>
      <w:pPr>
        <w:pStyle w:val="Heading1"/>
        <w:rPr>
          <w:color w:val="000000"/>
        </w:rPr>
      </w:pPr>
      <w:r>
        <w:rPr>
          <w:color w:val="000000"/>
        </w:rPr>
        <w:t>1. ARIMA AND MOVING-AVERAGE COMPARISON</w:t>
      </w:r>
    </w:p>
    <w:p>
      <w:pPr>
        <w:pStyle w:val="Normal"/>
        <w:rPr/>
      </w:pPr>
      <w:r>
        <w:rPr/>
        <w:t>To evaluate the forecasting performance of the Bayesian approach, two conventional time-series baselines were considered: ARIMA and a 7-day moving average. The same daily cloud-cost series used for the Bayesian time-series analysis was used for the comparison. The modelling series contains 59 daily observations from 1 July 2024 to 28 August 2024. A chronological 80/20 split was used, with the first 47 days used for training and the final 12 days used as the held-out test period (17–28 August 2024).</w:t>
      </w:r>
    </w:p>
    <w:p>
      <w:pPr>
        <w:pStyle w:val="Normal"/>
        <w:rPr/>
      </w:pPr>
      <w:r>
        <w:rPr/>
        <w:t>The ARIMA model selected for the comparison was ARIMA(1,1,3). The second conventional baseline was a 7-day moving average. Both models produced one-step-ahead predictions for the same 12 held-out observations, allowing a direct comparison with the Bayesian Model 1 predictions.</w:t>
      </w:r>
    </w:p>
    <w:p>
      <w:pPr>
        <w:pStyle w:val="Normal"/>
        <w:rPr/>
      </w:pPr>
      <w:r>
        <w:rPr/>
      </w:r>
    </w:p>
    <w:tbl>
      <w:tblPr>
        <w:tblW w:w="9669" w:type="dxa"/>
        <w:jc w:val="start"/>
        <w:tblInd w:w="28" w:type="dxa"/>
        <w:tblLayout w:type="fixed"/>
        <w:tblCellMar>
          <w:top w:w="28" w:type="dxa"/>
          <w:start w:w="28" w:type="dxa"/>
          <w:bottom w:w="28" w:type="dxa"/>
          <w:end w:w="28" w:type="dxa"/>
        </w:tblCellMar>
      </w:tblPr>
      <w:tblGrid>
        <w:gridCol w:w="1053"/>
        <w:gridCol w:w="1692"/>
        <w:gridCol w:w="2198"/>
        <w:gridCol w:w="1919"/>
        <w:gridCol w:w="2807"/>
      </w:tblGrid>
      <w:tr>
        <w:trPr>
          <w:tblHeader w:val="true"/>
        </w:trPr>
        <w:tc>
          <w:tcPr>
            <w:tcW w:w="1053" w:type="dxa"/>
            <w:tcBorders/>
            <w:vAlign w:val="center"/>
          </w:tcPr>
          <w:p>
            <w:pPr>
              <w:pStyle w:val="TableHeading"/>
              <w:suppressLineNumbers/>
              <w:spacing w:before="0" w:after="80"/>
              <w:jc w:val="center"/>
              <w:rPr/>
            </w:pPr>
            <w:r>
              <w:rPr/>
              <w:t>Date</w:t>
            </w:r>
          </w:p>
        </w:tc>
        <w:tc>
          <w:tcPr>
            <w:tcW w:w="1692" w:type="dxa"/>
            <w:tcBorders/>
            <w:vAlign w:val="center"/>
          </w:tcPr>
          <w:p>
            <w:pPr>
              <w:pStyle w:val="TableHeading"/>
              <w:spacing w:before="0" w:after="80"/>
              <w:jc w:val="end"/>
              <w:rPr/>
            </w:pPr>
            <w:r>
              <w:rPr/>
              <w:t>Actual Cost (USD)</w:t>
            </w:r>
          </w:p>
        </w:tc>
        <w:tc>
          <w:tcPr>
            <w:tcW w:w="2198" w:type="dxa"/>
            <w:tcBorders/>
            <w:vAlign w:val="center"/>
          </w:tcPr>
          <w:p>
            <w:pPr>
              <w:pStyle w:val="TableHeading"/>
              <w:spacing w:before="0" w:after="80"/>
              <w:jc w:val="end"/>
              <w:rPr/>
            </w:pPr>
            <w:r>
              <w:rPr/>
              <w:t>Bayesian Model 1 (USD)</w:t>
            </w:r>
          </w:p>
        </w:tc>
        <w:tc>
          <w:tcPr>
            <w:tcW w:w="1919" w:type="dxa"/>
            <w:tcBorders/>
            <w:vAlign w:val="center"/>
          </w:tcPr>
          <w:p>
            <w:pPr>
              <w:pStyle w:val="TableHeading"/>
              <w:spacing w:before="0" w:after="80"/>
              <w:jc w:val="end"/>
              <w:rPr/>
            </w:pPr>
            <w:r>
              <w:rPr/>
              <w:t>ARIMA(1,1,3) (USD)</w:t>
            </w:r>
          </w:p>
        </w:tc>
        <w:tc>
          <w:tcPr>
            <w:tcW w:w="2807" w:type="dxa"/>
            <w:tcBorders/>
            <w:vAlign w:val="center"/>
          </w:tcPr>
          <w:p>
            <w:pPr>
              <w:pStyle w:val="TableHeading"/>
              <w:spacing w:before="0" w:after="80"/>
              <w:jc w:val="end"/>
              <w:rPr/>
            </w:pPr>
            <w:r>
              <w:rPr/>
              <w:t>Moving Average (7-day) (USD)</w:t>
            </w:r>
          </w:p>
        </w:tc>
      </w:tr>
      <w:tr>
        <w:trPr/>
        <w:tc>
          <w:tcPr>
            <w:tcW w:w="1053" w:type="dxa"/>
            <w:tcBorders/>
            <w:vAlign w:val="center"/>
          </w:tcPr>
          <w:p>
            <w:pPr>
              <w:pStyle w:val="TableContents"/>
              <w:widowControl w:val="false"/>
              <w:suppressLineNumbers/>
              <w:spacing w:before="0" w:after="80"/>
              <w:rPr/>
            </w:pPr>
            <w:r>
              <w:rPr/>
              <w:t>2024-08-17</w:t>
            </w:r>
          </w:p>
        </w:tc>
        <w:tc>
          <w:tcPr>
            <w:tcW w:w="1692" w:type="dxa"/>
            <w:tcBorders/>
            <w:vAlign w:val="center"/>
          </w:tcPr>
          <w:p>
            <w:pPr>
              <w:pStyle w:val="TableContents"/>
              <w:spacing w:before="0" w:after="80"/>
              <w:jc w:val="end"/>
              <w:rPr/>
            </w:pPr>
            <w:r>
              <w:rPr/>
              <w:t>26,043.10</w:t>
            </w:r>
          </w:p>
        </w:tc>
        <w:tc>
          <w:tcPr>
            <w:tcW w:w="2198" w:type="dxa"/>
            <w:tcBorders/>
            <w:vAlign w:val="center"/>
          </w:tcPr>
          <w:p>
            <w:pPr>
              <w:pStyle w:val="TableContents"/>
              <w:spacing w:before="0" w:after="80"/>
              <w:jc w:val="end"/>
              <w:rPr/>
            </w:pPr>
            <w:r>
              <w:rPr/>
              <w:t>33,368.65</w:t>
            </w:r>
          </w:p>
        </w:tc>
        <w:tc>
          <w:tcPr>
            <w:tcW w:w="1919" w:type="dxa"/>
            <w:tcBorders/>
            <w:vAlign w:val="center"/>
          </w:tcPr>
          <w:p>
            <w:pPr>
              <w:pStyle w:val="TableContents"/>
              <w:spacing w:before="0" w:after="80"/>
              <w:jc w:val="end"/>
              <w:rPr/>
            </w:pPr>
            <w:r>
              <w:rPr/>
              <w:t>36,789.64</w:t>
            </w:r>
          </w:p>
        </w:tc>
        <w:tc>
          <w:tcPr>
            <w:tcW w:w="2807" w:type="dxa"/>
            <w:tcBorders/>
            <w:vAlign w:val="center"/>
          </w:tcPr>
          <w:p>
            <w:pPr>
              <w:pStyle w:val="TableContents"/>
              <w:spacing w:before="0" w:after="80"/>
              <w:jc w:val="end"/>
              <w:rPr/>
            </w:pPr>
            <w:r>
              <w:rPr/>
              <w:t>42,380.98</w:t>
            </w:r>
          </w:p>
        </w:tc>
      </w:tr>
      <w:tr>
        <w:trPr/>
        <w:tc>
          <w:tcPr>
            <w:tcW w:w="1053" w:type="dxa"/>
            <w:tcBorders/>
            <w:vAlign w:val="center"/>
          </w:tcPr>
          <w:p>
            <w:pPr>
              <w:pStyle w:val="TableContents"/>
              <w:widowControl w:val="false"/>
              <w:suppressLineNumbers/>
              <w:spacing w:before="0" w:after="80"/>
              <w:rPr/>
            </w:pPr>
            <w:r>
              <w:rPr/>
              <w:t>2024-08-18</w:t>
            </w:r>
          </w:p>
        </w:tc>
        <w:tc>
          <w:tcPr>
            <w:tcW w:w="1692" w:type="dxa"/>
            <w:tcBorders/>
            <w:vAlign w:val="center"/>
          </w:tcPr>
          <w:p>
            <w:pPr>
              <w:pStyle w:val="TableContents"/>
              <w:spacing w:before="0" w:after="80"/>
              <w:jc w:val="end"/>
              <w:rPr/>
            </w:pPr>
            <w:r>
              <w:rPr/>
              <w:t>44,052.62</w:t>
            </w:r>
          </w:p>
        </w:tc>
        <w:tc>
          <w:tcPr>
            <w:tcW w:w="2198" w:type="dxa"/>
            <w:tcBorders/>
            <w:vAlign w:val="center"/>
          </w:tcPr>
          <w:p>
            <w:pPr>
              <w:pStyle w:val="TableContents"/>
              <w:spacing w:before="0" w:after="80"/>
              <w:jc w:val="end"/>
              <w:rPr/>
            </w:pPr>
            <w:r>
              <w:rPr/>
              <w:t>33,516.37</w:t>
            </w:r>
          </w:p>
        </w:tc>
        <w:tc>
          <w:tcPr>
            <w:tcW w:w="1919" w:type="dxa"/>
            <w:tcBorders/>
            <w:vAlign w:val="center"/>
          </w:tcPr>
          <w:p>
            <w:pPr>
              <w:pStyle w:val="TableContents"/>
              <w:spacing w:before="0" w:after="80"/>
              <w:jc w:val="end"/>
              <w:rPr/>
            </w:pPr>
            <w:r>
              <w:rPr/>
              <w:t>30,495.80</w:t>
            </w:r>
          </w:p>
        </w:tc>
        <w:tc>
          <w:tcPr>
            <w:tcW w:w="2807" w:type="dxa"/>
            <w:tcBorders/>
            <w:vAlign w:val="center"/>
          </w:tcPr>
          <w:p>
            <w:pPr>
              <w:pStyle w:val="TableContents"/>
              <w:spacing w:before="0" w:after="80"/>
              <w:jc w:val="end"/>
              <w:rPr/>
            </w:pPr>
            <w:r>
              <w:rPr/>
              <w:t>41,472.39</w:t>
            </w:r>
          </w:p>
        </w:tc>
      </w:tr>
      <w:tr>
        <w:trPr/>
        <w:tc>
          <w:tcPr>
            <w:tcW w:w="1053" w:type="dxa"/>
            <w:tcBorders/>
            <w:vAlign w:val="center"/>
          </w:tcPr>
          <w:p>
            <w:pPr>
              <w:pStyle w:val="TableContents"/>
              <w:widowControl w:val="false"/>
              <w:suppressLineNumbers/>
              <w:spacing w:before="0" w:after="80"/>
              <w:rPr/>
            </w:pPr>
            <w:r>
              <w:rPr/>
              <w:t>2024-08-19</w:t>
            </w:r>
          </w:p>
        </w:tc>
        <w:tc>
          <w:tcPr>
            <w:tcW w:w="1692" w:type="dxa"/>
            <w:tcBorders/>
            <w:vAlign w:val="center"/>
          </w:tcPr>
          <w:p>
            <w:pPr>
              <w:pStyle w:val="TableContents"/>
              <w:spacing w:before="0" w:after="80"/>
              <w:jc w:val="end"/>
              <w:rPr/>
            </w:pPr>
            <w:r>
              <w:rPr/>
              <w:t>30,418.88</w:t>
            </w:r>
          </w:p>
        </w:tc>
        <w:tc>
          <w:tcPr>
            <w:tcW w:w="2198" w:type="dxa"/>
            <w:tcBorders/>
            <w:vAlign w:val="center"/>
          </w:tcPr>
          <w:p>
            <w:pPr>
              <w:pStyle w:val="TableContents"/>
              <w:spacing w:before="0" w:after="80"/>
              <w:jc w:val="end"/>
              <w:rPr/>
            </w:pPr>
            <w:r>
              <w:rPr/>
              <w:t>35,042.83</w:t>
            </w:r>
          </w:p>
        </w:tc>
        <w:tc>
          <w:tcPr>
            <w:tcW w:w="1919" w:type="dxa"/>
            <w:tcBorders/>
            <w:vAlign w:val="center"/>
          </w:tcPr>
          <w:p>
            <w:pPr>
              <w:pStyle w:val="TableContents"/>
              <w:spacing w:before="0" w:after="80"/>
              <w:jc w:val="end"/>
              <w:rPr/>
            </w:pPr>
            <w:r>
              <w:rPr/>
              <w:t>38,342.58</w:t>
            </w:r>
          </w:p>
        </w:tc>
        <w:tc>
          <w:tcPr>
            <w:tcW w:w="2807" w:type="dxa"/>
            <w:tcBorders/>
            <w:vAlign w:val="center"/>
          </w:tcPr>
          <w:p>
            <w:pPr>
              <w:pStyle w:val="TableContents"/>
              <w:spacing w:before="0" w:after="80"/>
              <w:jc w:val="end"/>
              <w:rPr/>
            </w:pPr>
            <w:r>
              <w:rPr/>
              <w:t>43,099.86</w:t>
            </w:r>
          </w:p>
        </w:tc>
      </w:tr>
      <w:tr>
        <w:trPr/>
        <w:tc>
          <w:tcPr>
            <w:tcW w:w="1053" w:type="dxa"/>
            <w:tcBorders/>
            <w:vAlign w:val="center"/>
          </w:tcPr>
          <w:p>
            <w:pPr>
              <w:pStyle w:val="TableContents"/>
              <w:widowControl w:val="false"/>
              <w:suppressLineNumbers/>
              <w:spacing w:before="0" w:after="80"/>
              <w:rPr/>
            </w:pPr>
            <w:r>
              <w:rPr/>
              <w:t>2024-08-20</w:t>
            </w:r>
          </w:p>
        </w:tc>
        <w:tc>
          <w:tcPr>
            <w:tcW w:w="1692" w:type="dxa"/>
            <w:tcBorders/>
            <w:vAlign w:val="center"/>
          </w:tcPr>
          <w:p>
            <w:pPr>
              <w:pStyle w:val="TableContents"/>
              <w:spacing w:before="0" w:after="80"/>
              <w:jc w:val="end"/>
              <w:rPr/>
            </w:pPr>
            <w:r>
              <w:rPr/>
              <w:t>17,885.32</w:t>
            </w:r>
          </w:p>
        </w:tc>
        <w:tc>
          <w:tcPr>
            <w:tcW w:w="2198" w:type="dxa"/>
            <w:tcBorders/>
            <w:vAlign w:val="center"/>
          </w:tcPr>
          <w:p>
            <w:pPr>
              <w:pStyle w:val="TableContents"/>
              <w:spacing w:before="0" w:after="80"/>
              <w:jc w:val="end"/>
              <w:rPr/>
            </w:pPr>
            <w:r>
              <w:rPr/>
              <w:t>33,857.62</w:t>
            </w:r>
          </w:p>
        </w:tc>
        <w:tc>
          <w:tcPr>
            <w:tcW w:w="1919" w:type="dxa"/>
            <w:tcBorders/>
            <w:vAlign w:val="center"/>
          </w:tcPr>
          <w:p>
            <w:pPr>
              <w:pStyle w:val="TableContents"/>
              <w:spacing w:before="0" w:after="80"/>
              <w:jc w:val="end"/>
              <w:rPr/>
            </w:pPr>
            <w:r>
              <w:rPr/>
              <w:t>35,602.84</w:t>
            </w:r>
          </w:p>
        </w:tc>
        <w:tc>
          <w:tcPr>
            <w:tcW w:w="2807" w:type="dxa"/>
            <w:tcBorders/>
            <w:vAlign w:val="center"/>
          </w:tcPr>
          <w:p>
            <w:pPr>
              <w:pStyle w:val="TableContents"/>
              <w:spacing w:before="0" w:after="80"/>
              <w:jc w:val="end"/>
              <w:rPr/>
            </w:pPr>
            <w:r>
              <w:rPr/>
              <w:t>41,328.15</w:t>
            </w:r>
          </w:p>
        </w:tc>
      </w:tr>
      <w:tr>
        <w:trPr/>
        <w:tc>
          <w:tcPr>
            <w:tcW w:w="1053" w:type="dxa"/>
            <w:tcBorders/>
            <w:vAlign w:val="center"/>
          </w:tcPr>
          <w:p>
            <w:pPr>
              <w:pStyle w:val="TableContents"/>
              <w:widowControl w:val="false"/>
              <w:suppressLineNumbers/>
              <w:spacing w:before="0" w:after="80"/>
              <w:rPr/>
            </w:pPr>
            <w:r>
              <w:rPr/>
              <w:t>2024-08-21</w:t>
            </w:r>
          </w:p>
        </w:tc>
        <w:tc>
          <w:tcPr>
            <w:tcW w:w="1692" w:type="dxa"/>
            <w:tcBorders/>
            <w:vAlign w:val="center"/>
          </w:tcPr>
          <w:p>
            <w:pPr>
              <w:pStyle w:val="TableContents"/>
              <w:spacing w:before="0" w:after="80"/>
              <w:jc w:val="end"/>
              <w:rPr/>
            </w:pPr>
            <w:r>
              <w:rPr/>
              <w:t>47,070.55</w:t>
            </w:r>
          </w:p>
        </w:tc>
        <w:tc>
          <w:tcPr>
            <w:tcW w:w="2198" w:type="dxa"/>
            <w:tcBorders/>
            <w:vAlign w:val="center"/>
          </w:tcPr>
          <w:p>
            <w:pPr>
              <w:pStyle w:val="TableContents"/>
              <w:spacing w:before="0" w:after="80"/>
              <w:jc w:val="end"/>
              <w:rPr/>
            </w:pPr>
            <w:r>
              <w:rPr/>
              <w:t>36,014.44</w:t>
            </w:r>
          </w:p>
        </w:tc>
        <w:tc>
          <w:tcPr>
            <w:tcW w:w="1919" w:type="dxa"/>
            <w:tcBorders/>
            <w:vAlign w:val="center"/>
          </w:tcPr>
          <w:p>
            <w:pPr>
              <w:pStyle w:val="TableContents"/>
              <w:spacing w:before="0" w:after="80"/>
              <w:jc w:val="end"/>
              <w:rPr/>
            </w:pPr>
            <w:r>
              <w:rPr/>
              <w:t>36,559.43</w:t>
            </w:r>
          </w:p>
        </w:tc>
        <w:tc>
          <w:tcPr>
            <w:tcW w:w="2807" w:type="dxa"/>
            <w:tcBorders/>
            <w:vAlign w:val="center"/>
          </w:tcPr>
          <w:p>
            <w:pPr>
              <w:pStyle w:val="TableContents"/>
              <w:spacing w:before="0" w:after="80"/>
              <w:jc w:val="end"/>
              <w:rPr/>
            </w:pPr>
            <w:r>
              <w:rPr/>
              <w:t>43,359.00</w:t>
            </w:r>
          </w:p>
        </w:tc>
      </w:tr>
      <w:tr>
        <w:trPr/>
        <w:tc>
          <w:tcPr>
            <w:tcW w:w="1053" w:type="dxa"/>
            <w:tcBorders/>
            <w:vAlign w:val="center"/>
          </w:tcPr>
          <w:p>
            <w:pPr>
              <w:pStyle w:val="TableContents"/>
              <w:widowControl w:val="false"/>
              <w:suppressLineNumbers/>
              <w:spacing w:before="0" w:after="80"/>
              <w:rPr/>
            </w:pPr>
            <w:r>
              <w:rPr/>
              <w:t>2024-08-22</w:t>
            </w:r>
          </w:p>
        </w:tc>
        <w:tc>
          <w:tcPr>
            <w:tcW w:w="1692" w:type="dxa"/>
            <w:tcBorders/>
            <w:vAlign w:val="center"/>
          </w:tcPr>
          <w:p>
            <w:pPr>
              <w:pStyle w:val="TableContents"/>
              <w:spacing w:before="0" w:after="80"/>
              <w:jc w:val="end"/>
              <w:rPr/>
            </w:pPr>
            <w:r>
              <w:rPr/>
              <w:t>16,982.60</w:t>
            </w:r>
          </w:p>
        </w:tc>
        <w:tc>
          <w:tcPr>
            <w:tcW w:w="2198" w:type="dxa"/>
            <w:tcBorders/>
            <w:vAlign w:val="center"/>
          </w:tcPr>
          <w:p>
            <w:pPr>
              <w:pStyle w:val="TableContents"/>
              <w:spacing w:before="0" w:after="80"/>
              <w:jc w:val="end"/>
              <w:rPr/>
            </w:pPr>
            <w:r>
              <w:rPr/>
              <w:t>35,409.99</w:t>
            </w:r>
          </w:p>
        </w:tc>
        <w:tc>
          <w:tcPr>
            <w:tcW w:w="1919" w:type="dxa"/>
            <w:tcBorders/>
            <w:vAlign w:val="center"/>
          </w:tcPr>
          <w:p>
            <w:pPr>
              <w:pStyle w:val="TableContents"/>
              <w:spacing w:before="0" w:after="80"/>
              <w:jc w:val="end"/>
              <w:rPr/>
            </w:pPr>
            <w:r>
              <w:rPr/>
              <w:t>36,225.43</w:t>
            </w:r>
          </w:p>
        </w:tc>
        <w:tc>
          <w:tcPr>
            <w:tcW w:w="2807" w:type="dxa"/>
            <w:tcBorders/>
            <w:vAlign w:val="center"/>
          </w:tcPr>
          <w:p>
            <w:pPr>
              <w:pStyle w:val="TableContents"/>
              <w:spacing w:before="0" w:after="80"/>
              <w:jc w:val="end"/>
              <w:rPr/>
            </w:pPr>
            <w:r>
              <w:rPr/>
              <w:t>42,186.57</w:t>
            </w:r>
          </w:p>
        </w:tc>
      </w:tr>
      <w:tr>
        <w:trPr/>
        <w:tc>
          <w:tcPr>
            <w:tcW w:w="1053" w:type="dxa"/>
            <w:tcBorders/>
            <w:vAlign w:val="center"/>
          </w:tcPr>
          <w:p>
            <w:pPr>
              <w:pStyle w:val="TableContents"/>
              <w:widowControl w:val="false"/>
              <w:suppressLineNumbers/>
              <w:spacing w:before="0" w:after="80"/>
              <w:rPr/>
            </w:pPr>
            <w:r>
              <w:rPr/>
              <w:t>2024-08-23</w:t>
            </w:r>
          </w:p>
        </w:tc>
        <w:tc>
          <w:tcPr>
            <w:tcW w:w="1692" w:type="dxa"/>
            <w:tcBorders/>
            <w:vAlign w:val="center"/>
          </w:tcPr>
          <w:p>
            <w:pPr>
              <w:pStyle w:val="TableContents"/>
              <w:spacing w:before="0" w:after="80"/>
              <w:jc w:val="end"/>
              <w:rPr/>
            </w:pPr>
            <w:r>
              <w:rPr/>
              <w:t>36,208.13</w:t>
            </w:r>
          </w:p>
        </w:tc>
        <w:tc>
          <w:tcPr>
            <w:tcW w:w="2198" w:type="dxa"/>
            <w:tcBorders/>
            <w:vAlign w:val="center"/>
          </w:tcPr>
          <w:p>
            <w:pPr>
              <w:pStyle w:val="TableContents"/>
              <w:spacing w:before="0" w:after="80"/>
              <w:jc w:val="end"/>
              <w:rPr/>
            </w:pPr>
            <w:r>
              <w:rPr/>
              <w:t>34,434.69</w:t>
            </w:r>
          </w:p>
        </w:tc>
        <w:tc>
          <w:tcPr>
            <w:tcW w:w="1919" w:type="dxa"/>
            <w:tcBorders/>
            <w:vAlign w:val="center"/>
          </w:tcPr>
          <w:p>
            <w:pPr>
              <w:pStyle w:val="TableContents"/>
              <w:spacing w:before="0" w:after="80"/>
              <w:jc w:val="end"/>
              <w:rPr/>
            </w:pPr>
            <w:r>
              <w:rPr/>
              <w:t>36,342.05</w:t>
            </w:r>
          </w:p>
        </w:tc>
        <w:tc>
          <w:tcPr>
            <w:tcW w:w="2807" w:type="dxa"/>
            <w:tcBorders/>
            <w:vAlign w:val="center"/>
          </w:tcPr>
          <w:p>
            <w:pPr>
              <w:pStyle w:val="TableContents"/>
              <w:spacing w:before="0" w:after="80"/>
              <w:jc w:val="end"/>
              <w:rPr/>
            </w:pPr>
            <w:r>
              <w:rPr/>
              <w:t>41,913.76</w:t>
            </w:r>
          </w:p>
        </w:tc>
      </w:tr>
      <w:tr>
        <w:trPr/>
        <w:tc>
          <w:tcPr>
            <w:tcW w:w="1053" w:type="dxa"/>
            <w:tcBorders/>
            <w:vAlign w:val="center"/>
          </w:tcPr>
          <w:p>
            <w:pPr>
              <w:pStyle w:val="TableContents"/>
              <w:widowControl w:val="false"/>
              <w:suppressLineNumbers/>
              <w:spacing w:before="0" w:after="80"/>
              <w:rPr/>
            </w:pPr>
            <w:r>
              <w:rPr/>
              <w:t>2024-08-24</w:t>
            </w:r>
          </w:p>
        </w:tc>
        <w:tc>
          <w:tcPr>
            <w:tcW w:w="1692" w:type="dxa"/>
            <w:tcBorders/>
            <w:vAlign w:val="center"/>
          </w:tcPr>
          <w:p>
            <w:pPr>
              <w:pStyle w:val="TableContents"/>
              <w:spacing w:before="0" w:after="80"/>
              <w:jc w:val="end"/>
              <w:rPr/>
            </w:pPr>
            <w:r>
              <w:rPr/>
              <w:t>22,185.81</w:t>
            </w:r>
          </w:p>
        </w:tc>
        <w:tc>
          <w:tcPr>
            <w:tcW w:w="2198" w:type="dxa"/>
            <w:tcBorders/>
            <w:vAlign w:val="center"/>
          </w:tcPr>
          <w:p>
            <w:pPr>
              <w:pStyle w:val="TableContents"/>
              <w:spacing w:before="0" w:after="80"/>
              <w:jc w:val="end"/>
              <w:rPr/>
            </w:pPr>
            <w:r>
              <w:rPr/>
              <w:t>32,515.59</w:t>
            </w:r>
          </w:p>
        </w:tc>
        <w:tc>
          <w:tcPr>
            <w:tcW w:w="1919" w:type="dxa"/>
            <w:tcBorders/>
            <w:vAlign w:val="center"/>
          </w:tcPr>
          <w:p>
            <w:pPr>
              <w:pStyle w:val="TableContents"/>
              <w:spacing w:before="0" w:after="80"/>
              <w:jc w:val="end"/>
              <w:rPr/>
            </w:pPr>
            <w:r>
              <w:rPr/>
              <w:t>36,301.33</w:t>
            </w:r>
          </w:p>
        </w:tc>
        <w:tc>
          <w:tcPr>
            <w:tcW w:w="2807" w:type="dxa"/>
            <w:tcBorders/>
            <w:vAlign w:val="center"/>
          </w:tcPr>
          <w:p>
            <w:pPr>
              <w:pStyle w:val="TableContents"/>
              <w:spacing w:before="0" w:after="80"/>
              <w:jc w:val="end"/>
              <w:rPr/>
            </w:pPr>
            <w:r>
              <w:rPr/>
              <w:t>42,248.67</w:t>
            </w:r>
          </w:p>
        </w:tc>
      </w:tr>
      <w:tr>
        <w:trPr/>
        <w:tc>
          <w:tcPr>
            <w:tcW w:w="1053" w:type="dxa"/>
            <w:tcBorders/>
            <w:vAlign w:val="center"/>
          </w:tcPr>
          <w:p>
            <w:pPr>
              <w:pStyle w:val="TableContents"/>
              <w:widowControl w:val="false"/>
              <w:suppressLineNumbers/>
              <w:spacing w:before="0" w:after="80"/>
              <w:rPr/>
            </w:pPr>
            <w:r>
              <w:rPr/>
              <w:t>2024-08-25</w:t>
            </w:r>
          </w:p>
        </w:tc>
        <w:tc>
          <w:tcPr>
            <w:tcW w:w="1692" w:type="dxa"/>
            <w:tcBorders/>
            <w:vAlign w:val="center"/>
          </w:tcPr>
          <w:p>
            <w:pPr>
              <w:pStyle w:val="TableContents"/>
              <w:spacing w:before="0" w:after="80"/>
              <w:jc w:val="end"/>
              <w:rPr/>
            </w:pPr>
            <w:r>
              <w:rPr/>
              <w:t>27,575.69</w:t>
            </w:r>
          </w:p>
        </w:tc>
        <w:tc>
          <w:tcPr>
            <w:tcW w:w="2198" w:type="dxa"/>
            <w:tcBorders/>
            <w:vAlign w:val="center"/>
          </w:tcPr>
          <w:p>
            <w:pPr>
              <w:pStyle w:val="TableContents"/>
              <w:spacing w:before="0" w:after="80"/>
              <w:jc w:val="end"/>
              <w:rPr/>
            </w:pPr>
            <w:r>
              <w:rPr/>
              <w:t>32,742.92</w:t>
            </w:r>
          </w:p>
        </w:tc>
        <w:tc>
          <w:tcPr>
            <w:tcW w:w="1919" w:type="dxa"/>
            <w:tcBorders/>
            <w:vAlign w:val="center"/>
          </w:tcPr>
          <w:p>
            <w:pPr>
              <w:pStyle w:val="TableContents"/>
              <w:spacing w:before="0" w:after="80"/>
              <w:jc w:val="end"/>
              <w:rPr/>
            </w:pPr>
            <w:r>
              <w:rPr/>
              <w:t>36,315.55</w:t>
            </w:r>
          </w:p>
        </w:tc>
        <w:tc>
          <w:tcPr>
            <w:tcW w:w="2807" w:type="dxa"/>
            <w:tcBorders/>
            <w:vAlign w:val="center"/>
          </w:tcPr>
          <w:p>
            <w:pPr>
              <w:pStyle w:val="TableContents"/>
              <w:spacing w:before="0" w:after="80"/>
              <w:jc w:val="end"/>
              <w:rPr/>
            </w:pPr>
            <w:r>
              <w:rPr/>
              <w:t>42,229.77</w:t>
            </w:r>
          </w:p>
        </w:tc>
      </w:tr>
      <w:tr>
        <w:trPr/>
        <w:tc>
          <w:tcPr>
            <w:tcW w:w="1053" w:type="dxa"/>
            <w:tcBorders/>
            <w:vAlign w:val="center"/>
          </w:tcPr>
          <w:p>
            <w:pPr>
              <w:pStyle w:val="TableContents"/>
              <w:widowControl w:val="false"/>
              <w:suppressLineNumbers/>
              <w:spacing w:before="0" w:after="80"/>
              <w:rPr/>
            </w:pPr>
            <w:r>
              <w:rPr/>
              <w:t>2024-08-26</w:t>
            </w:r>
          </w:p>
        </w:tc>
        <w:tc>
          <w:tcPr>
            <w:tcW w:w="1692" w:type="dxa"/>
            <w:tcBorders/>
            <w:vAlign w:val="center"/>
          </w:tcPr>
          <w:p>
            <w:pPr>
              <w:pStyle w:val="TableContents"/>
              <w:spacing w:before="0" w:after="80"/>
              <w:jc w:val="end"/>
              <w:rPr/>
            </w:pPr>
            <w:r>
              <w:rPr/>
              <w:t>16,908.47</w:t>
            </w:r>
          </w:p>
        </w:tc>
        <w:tc>
          <w:tcPr>
            <w:tcW w:w="2198" w:type="dxa"/>
            <w:tcBorders/>
            <w:vAlign w:val="center"/>
          </w:tcPr>
          <w:p>
            <w:pPr>
              <w:pStyle w:val="TableContents"/>
              <w:spacing w:before="0" w:after="80"/>
              <w:jc w:val="end"/>
              <w:rPr/>
            </w:pPr>
            <w:r>
              <w:rPr/>
              <w:t>34,327.50</w:t>
            </w:r>
          </w:p>
        </w:tc>
        <w:tc>
          <w:tcPr>
            <w:tcW w:w="1919" w:type="dxa"/>
            <w:tcBorders/>
            <w:vAlign w:val="center"/>
          </w:tcPr>
          <w:p>
            <w:pPr>
              <w:pStyle w:val="TableContents"/>
              <w:spacing w:before="0" w:after="80"/>
              <w:jc w:val="end"/>
              <w:rPr/>
            </w:pPr>
            <w:r>
              <w:rPr/>
              <w:t>36,310.59</w:t>
            </w:r>
          </w:p>
        </w:tc>
        <w:tc>
          <w:tcPr>
            <w:tcW w:w="2807" w:type="dxa"/>
            <w:tcBorders/>
            <w:vAlign w:val="center"/>
          </w:tcPr>
          <w:p>
            <w:pPr>
              <w:pStyle w:val="TableContents"/>
              <w:spacing w:before="0" w:after="80"/>
              <w:jc w:val="end"/>
              <w:rPr/>
            </w:pPr>
            <w:r>
              <w:rPr/>
              <w:t>42,337.97</w:t>
            </w:r>
          </w:p>
        </w:tc>
      </w:tr>
      <w:tr>
        <w:trPr/>
        <w:tc>
          <w:tcPr>
            <w:tcW w:w="1053" w:type="dxa"/>
            <w:tcBorders/>
            <w:vAlign w:val="center"/>
          </w:tcPr>
          <w:p>
            <w:pPr>
              <w:pStyle w:val="TableContents"/>
              <w:widowControl w:val="false"/>
              <w:suppressLineNumbers/>
              <w:spacing w:before="0" w:after="80"/>
              <w:rPr/>
            </w:pPr>
            <w:r>
              <w:rPr/>
              <w:t>2024-08-27</w:t>
            </w:r>
          </w:p>
        </w:tc>
        <w:tc>
          <w:tcPr>
            <w:tcW w:w="1692" w:type="dxa"/>
            <w:tcBorders/>
            <w:vAlign w:val="center"/>
          </w:tcPr>
          <w:p>
            <w:pPr>
              <w:pStyle w:val="TableContents"/>
              <w:spacing w:before="0" w:after="80"/>
              <w:jc w:val="end"/>
              <w:rPr/>
            </w:pPr>
            <w:r>
              <w:rPr/>
              <w:t>32,029.51</w:t>
            </w:r>
          </w:p>
        </w:tc>
        <w:tc>
          <w:tcPr>
            <w:tcW w:w="2198" w:type="dxa"/>
            <w:tcBorders/>
            <w:vAlign w:val="center"/>
          </w:tcPr>
          <w:p>
            <w:pPr>
              <w:pStyle w:val="TableContents"/>
              <w:spacing w:before="0" w:after="80"/>
              <w:jc w:val="end"/>
              <w:rPr/>
            </w:pPr>
            <w:r>
              <w:rPr/>
              <w:t>33,096.95</w:t>
            </w:r>
          </w:p>
        </w:tc>
        <w:tc>
          <w:tcPr>
            <w:tcW w:w="1919" w:type="dxa"/>
            <w:tcBorders/>
            <w:vAlign w:val="center"/>
          </w:tcPr>
          <w:p>
            <w:pPr>
              <w:pStyle w:val="TableContents"/>
              <w:spacing w:before="0" w:after="80"/>
              <w:jc w:val="end"/>
              <w:rPr/>
            </w:pPr>
            <w:r>
              <w:rPr/>
              <w:t>36,312.32</w:t>
            </w:r>
          </w:p>
        </w:tc>
        <w:tc>
          <w:tcPr>
            <w:tcW w:w="2807" w:type="dxa"/>
            <w:tcBorders/>
            <w:vAlign w:val="center"/>
          </w:tcPr>
          <w:p>
            <w:pPr>
              <w:pStyle w:val="TableContents"/>
              <w:spacing w:before="0" w:after="80"/>
              <w:jc w:val="end"/>
              <w:rPr/>
            </w:pPr>
            <w:r>
              <w:rPr/>
              <w:t>42,229.13</w:t>
            </w:r>
          </w:p>
        </w:tc>
      </w:tr>
      <w:tr>
        <w:trPr/>
        <w:tc>
          <w:tcPr>
            <w:tcW w:w="1053" w:type="dxa"/>
            <w:tcBorders/>
            <w:vAlign w:val="center"/>
          </w:tcPr>
          <w:p>
            <w:pPr>
              <w:pStyle w:val="TableContents"/>
              <w:widowControl w:val="false"/>
              <w:suppressLineNumbers/>
              <w:spacing w:before="0" w:after="80"/>
              <w:rPr/>
            </w:pPr>
            <w:r>
              <w:rPr/>
              <w:t>2024-08-28</w:t>
            </w:r>
          </w:p>
        </w:tc>
        <w:tc>
          <w:tcPr>
            <w:tcW w:w="1692" w:type="dxa"/>
            <w:tcBorders/>
            <w:vAlign w:val="center"/>
          </w:tcPr>
          <w:p>
            <w:pPr>
              <w:pStyle w:val="TableContents"/>
              <w:spacing w:before="0" w:after="80"/>
              <w:jc w:val="end"/>
              <w:rPr/>
            </w:pPr>
            <w:r>
              <w:rPr/>
              <w:t>16,027.76</w:t>
            </w:r>
          </w:p>
        </w:tc>
        <w:tc>
          <w:tcPr>
            <w:tcW w:w="2198" w:type="dxa"/>
            <w:tcBorders/>
            <w:vAlign w:val="center"/>
          </w:tcPr>
          <w:p>
            <w:pPr>
              <w:pStyle w:val="TableContents"/>
              <w:spacing w:before="0" w:after="80"/>
              <w:jc w:val="end"/>
              <w:rPr/>
            </w:pPr>
            <w:r>
              <w:rPr/>
              <w:t>35,299.53</w:t>
            </w:r>
          </w:p>
        </w:tc>
        <w:tc>
          <w:tcPr>
            <w:tcW w:w="1919" w:type="dxa"/>
            <w:tcBorders/>
            <w:vAlign w:val="center"/>
          </w:tcPr>
          <w:p>
            <w:pPr>
              <w:pStyle w:val="TableContents"/>
              <w:spacing w:before="0" w:after="80"/>
              <w:jc w:val="end"/>
              <w:rPr/>
            </w:pPr>
            <w:r>
              <w:rPr/>
              <w:t>36,311.71</w:t>
            </w:r>
          </w:p>
        </w:tc>
        <w:tc>
          <w:tcPr>
            <w:tcW w:w="2807" w:type="dxa"/>
            <w:tcBorders/>
            <w:vAlign w:val="center"/>
          </w:tcPr>
          <w:p>
            <w:pPr>
              <w:pStyle w:val="TableContents"/>
              <w:spacing w:before="0" w:after="80"/>
              <w:jc w:val="end"/>
              <w:rPr/>
            </w:pPr>
            <w:r>
              <w:rPr/>
              <w:t>42,357.84</w:t>
            </w:r>
          </w:p>
        </w:tc>
      </w:tr>
    </w:tbl>
    <w:p>
      <w:pPr>
        <w:pStyle w:val="Heading1"/>
        <w:rPr>
          <w:color w:val="000000"/>
        </w:rPr>
      </w:pPr>
      <w:r>
        <w:rPr>
          <w:color w:val="000000"/>
        </w:rPr>
        <w:t>2. EVALUATION METRICS</w:t>
      </w:r>
    </w:p>
    <w:p>
      <w:pPr>
        <w:pStyle w:val="Normal"/>
        <w:rPr/>
      </w:pPr>
      <w:r>
        <w:rPr/>
        <w:t>Forecast accuracy was evaluated using Mean Absolute Error (MAE) and Root Mean Square Error (RMSE). Lower values indicate better predictive accuracy.</w:t>
      </w:r>
    </w:p>
    <w:p>
      <w:pPr>
        <w:pStyle w:val="Normal"/>
        <w:jc w:val="center"/>
        <w:rPr/>
      </w:pPr>
      <w:r>
        <w:rPr>
          <w:i/>
        </w:rPr>
        <w:t>MAE = (1/n) Σ |yₜ − ŷₜ|</w:t>
      </w:r>
    </w:p>
    <w:p>
      <w:pPr>
        <w:pStyle w:val="Normal"/>
        <w:jc w:val="center"/>
        <w:rPr/>
      </w:pPr>
      <w:r>
        <w:rPr>
          <w:i/>
        </w:rPr>
        <w:t>RMSE = √[(1/n) Σ (yₜ − ŷₜ)²]</w:t>
      </w:r>
    </w:p>
    <w:p>
      <w:pPr>
        <w:pStyle w:val="Normal"/>
        <w:rPr/>
      </w:pPr>
      <w:r>
        <w:rPr/>
        <w:t>MAE measures the average absolute forecasting error and is expressed in the same currency unit as the observations. RMSE also uses the same unit but gives greater weight to larger errors because the errors are squared before averaging.</w:t>
      </w:r>
    </w:p>
    <w:p>
      <w:pPr>
        <w:pStyle w:val="Heading1"/>
        <w:rPr>
          <w:color w:val="000000"/>
        </w:rPr>
      </w:pPr>
      <w:r>
        <w:rPr>
          <w:color w:val="000000"/>
        </w:rPr>
        <w:t>3. MAE RESULTS</w:t>
      </w:r>
    </w:p>
    <w:p>
      <w:pPr>
        <w:pStyle w:val="Normal"/>
        <w:rPr/>
      </w:pPr>
      <w:r>
        <w:rPr/>
        <w:t>The MAE values obtained on the 12-day held-out test period are shown in Table I.</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08"/>
        <w:gridCol w:w="3408"/>
        <w:gridCol w:w="3408"/>
      </w:tblGrid>
      <w:tr>
        <w:trPr/>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Model</w:t>
            </w:r>
          </w:p>
        </w:tc>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MAE (USD)</w:t>
            </w:r>
          </w:p>
        </w:tc>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Rank</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Bayesian Model 1</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$10,247.52</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ARIMA(1,1,3)</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$12,221.39</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Moving Average (7-day)</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$15,528.27</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3</w:t>
            </w:r>
          </w:p>
        </w:tc>
      </w:tr>
    </w:tbl>
    <w:p>
      <w:pPr>
        <w:pStyle w:val="Normal"/>
        <w:jc w:val="center"/>
        <w:rPr>
          <w:b/>
        </w:rPr>
      </w:pPr>
      <w:r>
        <w:rPr>
          <w:b/>
        </w:rPr>
        <w:t>TABLE I</w:t>
      </w:r>
    </w:p>
    <w:p>
      <w:pPr>
        <w:pStyle w:val="Normal"/>
        <w:jc w:val="center"/>
        <w:rPr>
          <w:b/>
        </w:rPr>
      </w:pPr>
      <w:r>
        <w:rPr>
          <w:b/>
        </w:rPr>
        <w:br/>
        <w:t>MAE PERFORMANCE ON THE 12-DAY HELD-OUT TEST PERIOD</w:t>
      </w:r>
    </w:p>
    <w:p>
      <w:pPr>
        <w:pStyle w:val="Normal"/>
        <w:rPr/>
      </w:pPr>
      <w:r>
        <w:rPr/>
        <w:t>The Bayesian Model 1 achieved the lowest MAE of $10,247.52. ARIMA(1,1,3) produced an MAE of $12,221.39, while the 7-day moving average produced the highest MAE of $15,528.27. Therefore, based on MAE, Bayesian Model 1 provided the most accurate point predictions among the three evaluated methods.</w:t>
      </w:r>
    </w:p>
    <w:p>
      <w:pPr>
        <w:pStyle w:val="Normal"/>
        <w:jc w:val="center"/>
        <w:rPr/>
      </w:pPr>
      <w:r>
        <w:rPr/>
        <w:drawing>
          <wp:inline distT="0" distB="0" distL="0" distR="0">
            <wp:extent cx="5303520" cy="3788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3788410"/>
                    </a:xfrm>
                    <a:prstGeom prst="rect">
                      <a:avLst/>
                    </a:prstGeom>
                    <a:noFill/>
                  </pic:spPr>
                </pic:pic>
              </a:graphicData>
            </a:graphic>
          </wp:inline>
        </w:drawing>
      </w:r>
    </w:p>
    <w:p>
      <w:pPr>
        <w:pStyle w:val="Normal"/>
        <w:jc w:val="center"/>
        <w:rPr/>
      </w:pPr>
      <w:r>
        <w:rPr>
          <w:i/>
        </w:rPr>
        <w:t>Fig. 1. MAE comparison of Bayesian Model 1, ARIMA(1,1,3), and 7-day moving average.</w:t>
      </w:r>
    </w:p>
    <w:p>
      <w:pPr>
        <w:pStyle w:val="Heading1"/>
        <w:rPr>
          <w:color w:val="000000"/>
        </w:rPr>
      </w:pPr>
      <w:r>
        <w:rPr>
          <w:color w:val="000000"/>
        </w:rPr>
        <w:t>4. RMSE RESULTS</w:t>
      </w:r>
    </w:p>
    <w:p>
      <w:pPr>
        <w:pStyle w:val="Normal"/>
        <w:rPr/>
      </w:pPr>
      <w:r>
        <w:rPr/>
        <w:t>RMSE was calculated on exactly the same 12 held-out observations. This provides a second measure of predictive accuracy and is particularly useful for identifying whether a model is affected by large forecasting errors.</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08"/>
        <w:gridCol w:w="3408"/>
        <w:gridCol w:w="3408"/>
      </w:tblGrid>
      <w:tr>
        <w:trPr/>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Model</w:t>
            </w:r>
          </w:p>
        </w:tc>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RMSE (USD)</w:t>
            </w:r>
          </w:p>
        </w:tc>
        <w:tc>
          <w:tcPr>
            <w:tcW w:w="3408"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Rank</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Bayesian Model 1</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$11,956.49</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ARIMA(1,1,3)</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$13,658.38</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Moving Average (7-day)</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$17,622.79</w:t>
            </w:r>
          </w:p>
        </w:tc>
        <w:tc>
          <w:tcPr>
            <w:tcW w:w="3408" w:type="dxa"/>
            <w:tcBorders/>
            <w:vAlign w:val="center"/>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3</w:t>
            </w:r>
          </w:p>
        </w:tc>
      </w:tr>
    </w:tbl>
    <w:p>
      <w:pPr>
        <w:pStyle w:val="Normal"/>
        <w:jc w:val="center"/>
        <w:rPr/>
      </w:pPr>
      <w:r>
        <w:rPr>
          <w:b/>
        </w:rPr>
        <w:t>TABLE II</w:t>
        <w:br/>
        <w:t>RMSE PERFORMANCE ON THE 12-DAY HELD-OUT TEST PERIOD</w:t>
      </w:r>
    </w:p>
    <w:p>
      <w:pPr>
        <w:pStyle w:val="Normal"/>
        <w:rPr/>
      </w:pPr>
      <w:r>
        <w:rPr/>
        <w:t>Bayesian Model 1 again achieved the best result, with an RMSE of $11,956.49. ARIMA(1,1,3) obtained $13,658.38, whereas the 7-day moving average obtained $17,622.79. The consistent ranking across MAE and RMSE indicates that the Bayesian model was the strongest of the three methods on this particular held-out test period.</w:t>
      </w:r>
    </w:p>
    <w:p>
      <w:pPr>
        <w:pStyle w:val="Normal"/>
        <w:jc w:val="center"/>
        <w:rPr/>
      </w:pPr>
      <w:r>
        <w:rPr/>
        <w:drawing>
          <wp:inline distT="0" distB="0" distL="0" distR="0">
            <wp:extent cx="5303520" cy="3788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3788410"/>
                    </a:xfrm>
                    <a:prstGeom prst="rect">
                      <a:avLst/>
                    </a:prstGeom>
                    <a:noFill/>
                  </pic:spPr>
                </pic:pic>
              </a:graphicData>
            </a:graphic>
          </wp:inline>
        </w:drawing>
      </w:r>
    </w:p>
    <w:p>
      <w:pPr>
        <w:pStyle w:val="Normal"/>
        <w:jc w:val="center"/>
        <w:rPr/>
      </w:pPr>
      <w:r>
        <w:rPr>
          <w:i/>
        </w:rPr>
        <w:t>Fig. 2. RMSE comparison of Bayesian Model 1, ARIMA(1,1,3), and 7-day moving average.</w:t>
      </w:r>
    </w:p>
    <w:p>
      <w:pPr>
        <w:pStyle w:val="Heading1"/>
        <w:rPr>
          <w:color w:val="000000"/>
        </w:rPr>
      </w:pPr>
      <w:r>
        <w:rPr>
          <w:color w:val="000000"/>
        </w:rPr>
        <w:t>5. MODEL COMPARISON</w:t>
      </w:r>
    </w:p>
    <w:p>
      <w:pPr>
        <w:pStyle w:val="Normal"/>
        <w:rPr/>
      </w:pPr>
      <w:r>
        <w:rPr/>
        <w:t>Table III summarizes the final point-forecasting comparison. All three methods were evaluated against the same observed daily cloud costs over the same 12-day test period.</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56"/>
        <w:gridCol w:w="2556"/>
        <w:gridCol w:w="2556"/>
        <w:gridCol w:w="2556"/>
      </w:tblGrid>
      <w:tr>
        <w:trPr/>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Model</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MAE (USD)</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RMSE (USD)</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b/>
                <w:kern w:val="0"/>
                <w:sz w:val="18"/>
                <w:szCs w:val="22"/>
                <w:lang w:val="en-US" w:eastAsia="en-US" w:bidi="ar-SA"/>
              </w:rPr>
              <w:t>Overall Rank</w:t>
            </w:r>
          </w:p>
        </w:tc>
      </w:tr>
      <w:tr>
        <w:trPr/>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Bayesian Model 1</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$10,247.52</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$11,956.49</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ARIMA(1,1,3)</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$12,221.39</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$13,658.38</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Moving Average (7-day)</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$15,528.27</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$17,622.79</w:t>
            </w:r>
          </w:p>
        </w:tc>
        <w:tc>
          <w:tcPr>
            <w:tcW w:w="2556" w:type="dxa"/>
            <w:tcBorders/>
          </w:tcPr>
          <w:p>
            <w:pPr>
              <w:pStyle w:val="Normal"/>
              <w:widowControl/>
              <w:suppressAutoHyphens w:val="true"/>
              <w:spacing w:before="0" w:after="80"/>
              <w:jc w:val="center"/>
              <w:rPr>
                <w:rFonts w:eastAsia="ＭＳ 明朝" w:cs=""/>
                <w:kern w:val="0"/>
                <w:szCs w:val="22"/>
                <w:lang w:val="en-US" w:eastAsia="en-US" w:bidi="ar-SA"/>
              </w:rPr>
            </w:pPr>
            <w:r>
              <w:rPr>
                <w:rFonts w:eastAsia="ＭＳ 明朝" w:cs=""/>
                <w:kern w:val="0"/>
                <w:sz w:val="18"/>
                <w:szCs w:val="22"/>
                <w:lang w:val="en-US" w:eastAsia="en-US" w:bidi="ar-SA"/>
              </w:rPr>
              <w:t>3</w:t>
            </w:r>
          </w:p>
        </w:tc>
      </w:tr>
    </w:tbl>
    <w:p>
      <w:pPr>
        <w:pStyle w:val="Normal"/>
        <w:jc w:val="center"/>
        <w:rPr/>
      </w:pPr>
      <w:r>
        <w:rPr>
          <w:b/>
        </w:rPr>
        <w:t>TABLE III</w:t>
        <w:br/>
        <w:t>FINAL FORECASTING MODEL COMPARISON</w:t>
      </w:r>
    </w:p>
    <w:p>
      <w:pPr>
        <w:pStyle w:val="Normal"/>
        <w:rPr/>
      </w:pPr>
      <w:r>
        <w:rPr/>
        <w:t>The final ranking is: (1) Bayesian Model 1, (2) ARIMA(1,1,3), and (3) 7-day moving average. Bayesian Model 1 reduced the MAE by approximately 16.2% relative to ARIMA(1,1,3) and by approximately 34.0% relative to the 7-day moving average. Its RMSE was approximately 12.5% lower than ARIMA(1,1,3) and approximately 32.1% lower than the moving-average baseline.</w:t>
      </w:r>
    </w:p>
    <w:p>
      <w:pPr>
        <w:pStyle w:val="Normal"/>
        <w:jc w:val="center"/>
        <w:rPr/>
      </w:pPr>
      <w:r>
        <w:rPr/>
        <w:drawing>
          <wp:inline distT="0" distB="0" distL="0" distR="0">
            <wp:extent cx="5669280" cy="311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3117850"/>
                    </a:xfrm>
                    <a:prstGeom prst="rect">
                      <a:avLst/>
                    </a:prstGeom>
                    <a:noFill/>
                  </pic:spPr>
                </pic:pic>
              </a:graphicData>
            </a:graphic>
          </wp:inline>
        </w:drawing>
      </w:r>
    </w:p>
    <w:p>
      <w:pPr>
        <w:pStyle w:val="Normal"/>
        <w:jc w:val="center"/>
        <w:rPr/>
      </w:pPr>
      <w:r>
        <w:rPr>
          <w:i/>
        </w:rPr>
        <w:t>Fig. 3. Actual daily cloud cost versus predictions during the 12-day held-out test period.</w:t>
      </w:r>
    </w:p>
    <w:p>
      <w:pPr>
        <w:pStyle w:val="Heading1"/>
        <w:rPr>
          <w:color w:val="000000"/>
        </w:rPr>
      </w:pPr>
      <w:r>
        <w:rPr>
          <w:color w:val="000000"/>
        </w:rPr>
        <w:t>6. INTERPRETATION AND LIMITATION</w:t>
      </w:r>
    </w:p>
    <w:p>
      <w:pPr>
        <w:pStyle w:val="BodyText"/>
        <w:spacing w:before="0" w:after="80"/>
        <w:rPr/>
      </w:pPr>
      <w:r>
        <w:rPr/>
        <w:t>The comparison indicates that the Bayesian model produced the lowest point-prediction errors for the evaluated test period. However, this result should be interpreted as an empirical comparison on the available 12-day hold-out sample rather than as evidence that Bayesian forecasting will consistently outperform ARIMA or moving-average methods on other datasets or future periods.</w:t>
      </w:r>
    </w:p>
    <w:p>
      <w:pPr>
        <w:pStyle w:val="BodyText"/>
        <w:spacing w:before="0" w:after="80"/>
        <w:rPr/>
      </w:pPr>
      <w:r>
        <w:rPr/>
        <w:t>The Bayesian held-out evaluation followed the same mathematical Model 1 structure documented for the project, including a Student-t likelihood, linear time trend, and day-of-week effects. The full-data posterior used for the project's 30-day forecasting stage was not used to calculate the held-out accuracy metrics. Therefore, the test-period observations were not incorporated into the model estimation used for this comparison, avoiding data leakage.</w:t>
      </w:r>
    </w:p>
    <w:p>
      <w:pPr>
        <w:pStyle w:val="Heading1"/>
        <w:rPr/>
      </w:pPr>
      <w:r>
        <w:rPr>
          <w:color w:val="000000"/>
        </w:rPr>
        <w:t>7. CONCLUSION</w:t>
      </w:r>
    </w:p>
    <w:p>
      <w:pPr>
        <w:pStyle w:val="Normal"/>
        <w:rPr/>
      </w:pPr>
      <w:r>
        <w:rPr>
          <w:b w:val="false"/>
          <w:bCs w:val="false"/>
        </w:rPr>
        <w:t xml:space="preserve">The forecasting comparison demonstrates that Bayesian Model 1 achieved the best point-prediction accuracy among the three evaluated approaches on the 12-day held-out test period. It obtained the lowest MAE of </w:t>
      </w:r>
      <w:r>
        <w:rPr>
          <w:rStyle w:val="Strong"/>
          <w:b w:val="false"/>
          <w:bCs w:val="false"/>
        </w:rPr>
        <w:t>$10,247.52</w:t>
      </w:r>
      <w:r>
        <w:rPr>
          <w:b w:val="false"/>
          <w:bCs w:val="false"/>
        </w:rPr>
        <w:t xml:space="preserve"> and RMSE of </w:t>
      </w:r>
      <w:r>
        <w:rPr>
          <w:rStyle w:val="Strong"/>
          <w:b w:val="false"/>
          <w:bCs w:val="false"/>
        </w:rPr>
        <w:t>$11,956.49</w:t>
      </w:r>
      <w:r>
        <w:rPr>
          <w:b w:val="false"/>
          <w:bCs w:val="false"/>
        </w:rPr>
        <w:t xml:space="preserve">, compared with an MAE of </w:t>
      </w:r>
      <w:r>
        <w:rPr>
          <w:rStyle w:val="Strong"/>
          <w:b w:val="false"/>
          <w:bCs w:val="false"/>
        </w:rPr>
        <w:t>$12,221.39</w:t>
      </w:r>
      <w:r>
        <w:rPr>
          <w:b w:val="false"/>
          <w:bCs w:val="false"/>
        </w:rPr>
        <w:t xml:space="preserve"> and RMSE of </w:t>
      </w:r>
      <w:r>
        <w:rPr>
          <w:rStyle w:val="Strong"/>
          <w:b w:val="false"/>
          <w:bCs w:val="false"/>
        </w:rPr>
        <w:t>$13,658.38</w:t>
      </w:r>
      <w:r>
        <w:rPr>
          <w:b w:val="false"/>
          <w:bCs w:val="false"/>
        </w:rPr>
        <w:t xml:space="preserve"> for ARIMA(1,1,3), and an MAE of </w:t>
      </w:r>
      <w:r>
        <w:rPr>
          <w:rStyle w:val="Strong"/>
          <w:b w:val="false"/>
          <w:bCs w:val="false"/>
        </w:rPr>
        <w:t>$15,528.27</w:t>
      </w:r>
      <w:r>
        <w:rPr>
          <w:b w:val="false"/>
          <w:bCs w:val="false"/>
        </w:rPr>
        <w:t xml:space="preserve"> and RMSE of </w:t>
      </w:r>
      <w:r>
        <w:rPr>
          <w:rStyle w:val="Strong"/>
          <w:b w:val="false"/>
          <w:bCs w:val="false"/>
        </w:rPr>
        <w:t>$17,622.79</w:t>
      </w:r>
      <w:r>
        <w:rPr>
          <w:b w:val="false"/>
          <w:bCs w:val="false"/>
        </w:rPr>
        <w:t xml:space="preserve"> for the 7-day moving-average model. Thus, the Bayesian model provided the most accurate predictions for the evaluated test period. The results also show that the Bayesian approach can complement conventional forecasting methods by providing a probabilistic modelling framework in addition to point predictions. However, the performance difference should be interpreted specifically for the available dataset and test period and should not be generalized to all cloud-cost forecasting scenarios. </w:t>
      </w:r>
    </w:p>
    <w:p>
      <w:pPr>
        <w:pStyle w:val="Normal"/>
        <w:widowControl/>
        <w:bidi w:val="0"/>
        <w:spacing w:lineRule="auto" w:line="240" w:before="0" w:after="80"/>
        <w:jc w:val="start"/>
        <w:rPr/>
      </w:pPr>
      <w:r>
        <w:rPr>
          <w:b/>
        </w:rPr>
        <w:t xml:space="preserve">Data basis: </w:t>
      </w:r>
      <w:r>
        <w:rPr/>
        <w:t>Approved GCP billing dataset and the project's documented 59-day daily-cost modelling series. All monetary values in this comparison are reported in USD.</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80"/>
      <w:jc w:val="start"/>
    </w:pPr>
    <w:rPr>
      <w:rFonts w:ascii="Times New Roman" w:hAnsi="Times New Roman"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LibreOffice/26.2.6.3$Windows_X86_64 LibreOffice_project/8221e31b3ac356a1623c672912a3d2b492f7e3d1</Application>
  <AppVersion>15.0000</AppVersion>
  <Pages>4</Pages>
  <Words>905</Words>
  <Characters>5382</Characters>
  <CharactersWithSpaces>6150</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2026-10-09T01:38:46Z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