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b/>
          <w:bCs/>
          <w:sz w:val="40"/>
          <w:szCs w:val="40"/>
        </w:rPr>
        <w:t>Bayesian Forecasting for Cloud Cost Optimization:</w:t>
      </w:r>
    </w:p>
    <w:p>
      <w:pPr>
        <w:pStyle w:val="Normal"/>
        <w:spacing w:before="0" w:after="200"/>
        <w:jc w:val="center"/>
        <w:rPr/>
      </w:pPr>
      <w:r>
        <w:rPr>
          <w:b/>
          <w:bCs/>
          <w:sz w:val="30"/>
          <w:szCs w:val="30"/>
        </w:rPr>
        <w:t>Probabilistic Forecasting and Budget-Risk Analysis on GCP Billing Data</w:t>
      </w:r>
    </w:p>
    <w:tbl>
      <w:tblPr>
        <w:tblW w:w="10080" w:type="dxa"/>
        <w:jc w:val="start"/>
        <w:tblInd w:w="0" w:type="dxa"/>
        <w:tblLayout w:type="fixed"/>
        <w:tblCellMar>
          <w:top w:w="0" w:type="dxa"/>
          <w:start w:w="40" w:type="dxa"/>
          <w:bottom w:w="0" w:type="dxa"/>
          <w:end w:w="40" w:type="dxa"/>
        </w:tblCellMar>
        <w:tblLook w:val="0000" w:firstRow="0" w:noVBand="0" w:lastRow="0" w:firstColumn="0" w:lastColumn="0" w:noHBand="0"/>
      </w:tblPr>
      <w:tblGrid>
        <w:gridCol w:w="2016"/>
        <w:gridCol w:w="2016"/>
        <w:gridCol w:w="2016"/>
        <w:gridCol w:w="2016"/>
        <w:gridCol w:w="2016"/>
      </w:tblGrid>
      <w:tr>
        <w:trPr/>
        <w:tc>
          <w:tcPr>
            <w:tcW w:w="2016" w:type="dxa"/>
            <w:tcBorders/>
          </w:tcPr>
          <w:p>
            <w:pPr>
              <w:pStyle w:val="Normal"/>
              <w:jc w:val="center"/>
              <w:rPr>
                <w:sz w:val="22"/>
                <w:szCs w:val="22"/>
              </w:rPr>
            </w:pPr>
            <w:r>
              <w:rPr>
                <w:sz w:val="22"/>
                <w:szCs w:val="22"/>
              </w:rPr>
              <w:t>Suyash Batra</w:t>
            </w:r>
          </w:p>
          <w:p>
            <w:pPr>
              <w:pStyle w:val="Normal"/>
              <w:jc w:val="center"/>
              <w:rPr/>
            </w:pPr>
            <w:r>
              <w:rPr>
                <w:rStyle w:val="Strong"/>
                <w:b w:val="false"/>
                <w:bCs w:val="false"/>
                <w:strike w:val="false"/>
                <w:dstrike w:val="false"/>
                <w:color w:val="111111"/>
                <w:sz w:val="22"/>
                <w:szCs w:val="22"/>
                <w:u w:val="none"/>
                <w:effect w:val="none"/>
                <w:shd w:fill="auto" w:val="clear"/>
              </w:rPr>
              <w:t>School of Computer Science Engineering and Information Systems</w:t>
            </w:r>
            <w:r>
              <w:rPr>
                <w:b w:val="false"/>
                <w:bCs w:val="false"/>
                <w:strike w:val="false"/>
                <w:dstrike w:val="false"/>
                <w:color w:val="111111"/>
                <w:sz w:val="22"/>
                <w:szCs w:val="22"/>
                <w:u w:val="none"/>
                <w:effect w:val="none"/>
                <w:shd w:fill="auto" w:val="clear"/>
              </w:rPr>
              <w:t>.</w:t>
            </w:r>
          </w:p>
          <w:p>
            <w:pPr>
              <w:pStyle w:val="Normal"/>
              <w:jc w:val="center"/>
              <w:rPr>
                <w:sz w:val="22"/>
                <w:szCs w:val="22"/>
              </w:rPr>
            </w:pPr>
            <w:r>
              <w:rPr>
                <w:sz w:val="22"/>
                <w:szCs w:val="22"/>
              </w:rPr>
              <w:t>Vellore Institute of Technology Vellore, India</w:t>
            </w:r>
          </w:p>
          <w:p>
            <w:pPr>
              <w:pStyle w:val="Normal"/>
              <w:jc w:val="center"/>
              <w:rPr>
                <w:sz w:val="22"/>
                <w:szCs w:val="22"/>
              </w:rPr>
            </w:pPr>
            <w:r>
              <w:rPr/>
            </w:r>
          </w:p>
          <w:p>
            <w:pPr>
              <w:pStyle w:val="Normal"/>
              <w:jc w:val="center"/>
              <w:rPr/>
            </w:pPr>
            <w:r>
              <w:rPr>
                <w:sz w:val="22"/>
                <w:szCs w:val="22"/>
              </w:rPr>
              <w:t>26MCA0005</w:t>
            </w:r>
          </w:p>
        </w:tc>
        <w:tc>
          <w:tcPr>
            <w:tcW w:w="2016" w:type="dxa"/>
            <w:tcBorders/>
          </w:tcPr>
          <w:p>
            <w:pPr>
              <w:pStyle w:val="Normal"/>
              <w:jc w:val="center"/>
              <w:rPr/>
            </w:pPr>
            <w:r>
              <w:rPr>
                <w:rStyle w:val="Strong"/>
                <w:b w:val="false"/>
                <w:bCs w:val="false"/>
                <w:strike w:val="false"/>
                <w:dstrike w:val="false"/>
                <w:color w:val="111111"/>
                <w:sz w:val="22"/>
                <w:szCs w:val="22"/>
                <w:u w:val="none"/>
                <w:effect w:val="none"/>
                <w:shd w:fill="auto" w:val="clear"/>
              </w:rPr>
              <w:t>School of Computer Science Engineering and Information Systems</w:t>
            </w:r>
            <w:r>
              <w:rPr>
                <w:b w:val="false"/>
                <w:bCs w:val="false"/>
                <w:strike w:val="false"/>
                <w:dstrike w:val="false"/>
                <w:color w:val="111111"/>
                <w:sz w:val="22"/>
                <w:szCs w:val="22"/>
                <w:u w:val="none"/>
                <w:effect w:val="none"/>
                <w:shd w:fill="auto" w:val="clear"/>
              </w:rPr>
              <w:t>.</w:t>
            </w:r>
          </w:p>
          <w:p>
            <w:pPr>
              <w:pStyle w:val="Normal"/>
              <w:jc w:val="center"/>
              <w:rPr>
                <w:sz w:val="22"/>
                <w:szCs w:val="22"/>
              </w:rPr>
            </w:pPr>
            <w:r>
              <w:rPr>
                <w:sz w:val="22"/>
                <w:szCs w:val="22"/>
              </w:rPr>
              <w:t>Vellore Institute of Technology Vellore, India</w:t>
            </w:r>
          </w:p>
          <w:p>
            <w:pPr>
              <w:pStyle w:val="Normal"/>
              <w:jc w:val="center"/>
              <w:rPr>
                <w:sz w:val="22"/>
                <w:szCs w:val="22"/>
              </w:rPr>
            </w:pPr>
            <w:r>
              <w:rPr/>
            </w:r>
          </w:p>
          <w:p>
            <w:pPr>
              <w:pStyle w:val="Normal"/>
              <w:jc w:val="center"/>
              <w:rPr/>
            </w:pPr>
            <w:r>
              <w:rPr>
                <w:sz w:val="22"/>
                <w:szCs w:val="22"/>
              </w:rPr>
              <w:t>26MCA0004</w:t>
            </w:r>
          </w:p>
        </w:tc>
        <w:tc>
          <w:tcPr>
            <w:tcW w:w="2016" w:type="dxa"/>
            <w:tcBorders/>
          </w:tcPr>
          <w:p>
            <w:pPr>
              <w:pStyle w:val="Normal"/>
              <w:jc w:val="center"/>
              <w:rPr>
                <w:sz w:val="22"/>
                <w:szCs w:val="22"/>
              </w:rPr>
            </w:pPr>
            <w:r>
              <w:rPr>
                <w:sz w:val="22"/>
                <w:szCs w:val="22"/>
              </w:rPr>
              <w:t>Revathi Rajesh</w:t>
            </w:r>
          </w:p>
          <w:p>
            <w:pPr>
              <w:pStyle w:val="Normal"/>
              <w:jc w:val="center"/>
              <w:rPr/>
            </w:pPr>
            <w:r>
              <w:rPr>
                <w:rStyle w:val="Strong"/>
                <w:b w:val="false"/>
                <w:bCs w:val="false"/>
                <w:strike w:val="false"/>
                <w:dstrike w:val="false"/>
                <w:color w:val="111111"/>
                <w:sz w:val="22"/>
                <w:szCs w:val="22"/>
                <w:u w:val="none"/>
                <w:effect w:val="none"/>
                <w:shd w:fill="auto" w:val="clear"/>
              </w:rPr>
              <w:t>School of Computer Science Engineering and Information Systems</w:t>
            </w:r>
            <w:r>
              <w:rPr>
                <w:b w:val="false"/>
                <w:bCs w:val="false"/>
                <w:strike w:val="false"/>
                <w:dstrike w:val="false"/>
                <w:color w:val="111111"/>
                <w:sz w:val="22"/>
                <w:szCs w:val="22"/>
                <w:u w:val="none"/>
                <w:effect w:val="none"/>
                <w:shd w:fill="auto" w:val="clear"/>
              </w:rPr>
              <w:t>.</w:t>
            </w:r>
          </w:p>
          <w:p>
            <w:pPr>
              <w:pStyle w:val="Normal"/>
              <w:jc w:val="center"/>
              <w:rPr>
                <w:sz w:val="22"/>
                <w:szCs w:val="22"/>
              </w:rPr>
            </w:pPr>
            <w:r>
              <w:rPr>
                <w:sz w:val="22"/>
                <w:szCs w:val="22"/>
              </w:rPr>
              <w:t>Vellore Institute of Technology Vellore, India</w:t>
            </w:r>
          </w:p>
          <w:p>
            <w:pPr>
              <w:pStyle w:val="Normal"/>
              <w:jc w:val="center"/>
              <w:rPr>
                <w:sz w:val="22"/>
                <w:szCs w:val="22"/>
              </w:rPr>
            </w:pPr>
            <w:r>
              <w:rPr/>
            </w:r>
          </w:p>
          <w:p>
            <w:pPr>
              <w:pStyle w:val="Normal"/>
              <w:jc w:val="center"/>
              <w:rPr/>
            </w:pPr>
            <w:r>
              <w:rPr>
                <w:sz w:val="22"/>
                <w:szCs w:val="22"/>
              </w:rPr>
              <w:t>26MCA0006</w:t>
            </w:r>
          </w:p>
        </w:tc>
        <w:tc>
          <w:tcPr>
            <w:tcW w:w="2016" w:type="dxa"/>
            <w:tcBorders/>
          </w:tcPr>
          <w:p>
            <w:pPr>
              <w:pStyle w:val="Normal"/>
              <w:jc w:val="center"/>
              <w:rPr>
                <w:sz w:val="22"/>
                <w:szCs w:val="22"/>
              </w:rPr>
            </w:pPr>
            <w:r>
              <w:rPr>
                <w:sz w:val="22"/>
                <w:szCs w:val="22"/>
              </w:rPr>
              <w:t>Irine Mary</w:t>
            </w:r>
          </w:p>
          <w:p>
            <w:pPr>
              <w:pStyle w:val="Normal"/>
              <w:jc w:val="center"/>
              <w:rPr/>
            </w:pPr>
            <w:r>
              <w:rPr>
                <w:rStyle w:val="Strong"/>
                <w:b w:val="false"/>
                <w:bCs w:val="false"/>
                <w:strike w:val="false"/>
                <w:dstrike w:val="false"/>
                <w:color w:val="111111"/>
                <w:sz w:val="22"/>
                <w:szCs w:val="22"/>
                <w:u w:val="none"/>
                <w:effect w:val="none"/>
                <w:shd w:fill="auto" w:val="clear"/>
              </w:rPr>
              <w:t>School of Computer Science Engineering and Information Systems</w:t>
            </w:r>
            <w:r>
              <w:rPr>
                <w:b w:val="false"/>
                <w:bCs w:val="false"/>
                <w:strike w:val="false"/>
                <w:dstrike w:val="false"/>
                <w:color w:val="111111"/>
                <w:sz w:val="22"/>
                <w:szCs w:val="22"/>
                <w:u w:val="none"/>
                <w:effect w:val="none"/>
                <w:shd w:fill="auto" w:val="clear"/>
              </w:rPr>
              <w:t>.</w:t>
            </w:r>
          </w:p>
          <w:p>
            <w:pPr>
              <w:pStyle w:val="Normal"/>
              <w:jc w:val="center"/>
              <w:rPr>
                <w:sz w:val="22"/>
                <w:szCs w:val="22"/>
              </w:rPr>
            </w:pPr>
            <w:r>
              <w:rPr>
                <w:sz w:val="22"/>
                <w:szCs w:val="22"/>
              </w:rPr>
              <w:t>Vellore Institute of Technology Vellore, India</w:t>
            </w:r>
          </w:p>
          <w:p>
            <w:pPr>
              <w:pStyle w:val="Normal"/>
              <w:jc w:val="center"/>
              <w:rPr>
                <w:sz w:val="22"/>
                <w:szCs w:val="22"/>
              </w:rPr>
            </w:pPr>
            <w:r>
              <w:rPr/>
            </w:r>
          </w:p>
          <w:p>
            <w:pPr>
              <w:pStyle w:val="Normal"/>
              <w:jc w:val="center"/>
              <w:rPr/>
            </w:pPr>
            <w:r>
              <w:rPr>
                <w:sz w:val="22"/>
                <w:szCs w:val="22"/>
              </w:rPr>
              <w:t>26MCA0007</w:t>
            </w:r>
          </w:p>
        </w:tc>
        <w:tc>
          <w:tcPr>
            <w:tcW w:w="2016" w:type="dxa"/>
            <w:tcBorders/>
          </w:tcPr>
          <w:p>
            <w:pPr>
              <w:pStyle w:val="Normal"/>
              <w:jc w:val="center"/>
              <w:rPr/>
            </w:pPr>
            <w:r>
              <w:rPr>
                <w:rStyle w:val="Strong"/>
                <w:b w:val="false"/>
                <w:bCs w:val="false"/>
                <w:strike w:val="false"/>
                <w:dstrike w:val="false"/>
                <w:color w:val="111111"/>
                <w:sz w:val="22"/>
                <w:szCs w:val="22"/>
                <w:u w:val="none"/>
                <w:effect w:val="none"/>
                <w:shd w:fill="auto" w:val="clear"/>
              </w:rPr>
              <w:t>School of Computer Science Engineering and Information Systems</w:t>
            </w:r>
            <w:r>
              <w:rPr>
                <w:b w:val="false"/>
                <w:bCs w:val="false"/>
                <w:strike w:val="false"/>
                <w:dstrike w:val="false"/>
                <w:color w:val="111111"/>
                <w:sz w:val="22"/>
                <w:szCs w:val="22"/>
                <w:u w:val="none"/>
                <w:effect w:val="none"/>
                <w:shd w:fill="auto" w:val="clear"/>
              </w:rPr>
              <w:t>.</w:t>
            </w:r>
          </w:p>
          <w:p>
            <w:pPr>
              <w:pStyle w:val="Normal"/>
              <w:jc w:val="center"/>
              <w:rPr>
                <w:sz w:val="22"/>
                <w:szCs w:val="22"/>
              </w:rPr>
            </w:pPr>
            <w:r>
              <w:rPr>
                <w:sz w:val="22"/>
                <w:szCs w:val="22"/>
              </w:rPr>
              <w:t>Vellore Institute of Technology Vellore, India</w:t>
            </w:r>
          </w:p>
          <w:p>
            <w:pPr>
              <w:pStyle w:val="Normal"/>
              <w:jc w:val="center"/>
              <w:rPr>
                <w:sz w:val="22"/>
                <w:szCs w:val="22"/>
              </w:rPr>
            </w:pPr>
            <w:r>
              <w:rPr/>
            </w:r>
          </w:p>
          <w:p>
            <w:pPr>
              <w:pStyle w:val="Normal"/>
              <w:jc w:val="center"/>
              <w:rPr/>
            </w:pPr>
            <w:r>
              <w:rPr>
                <w:sz w:val="22"/>
                <w:szCs w:val="22"/>
              </w:rPr>
              <w:t>26MCA0008</w:t>
            </w:r>
          </w:p>
        </w:tc>
      </w:tr>
    </w:tbl>
    <w:p>
      <w:pPr>
        <w:pStyle w:val="Normal"/>
        <w:spacing w:before="0" w:after="160"/>
        <w:rPr/>
      </w:pPr>
      <w:r>
        <w:rPr/>
      </w:r>
    </w:p>
    <w:p>
      <w:pPr>
        <w:sectPr>
          <w:type w:val="nextPage"/>
          <w:pgSz w:w="12240" w:h="15840"/>
          <w:pgMar w:left="1080" w:right="1080" w:gutter="0" w:header="0" w:top="1080" w:footer="0" w:bottom="1080"/>
          <w:pgNumType w:fmt="decimal"/>
          <w:formProt w:val="false"/>
          <w:textDirection w:val="lrTb"/>
          <w:docGrid w:type="default" w:linePitch="360" w:charSpace="0"/>
        </w:sectPr>
      </w:pPr>
    </w:p>
    <w:p>
      <w:pPr>
        <w:pStyle w:val="Normal"/>
        <w:spacing w:lineRule="auto" w:line="221" w:before="0" w:after="80"/>
        <w:jc w:val="both"/>
        <w:rPr/>
      </w:pPr>
      <w:r>
        <w:rPr>
          <w:b/>
          <w:bCs/>
          <w:i/>
          <w:iCs/>
          <w:sz w:val="18"/>
          <w:szCs w:val="18"/>
        </w:rPr>
        <w:t>Abstract—</w:t>
      </w:r>
      <w:r>
        <w:rPr>
          <w:b/>
          <w:bCs/>
          <w:sz w:val="18"/>
          <w:szCs w:val="18"/>
        </w:rPr>
        <w:t>Cloud billing under the pay-as-you-go model is hard to budget, because a single point forecast says nothing about how likely an overrun is. This report develops a Bayesian framework for forecasting and optimizing cloud cost on a public Google Cloud Platform (GCP) billing dataset of 1,000 resource-level records covering 25 services and 12 regions. After an exploratory analysis, two models are fitted in PyMC with the No-U-Turn Sampler: a Student-t time-series model of 59 daily total costs with a linear trend and day-of-week effects, and a hierarchical lognormal model that ranks the 25 services by cost per record. Posterior predictive simulation of 4,000 future scenarios gives a median 30-day cost of $793,267.40 and a 3.17% probability of exceeding a data-based planning budget of $1,073,313.26. The posterior probability of an increasing daily trend is only 0.01, and 26 potentially idle resources account for 2.95% of historical cost, which gives scenario savings of $11,703 to $23,407. On a 12-day held-out period the Bayesian model attains an MAE of $10,247.52, against $12,221.39 for ARIMA(1,1,3) and $15,528.27 for a 7-day moving average. The main limitation is the short 59-day history, which makes trend extrapolation uncertain.</w:t>
      </w:r>
    </w:p>
    <w:p>
      <w:pPr>
        <w:pStyle w:val="Normal"/>
        <w:spacing w:lineRule="auto" w:line="221" w:before="0" w:after="100"/>
        <w:jc w:val="both"/>
        <w:rPr/>
      </w:pPr>
      <w:r>
        <w:rPr>
          <w:b/>
          <w:bCs/>
          <w:i/>
          <w:iCs/>
          <w:sz w:val="18"/>
          <w:szCs w:val="18"/>
        </w:rPr>
        <w:t>Index Terms—</w:t>
      </w:r>
      <w:r>
        <w:rPr>
          <w:b/>
          <w:bCs/>
          <w:sz w:val="18"/>
          <w:szCs w:val="18"/>
        </w:rPr>
        <w:t>Bayesian forecasting, cloud cost optimization, credible interval, GCP billing, hierarchical model, PyMC, Student-t, time series.</w:t>
      </w:r>
    </w:p>
    <w:p>
      <w:pPr>
        <w:pStyle w:val="Heading1"/>
        <w:rPr/>
      </w:pPr>
      <w:r>
        <w:rPr/>
        <w:t>I. INTRODUCTION</w:t>
      </w:r>
    </w:p>
    <w:p>
      <w:pPr>
        <w:pStyle w:val="Normal"/>
        <w:spacing w:lineRule="auto" w:line="228" w:before="0" w:after="50"/>
        <w:ind w:firstLine="240"/>
        <w:jc w:val="both"/>
        <w:rPr/>
      </w:pPr>
      <w:r>
        <w:rPr/>
        <w:t>Cloud computing has become a core part of modern IT infrastructure. Platforms such as Google Cloud Platform (GCP) supply computing, storage, networking, database and analytics services on demand, without the cost of owning equivalent hardware [1]. The pay-as-you-use pricing model that makes this flexible also makes spending hard to control, because cost varies with resource consumption, service type, region, usage duration and pricing rates. Organizations therefore need methods to understand past expenditure and to estimate how likely a future cost increase or budget overrun is.</w:t>
      </w:r>
    </w:p>
    <w:p>
      <w:pPr>
        <w:pStyle w:val="Normal"/>
        <w:spacing w:lineRule="auto" w:line="228" w:before="0" w:after="50"/>
        <w:ind w:firstLine="240"/>
        <w:jc w:val="both"/>
        <w:rPr/>
      </w:pPr>
      <w:r>
        <w:rPr/>
        <w:t xml:space="preserve">Conventional forecasts return a single predicted value. For budgeting, an expected cost is of limited use unless decision makers also know the probability that the actual cost will exceed a planned budget. Bayesian statistics provides a natural framework for this, because it combines prior information with observed data to obtain posterior distributions [2], from which a range of plausible outcomes and the probability of events such as a budget overrun can be read directly. The research question of this report is therefore: </w:t>
      </w:r>
      <w:r>
        <w:rPr>
          <w:i/>
          <w:iCs/>
        </w:rPr>
        <w:t>how can Bayesian methods be used to model cloud expenditure, quantify the uncertainty of cost predictions and estimate the probability of exceeding a predefined budget?</w:t>
      </w:r>
    </w:p>
    <w:p>
      <w:pPr>
        <w:pStyle w:val="Normal"/>
        <w:spacing w:lineRule="auto" w:line="228" w:before="0" w:after="50"/>
        <w:ind w:firstLine="240"/>
        <w:jc w:val="both"/>
        <w:rPr/>
      </w:pPr>
      <w:r>
        <w:rPr/>
        <w:t>This report describes “Bayesian Forecasting for Cloud Cost Optimization”, developed as an MCA Probability and Statistics course project. It uses a public GCP billing dataset [3] and a Bayesian workflow written in Python with PyMC. Every model, prior and decision quantity is stated explicitly, and the code is available in the project repository [4]. The contributions of the project are:</w:t>
      </w:r>
    </w:p>
    <w:p>
      <w:pPr>
        <w:pStyle w:val="ListParagraph"/>
        <w:numPr>
          <w:ilvl w:val="0"/>
          <w:numId w:val="4"/>
        </w:numPr>
        <w:spacing w:lineRule="auto" w:line="228" w:before="0" w:after="40"/>
        <w:jc w:val="both"/>
        <w:rPr/>
      </w:pPr>
      <w:r>
        <w:rPr/>
        <w:t>an exploratory and statistical analysis of 1,000 GCP billing records, covering distributions, outliers, correlations and service-, region- and month-level cost;</w:t>
      </w:r>
    </w:p>
    <w:p>
      <w:pPr>
        <w:pStyle w:val="ListParagraph"/>
        <w:numPr>
          <w:ilvl w:val="0"/>
          <w:numId w:val="2"/>
        </w:numPr>
        <w:spacing w:lineRule="auto" w:line="228" w:before="0" w:after="40"/>
        <w:jc w:val="both"/>
        <w:rPr/>
      </w:pPr>
      <w:r>
        <w:rPr/>
        <w:t>two Bayesian models: a Student-t time-series model of daily cost and a hierarchical lognormal model of service-level cost;</w:t>
      </w:r>
    </w:p>
    <w:p>
      <w:pPr>
        <w:pStyle w:val="ListParagraph"/>
        <w:numPr>
          <w:ilvl w:val="0"/>
          <w:numId w:val="2"/>
        </w:numPr>
        <w:spacing w:lineRule="auto" w:line="228" w:before="0" w:after="40"/>
        <w:jc w:val="both"/>
        <w:rPr/>
      </w:pPr>
      <w:r>
        <w:rPr/>
        <w:t>a 30-day posterior predictive forecast with predictive intervals and the probability of exceeding a planning budget;</w:t>
      </w:r>
    </w:p>
    <w:p>
      <w:pPr>
        <w:pStyle w:val="ListParagraph"/>
        <w:numPr>
          <w:ilvl w:val="0"/>
          <w:numId w:val="2"/>
        </w:numPr>
        <w:spacing w:lineRule="auto" w:line="228" w:before="0" w:after="40"/>
        <w:jc w:val="both"/>
        <w:rPr/>
      </w:pPr>
      <w:r>
        <w:rPr/>
        <w:t>an analysis of potentially idle resources with what-if optimization scenarios; and</w:t>
      </w:r>
    </w:p>
    <w:p>
      <w:pPr>
        <w:pStyle w:val="ListParagraph"/>
        <w:numPr>
          <w:ilvl w:val="0"/>
          <w:numId w:val="2"/>
        </w:numPr>
        <w:spacing w:lineRule="auto" w:line="228" w:before="0" w:after="40"/>
        <w:jc w:val="both"/>
        <w:rPr/>
      </w:pPr>
      <w:r>
        <w:rPr/>
        <w:t>a held-out comparison of the Bayesian model with ARIMA and a 7-day moving average.</w:t>
      </w:r>
    </w:p>
    <w:p>
      <w:pPr>
        <w:pStyle w:val="Normal"/>
        <w:spacing w:lineRule="auto" w:line="228" w:before="0" w:after="50"/>
        <w:ind w:firstLine="240"/>
        <w:jc w:val="both"/>
        <w:rPr/>
      </w:pPr>
      <w:r>
        <w:rPr/>
        <w:t>Because the data cover only about two months, the report does not claim long-term seasonal forecasting. It builds and evaluates a probabilistic framework on the available observations.</w:t>
      </w:r>
    </w:p>
    <w:p>
      <w:pPr>
        <w:pStyle w:val="Normal"/>
        <w:spacing w:lineRule="auto" w:line="228" w:before="0" w:after="50"/>
        <w:ind w:firstLine="240"/>
        <w:jc w:val="both"/>
        <w:rPr/>
      </w:pPr>
      <w:r>
        <w:rPr/>
        <w:t>The rest of this report is organized as follows. Section II reviews related work. Section III describes the dataset and Section IV presents the exploratory analysis. Section V presents the methodology, Section VI the implementation and Section VII the experimental setup. Results are discussed in Section VIII, limitations and future work in Section IX, and Section X concludes.</w:t>
      </w:r>
    </w:p>
    <w:p>
      <w:pPr>
        <w:pStyle w:val="Heading1"/>
        <w:rPr/>
      </w:pPr>
      <w:r>
        <w:rPr/>
        <w:t>II. RELATED WORK</w:t>
      </w:r>
    </w:p>
    <w:p>
      <w:pPr>
        <w:pStyle w:val="Normal"/>
        <w:spacing w:lineRule="auto" w:line="228" w:before="0" w:after="50"/>
        <w:ind w:firstLine="240"/>
        <w:jc w:val="both"/>
        <w:rPr/>
      </w:pPr>
      <w:r>
        <w:rPr/>
        <w:t>Time-series forecasting of cost or demand is classically done with the autoregressive integrated moving-average (ARIMA) family introduced by Box and Jenkins [5], and with simple benchmarks such as moving averages; both are treated in standard textbooks [6]. These methods give a point forecast, and their prediction intervals rest on assumptions such as Gaussian errors. This report uses ARIMA and a 7-day moving average as baselines.</w:t>
      </w:r>
    </w:p>
    <w:p>
      <w:pPr>
        <w:pStyle w:val="Normal"/>
        <w:spacing w:lineRule="auto" w:line="228" w:before="0" w:after="50"/>
        <w:ind w:firstLine="240"/>
        <w:jc w:val="both"/>
        <w:rPr/>
      </w:pPr>
      <w:r>
        <w:rPr/>
        <w:t xml:space="preserve">Bayesian inference treats unknown parameters as random variables and reports their posterior distributions [2]. Forecasts follow from the posterior predictive distribution, so uncertainty in the parameters and in future noise is carried into the forecast. The Prophet model of Taylor and Letham is a widely used example of an additive trend-and-seasonality forecasting model that reports uncertainty intervals [7]. Gelman </w:t>
      </w:r>
      <w:r>
        <w:rPr>
          <w:i/>
          <w:iCs/>
        </w:rPr>
        <w:t>et al.</w:t>
      </w:r>
      <w:r>
        <w:rPr/>
        <w:t xml:space="preserve"> describe a complete Bayesian workflow of prior predictive checks, sampling, convergence diagnostics and posterior predictive checks [8], which this report follows.</w:t>
      </w:r>
    </w:p>
    <w:p>
      <w:pPr>
        <w:pStyle w:val="Normal"/>
        <w:spacing w:lineRule="auto" w:line="228" w:before="0" w:after="50"/>
        <w:ind w:firstLine="240"/>
        <w:jc w:val="both"/>
        <w:rPr/>
      </w:pPr>
      <w:r>
        <w:rPr/>
        <w:t>Practical Bayesian modelling relies on Markov chain Monte Carlo (MCMC). The No-U-Turn Sampler (NUTS) adapts the path length of Hamiltonian Monte Carlo automatically [9] and is available through the PyMC probabilistic programming library [10]. Hierarchical models partially pool group effects towards a common mean, which stabilises estimates for groups with few observations [2], and weakly informative priors for scale parameters are recommended by Gelman [11]. This work combines these tools for a cloud-cost setting, in which a point forecast is replaced by a distribution of future costs and a budget-overrun probability.</w:t>
      </w:r>
    </w:p>
    <w:p>
      <w:pPr>
        <w:pStyle w:val="Heading1"/>
        <w:rPr/>
      </w:pPr>
      <w:r>
        <w:rPr/>
        <w:t>III. DATASET</w:t>
      </w:r>
    </w:p>
    <w:p>
      <w:pPr>
        <w:pStyle w:val="Heading2"/>
        <w:rPr/>
      </w:pPr>
      <w:r>
        <w:rPr/>
        <w:t>A. Source</w:t>
      </w:r>
    </w:p>
    <w:p>
      <w:pPr>
        <w:pStyle w:val="Normal"/>
        <w:spacing w:lineRule="auto" w:line="228" w:before="0" w:after="50"/>
        <w:ind w:firstLine="240"/>
        <w:jc w:val="both"/>
        <w:rPr/>
      </w:pPr>
      <w:r>
        <w:rPr/>
        <w:t>The dataset is the public GCP Cloud Billing Data collection on Kaggle [3]. Each of its 1,000 rows is one cloud resource usage record, with service, usage, region, utilization, network, usage period, pricing and cost information. The records cover 30 June 2024 to 3 September 2024, about 64 days, so the data give a cross-sectional and short-period temporal view of consumption rather than a long billing history. Table I summarizes the dataset.</w:t>
      </w:r>
    </w:p>
    <w:p>
      <w:pPr>
        <w:pStyle w:val="Normal"/>
        <w:keepNext w:val="true"/>
        <w:spacing w:before="100" w:after="0"/>
        <w:jc w:val="center"/>
        <w:rPr/>
      </w:pPr>
      <w:r>
        <w:rPr>
          <w:sz w:val="16"/>
          <w:szCs w:val="16"/>
        </w:rPr>
        <w:t>TABLE I</w:t>
      </w:r>
    </w:p>
    <w:p>
      <w:pPr>
        <w:pStyle w:val="Normal"/>
        <w:keepNext w:val="true"/>
        <w:spacing w:before="0" w:after="40"/>
        <w:jc w:val="center"/>
        <w:rPr/>
      </w:pPr>
      <w:r>
        <w:rPr>
          <w:sz w:val="16"/>
          <w:szCs w:val="16"/>
        </w:rPr>
        <w:t>DATASET SUMMARY</w:t>
      </w:r>
    </w:p>
    <w:tbl>
      <w:tblPr>
        <w:tblW w:w="4860" w:type="dxa"/>
        <w:jc w:val="start"/>
        <w:tblInd w:w="0" w:type="dxa"/>
        <w:tblLayout w:type="fixed"/>
        <w:tblCellMar>
          <w:top w:w="18" w:type="dxa"/>
          <w:start w:w="45" w:type="dxa"/>
          <w:bottom w:w="18" w:type="dxa"/>
          <w:end w:w="45" w:type="dxa"/>
        </w:tblCellMar>
        <w:tblLook w:val="0000" w:firstRow="0" w:noVBand="0" w:lastRow="0" w:firstColumn="0" w:lastColumn="0" w:noHBand="0"/>
      </w:tblPr>
      <w:tblGrid>
        <w:gridCol w:w="1700"/>
        <w:gridCol w:w="3160"/>
      </w:tblGrid>
      <w:tr>
        <w:trPr>
          <w:tblHeader w:val="true"/>
          <w:cantSplit/>
        </w:trPr>
        <w:tc>
          <w:tcPr>
            <w:tcW w:w="1700" w:type="dxa"/>
            <w:tcBorders>
              <w:top w:val="single" w:sz="8" w:space="0" w:color="000000"/>
              <w:bottom w:val="single" w:sz="4" w:space="0" w:color="000000"/>
            </w:tcBorders>
            <w:vAlign w:val="center"/>
          </w:tcPr>
          <w:p>
            <w:pPr>
              <w:pStyle w:val="Normal"/>
              <w:rPr/>
            </w:pPr>
            <w:r>
              <w:rPr>
                <w:b/>
                <w:bCs/>
                <w:sz w:val="15"/>
                <w:szCs w:val="15"/>
              </w:rPr>
              <w:t>Attribute</w:t>
            </w:r>
          </w:p>
        </w:tc>
        <w:tc>
          <w:tcPr>
            <w:tcW w:w="3160" w:type="dxa"/>
            <w:tcBorders>
              <w:top w:val="single" w:sz="8" w:space="0" w:color="000000"/>
              <w:bottom w:val="single" w:sz="4" w:space="0" w:color="000000"/>
            </w:tcBorders>
            <w:vAlign w:val="center"/>
          </w:tcPr>
          <w:p>
            <w:pPr>
              <w:pStyle w:val="Normal"/>
              <w:rPr/>
            </w:pPr>
            <w:r>
              <w:rPr>
                <w:b/>
                <w:bCs/>
                <w:sz w:val="15"/>
                <w:szCs w:val="15"/>
              </w:rPr>
              <w:t>Value</w:t>
            </w:r>
          </w:p>
        </w:tc>
      </w:tr>
      <w:tr>
        <w:trPr>
          <w:cantSplit/>
        </w:trPr>
        <w:tc>
          <w:tcPr>
            <w:tcW w:w="1700" w:type="dxa"/>
            <w:tcBorders/>
            <w:vAlign w:val="center"/>
          </w:tcPr>
          <w:p>
            <w:pPr>
              <w:pStyle w:val="Normal"/>
              <w:rPr/>
            </w:pPr>
            <w:r>
              <w:rPr>
                <w:sz w:val="15"/>
                <w:szCs w:val="15"/>
              </w:rPr>
              <w:t>Source</w:t>
            </w:r>
          </w:p>
        </w:tc>
        <w:tc>
          <w:tcPr>
            <w:tcW w:w="3160" w:type="dxa"/>
            <w:tcBorders/>
            <w:vAlign w:val="center"/>
          </w:tcPr>
          <w:p>
            <w:pPr>
              <w:pStyle w:val="Normal"/>
              <w:rPr/>
            </w:pPr>
            <w:r>
              <w:rPr>
                <w:sz w:val="15"/>
                <w:szCs w:val="15"/>
              </w:rPr>
              <w:t>Kaggle GCP billing data [3]</w:t>
            </w:r>
          </w:p>
        </w:tc>
      </w:tr>
      <w:tr>
        <w:trPr>
          <w:cantSplit/>
        </w:trPr>
        <w:tc>
          <w:tcPr>
            <w:tcW w:w="1700" w:type="dxa"/>
            <w:tcBorders/>
            <w:vAlign w:val="center"/>
          </w:tcPr>
          <w:p>
            <w:pPr>
              <w:pStyle w:val="Normal"/>
              <w:rPr/>
            </w:pPr>
            <w:r>
              <w:rPr>
                <w:sz w:val="15"/>
                <w:szCs w:val="15"/>
              </w:rPr>
              <w:t>Number of records</w:t>
            </w:r>
          </w:p>
        </w:tc>
        <w:tc>
          <w:tcPr>
            <w:tcW w:w="3160" w:type="dxa"/>
            <w:tcBorders/>
            <w:vAlign w:val="center"/>
          </w:tcPr>
          <w:p>
            <w:pPr>
              <w:pStyle w:val="Normal"/>
              <w:rPr/>
            </w:pPr>
            <w:r>
              <w:rPr>
                <w:sz w:val="15"/>
                <w:szCs w:val="15"/>
              </w:rPr>
              <w:t>1,000</w:t>
            </w:r>
          </w:p>
        </w:tc>
      </w:tr>
      <w:tr>
        <w:trPr>
          <w:cantSplit/>
        </w:trPr>
        <w:tc>
          <w:tcPr>
            <w:tcW w:w="1700" w:type="dxa"/>
            <w:tcBorders/>
            <w:vAlign w:val="center"/>
          </w:tcPr>
          <w:p>
            <w:pPr>
              <w:pStyle w:val="Normal"/>
              <w:rPr/>
            </w:pPr>
            <w:r>
              <w:rPr>
                <w:sz w:val="15"/>
                <w:szCs w:val="15"/>
              </w:rPr>
              <w:t>Number of attributes</w:t>
            </w:r>
          </w:p>
        </w:tc>
        <w:tc>
          <w:tcPr>
            <w:tcW w:w="3160" w:type="dxa"/>
            <w:tcBorders/>
            <w:vAlign w:val="center"/>
          </w:tcPr>
          <w:p>
            <w:pPr>
              <w:pStyle w:val="Normal"/>
              <w:rPr/>
            </w:pPr>
            <w:r>
              <w:rPr>
                <w:sz w:val="15"/>
                <w:szCs w:val="15"/>
              </w:rPr>
              <w:t>15</w:t>
            </w:r>
          </w:p>
        </w:tc>
      </w:tr>
      <w:tr>
        <w:trPr>
          <w:cantSplit/>
        </w:trPr>
        <w:tc>
          <w:tcPr>
            <w:tcW w:w="1700" w:type="dxa"/>
            <w:tcBorders/>
            <w:vAlign w:val="center"/>
          </w:tcPr>
          <w:p>
            <w:pPr>
              <w:pStyle w:val="Normal"/>
              <w:rPr/>
            </w:pPr>
            <w:r>
              <w:rPr>
                <w:sz w:val="15"/>
                <w:szCs w:val="15"/>
              </w:rPr>
              <w:t>Missing values</w:t>
            </w:r>
          </w:p>
        </w:tc>
        <w:tc>
          <w:tcPr>
            <w:tcW w:w="3160" w:type="dxa"/>
            <w:tcBorders/>
            <w:vAlign w:val="center"/>
          </w:tcPr>
          <w:p>
            <w:pPr>
              <w:pStyle w:val="Normal"/>
              <w:rPr/>
            </w:pPr>
            <w:r>
              <w:rPr>
                <w:sz w:val="15"/>
                <w:szCs w:val="15"/>
              </w:rPr>
              <w:t>0</w:t>
            </w:r>
          </w:p>
        </w:tc>
      </w:tr>
      <w:tr>
        <w:trPr>
          <w:cantSplit/>
        </w:trPr>
        <w:tc>
          <w:tcPr>
            <w:tcW w:w="1700" w:type="dxa"/>
            <w:tcBorders/>
            <w:vAlign w:val="center"/>
          </w:tcPr>
          <w:p>
            <w:pPr>
              <w:pStyle w:val="Normal"/>
              <w:rPr/>
            </w:pPr>
            <w:r>
              <w:rPr>
                <w:sz w:val="15"/>
                <w:szCs w:val="15"/>
              </w:rPr>
              <w:t>Duplicate records</w:t>
            </w:r>
          </w:p>
        </w:tc>
        <w:tc>
          <w:tcPr>
            <w:tcW w:w="3160" w:type="dxa"/>
            <w:tcBorders/>
            <w:vAlign w:val="center"/>
          </w:tcPr>
          <w:p>
            <w:pPr>
              <w:pStyle w:val="Normal"/>
              <w:rPr/>
            </w:pPr>
            <w:r>
              <w:rPr>
                <w:sz w:val="15"/>
                <w:szCs w:val="15"/>
              </w:rPr>
              <w:t>0</w:t>
            </w:r>
          </w:p>
        </w:tc>
      </w:tr>
      <w:tr>
        <w:trPr>
          <w:cantSplit/>
        </w:trPr>
        <w:tc>
          <w:tcPr>
            <w:tcW w:w="1700" w:type="dxa"/>
            <w:tcBorders/>
            <w:vAlign w:val="center"/>
          </w:tcPr>
          <w:p>
            <w:pPr>
              <w:pStyle w:val="Normal"/>
              <w:rPr/>
            </w:pPr>
            <w:r>
              <w:rPr>
                <w:sz w:val="15"/>
                <w:szCs w:val="15"/>
              </w:rPr>
              <w:t>Usage units</w:t>
            </w:r>
          </w:p>
        </w:tc>
        <w:tc>
          <w:tcPr>
            <w:tcW w:w="3160" w:type="dxa"/>
            <w:tcBorders/>
            <w:vAlign w:val="center"/>
          </w:tcPr>
          <w:p>
            <w:pPr>
              <w:pStyle w:val="Normal"/>
              <w:rPr/>
            </w:pPr>
            <w:r>
              <w:rPr>
                <w:sz w:val="15"/>
                <w:szCs w:val="15"/>
              </w:rPr>
              <w:t>Requests, GB, Hours</w:t>
            </w:r>
          </w:p>
        </w:tc>
      </w:tr>
      <w:tr>
        <w:trPr>
          <w:cantSplit/>
        </w:trPr>
        <w:tc>
          <w:tcPr>
            <w:tcW w:w="1700" w:type="dxa"/>
            <w:tcBorders/>
            <w:vAlign w:val="center"/>
          </w:tcPr>
          <w:p>
            <w:pPr>
              <w:pStyle w:val="Normal"/>
              <w:rPr/>
            </w:pPr>
            <w:r>
              <w:rPr>
                <w:sz w:val="15"/>
                <w:szCs w:val="15"/>
              </w:rPr>
              <w:t>Services represented</w:t>
            </w:r>
          </w:p>
        </w:tc>
        <w:tc>
          <w:tcPr>
            <w:tcW w:w="3160" w:type="dxa"/>
            <w:tcBorders/>
            <w:vAlign w:val="center"/>
          </w:tcPr>
          <w:p>
            <w:pPr>
              <w:pStyle w:val="Normal"/>
              <w:rPr/>
            </w:pPr>
            <w:r>
              <w:rPr>
                <w:sz w:val="15"/>
                <w:szCs w:val="15"/>
              </w:rPr>
              <w:t>25</w:t>
            </w:r>
          </w:p>
        </w:tc>
      </w:tr>
      <w:tr>
        <w:trPr>
          <w:cantSplit/>
        </w:trPr>
        <w:tc>
          <w:tcPr>
            <w:tcW w:w="1700" w:type="dxa"/>
            <w:tcBorders/>
            <w:vAlign w:val="center"/>
          </w:tcPr>
          <w:p>
            <w:pPr>
              <w:pStyle w:val="Normal"/>
              <w:rPr/>
            </w:pPr>
            <w:r>
              <w:rPr>
                <w:sz w:val="15"/>
                <w:szCs w:val="15"/>
              </w:rPr>
              <w:t>Regions/zones represented</w:t>
            </w:r>
          </w:p>
        </w:tc>
        <w:tc>
          <w:tcPr>
            <w:tcW w:w="3160" w:type="dxa"/>
            <w:tcBorders/>
            <w:vAlign w:val="center"/>
          </w:tcPr>
          <w:p>
            <w:pPr>
              <w:pStyle w:val="Normal"/>
              <w:rPr/>
            </w:pPr>
            <w:r>
              <w:rPr>
                <w:sz w:val="15"/>
                <w:szCs w:val="15"/>
              </w:rPr>
              <w:t>12</w:t>
            </w:r>
          </w:p>
        </w:tc>
      </w:tr>
      <w:tr>
        <w:trPr>
          <w:cantSplit/>
        </w:trPr>
        <w:tc>
          <w:tcPr>
            <w:tcW w:w="1700" w:type="dxa"/>
            <w:tcBorders/>
            <w:vAlign w:val="center"/>
          </w:tcPr>
          <w:p>
            <w:pPr>
              <w:pStyle w:val="Normal"/>
              <w:rPr/>
            </w:pPr>
            <w:r>
              <w:rPr>
                <w:sz w:val="15"/>
                <w:szCs w:val="15"/>
              </w:rPr>
              <w:t>Usage period</w:t>
            </w:r>
          </w:p>
        </w:tc>
        <w:tc>
          <w:tcPr>
            <w:tcW w:w="3160" w:type="dxa"/>
            <w:tcBorders/>
            <w:vAlign w:val="center"/>
          </w:tcPr>
          <w:p>
            <w:pPr>
              <w:pStyle w:val="Normal"/>
              <w:rPr/>
            </w:pPr>
            <w:r>
              <w:rPr>
                <w:sz w:val="15"/>
                <w:szCs w:val="15"/>
              </w:rPr>
              <w:t>30 Jun – 3 Sep 2024</w:t>
            </w:r>
          </w:p>
        </w:tc>
      </w:tr>
      <w:tr>
        <w:trPr>
          <w:cantSplit/>
        </w:trPr>
        <w:tc>
          <w:tcPr>
            <w:tcW w:w="1700" w:type="dxa"/>
            <w:tcBorders>
              <w:bottom w:val="single" w:sz="8" w:space="0" w:color="000000"/>
            </w:tcBorders>
            <w:vAlign w:val="center"/>
          </w:tcPr>
          <w:p>
            <w:pPr>
              <w:pStyle w:val="Normal"/>
              <w:rPr/>
            </w:pPr>
            <w:r>
              <w:rPr>
                <w:sz w:val="15"/>
                <w:szCs w:val="15"/>
              </w:rPr>
              <w:t>Usage duration</w:t>
            </w:r>
          </w:p>
        </w:tc>
        <w:tc>
          <w:tcPr>
            <w:tcW w:w="3160" w:type="dxa"/>
            <w:tcBorders>
              <w:bottom w:val="single" w:sz="8" w:space="0" w:color="000000"/>
            </w:tcBorders>
            <w:vAlign w:val="center"/>
          </w:tcPr>
          <w:p>
            <w:pPr>
              <w:pStyle w:val="Normal"/>
              <w:rPr/>
            </w:pPr>
            <w:r>
              <w:rPr>
                <w:sz w:val="15"/>
                <w:szCs w:val="15"/>
              </w:rPr>
              <w:t>24–144 h (mean ≈ 84 h)</w:t>
            </w:r>
          </w:p>
        </w:tc>
      </w:tr>
    </w:tbl>
    <w:p>
      <w:pPr>
        <w:pStyle w:val="Normal"/>
        <w:spacing w:before="0" w:after="60"/>
        <w:rPr/>
      </w:pPr>
      <w:r>
        <w:rPr/>
      </w:r>
    </w:p>
    <w:p>
      <w:pPr>
        <w:pStyle w:val="Heading2"/>
        <w:rPr/>
      </w:pPr>
      <w:r>
        <w:rPr/>
        <w:t>B. Variables</w:t>
      </w:r>
    </w:p>
    <w:p>
      <w:pPr>
        <w:pStyle w:val="Normal"/>
        <w:spacing w:lineRule="auto" w:line="228" w:before="0" w:after="50"/>
        <w:ind w:firstLine="240"/>
        <w:jc w:val="both"/>
        <w:rPr/>
      </w:pPr>
      <w:r>
        <w:rPr/>
        <w:t>The 15 variables are described in Table II. Cost is given in US dollars (unrounded and rounded) and as Total Cost in Indian rupees (INR).</w:t>
      </w:r>
    </w:p>
    <w:p>
      <w:pPr>
        <w:pStyle w:val="Normal"/>
        <w:keepNext w:val="true"/>
        <w:spacing w:before="100" w:after="0"/>
        <w:jc w:val="center"/>
        <w:rPr/>
      </w:pPr>
      <w:r>
        <w:rPr>
          <w:sz w:val="16"/>
          <w:szCs w:val="16"/>
        </w:rPr>
        <w:t>TABLE II</w:t>
      </w:r>
    </w:p>
    <w:p>
      <w:pPr>
        <w:pStyle w:val="Normal"/>
        <w:keepNext w:val="true"/>
        <w:spacing w:before="0" w:after="40"/>
        <w:jc w:val="center"/>
        <w:rPr/>
      </w:pPr>
      <w:r>
        <w:rPr>
          <w:sz w:val="16"/>
          <w:szCs w:val="16"/>
        </w:rPr>
        <w:t>DATASET VARIABLES</w:t>
      </w:r>
    </w:p>
    <w:tbl>
      <w:tblPr>
        <w:tblW w:w="4860" w:type="dxa"/>
        <w:jc w:val="start"/>
        <w:tblInd w:w="0" w:type="dxa"/>
        <w:tblLayout w:type="fixed"/>
        <w:tblCellMar>
          <w:top w:w="18" w:type="dxa"/>
          <w:start w:w="45" w:type="dxa"/>
          <w:bottom w:w="18" w:type="dxa"/>
          <w:end w:w="45" w:type="dxa"/>
        </w:tblCellMar>
        <w:tblLook w:val="0000" w:firstRow="0" w:noVBand="0" w:lastRow="0" w:firstColumn="0" w:lastColumn="0" w:noHBand="0"/>
      </w:tblPr>
      <w:tblGrid>
        <w:gridCol w:w="1947"/>
        <w:gridCol w:w="2913"/>
      </w:tblGrid>
      <w:tr>
        <w:trPr>
          <w:tblHeader w:val="true"/>
          <w:cantSplit/>
        </w:trPr>
        <w:tc>
          <w:tcPr>
            <w:tcW w:w="1947" w:type="dxa"/>
            <w:tcBorders>
              <w:top w:val="single" w:sz="8" w:space="0" w:color="000000"/>
              <w:bottom w:val="single" w:sz="4" w:space="0" w:color="000000"/>
            </w:tcBorders>
            <w:vAlign w:val="center"/>
          </w:tcPr>
          <w:p>
            <w:pPr>
              <w:pStyle w:val="Normal"/>
              <w:rPr/>
            </w:pPr>
            <w:r>
              <w:rPr>
                <w:b/>
                <w:bCs/>
                <w:sz w:val="15"/>
                <w:szCs w:val="15"/>
              </w:rPr>
              <w:t>Variable</w:t>
            </w:r>
          </w:p>
        </w:tc>
        <w:tc>
          <w:tcPr>
            <w:tcW w:w="2913" w:type="dxa"/>
            <w:tcBorders>
              <w:top w:val="single" w:sz="8" w:space="0" w:color="000000"/>
              <w:bottom w:val="single" w:sz="4" w:space="0" w:color="000000"/>
            </w:tcBorders>
            <w:vAlign w:val="center"/>
          </w:tcPr>
          <w:p>
            <w:pPr>
              <w:pStyle w:val="Normal"/>
              <w:rPr/>
            </w:pPr>
            <w:r>
              <w:rPr>
                <w:b/>
                <w:bCs/>
                <w:sz w:val="15"/>
                <w:szCs w:val="15"/>
              </w:rPr>
              <w:t>Description</w:t>
            </w:r>
          </w:p>
        </w:tc>
      </w:tr>
      <w:tr>
        <w:trPr>
          <w:cantSplit/>
        </w:trPr>
        <w:tc>
          <w:tcPr>
            <w:tcW w:w="1947" w:type="dxa"/>
            <w:tcBorders/>
            <w:vAlign w:val="center"/>
          </w:tcPr>
          <w:p>
            <w:pPr>
              <w:pStyle w:val="Normal"/>
              <w:rPr/>
            </w:pPr>
            <w:r>
              <w:rPr>
                <w:sz w:val="15"/>
                <w:szCs w:val="15"/>
              </w:rPr>
              <w:t>Resource ID</w:t>
            </w:r>
          </w:p>
        </w:tc>
        <w:tc>
          <w:tcPr>
            <w:tcW w:w="2913" w:type="dxa"/>
            <w:tcBorders/>
            <w:vAlign w:val="center"/>
          </w:tcPr>
          <w:p>
            <w:pPr>
              <w:pStyle w:val="Normal"/>
              <w:rPr/>
            </w:pPr>
            <w:r>
              <w:rPr>
                <w:sz w:val="15"/>
                <w:szCs w:val="15"/>
              </w:rPr>
              <w:t>Unique cloud resource identifier</w:t>
            </w:r>
          </w:p>
        </w:tc>
      </w:tr>
      <w:tr>
        <w:trPr>
          <w:cantSplit/>
        </w:trPr>
        <w:tc>
          <w:tcPr>
            <w:tcW w:w="1947" w:type="dxa"/>
            <w:tcBorders/>
            <w:vAlign w:val="center"/>
          </w:tcPr>
          <w:p>
            <w:pPr>
              <w:pStyle w:val="Normal"/>
              <w:rPr/>
            </w:pPr>
            <w:r>
              <w:rPr>
                <w:sz w:val="15"/>
                <w:szCs w:val="15"/>
              </w:rPr>
              <w:t>Service Name</w:t>
            </w:r>
          </w:p>
        </w:tc>
        <w:tc>
          <w:tcPr>
            <w:tcW w:w="2913" w:type="dxa"/>
            <w:tcBorders/>
            <w:vAlign w:val="center"/>
          </w:tcPr>
          <w:p>
            <w:pPr>
              <w:pStyle w:val="Normal"/>
              <w:rPr/>
            </w:pPr>
            <w:r>
              <w:rPr>
                <w:sz w:val="15"/>
                <w:szCs w:val="15"/>
              </w:rPr>
              <w:t>GCP service of the record</w:t>
            </w:r>
          </w:p>
        </w:tc>
      </w:tr>
      <w:tr>
        <w:trPr>
          <w:cantSplit/>
        </w:trPr>
        <w:tc>
          <w:tcPr>
            <w:tcW w:w="1947" w:type="dxa"/>
            <w:tcBorders/>
            <w:vAlign w:val="center"/>
          </w:tcPr>
          <w:p>
            <w:pPr>
              <w:pStyle w:val="Normal"/>
              <w:rPr/>
            </w:pPr>
            <w:r>
              <w:rPr>
                <w:sz w:val="15"/>
                <w:szCs w:val="15"/>
              </w:rPr>
              <w:t>Usage Quantity</w:t>
            </w:r>
          </w:p>
        </w:tc>
        <w:tc>
          <w:tcPr>
            <w:tcW w:w="2913" w:type="dxa"/>
            <w:tcBorders/>
            <w:vAlign w:val="center"/>
          </w:tcPr>
          <w:p>
            <w:pPr>
              <w:pStyle w:val="Normal"/>
              <w:rPr/>
            </w:pPr>
            <w:r>
              <w:rPr>
                <w:sz w:val="15"/>
                <w:szCs w:val="15"/>
              </w:rPr>
              <w:t>Quantity of resource consumed</w:t>
            </w:r>
          </w:p>
        </w:tc>
      </w:tr>
      <w:tr>
        <w:trPr>
          <w:cantSplit/>
        </w:trPr>
        <w:tc>
          <w:tcPr>
            <w:tcW w:w="1947" w:type="dxa"/>
            <w:tcBorders/>
            <w:vAlign w:val="center"/>
          </w:tcPr>
          <w:p>
            <w:pPr>
              <w:pStyle w:val="Normal"/>
              <w:rPr/>
            </w:pPr>
            <w:r>
              <w:rPr>
                <w:sz w:val="15"/>
                <w:szCs w:val="15"/>
              </w:rPr>
              <w:t>Usage Unit</w:t>
            </w:r>
          </w:p>
        </w:tc>
        <w:tc>
          <w:tcPr>
            <w:tcW w:w="2913" w:type="dxa"/>
            <w:tcBorders/>
            <w:vAlign w:val="center"/>
          </w:tcPr>
          <w:p>
            <w:pPr>
              <w:pStyle w:val="Normal"/>
              <w:rPr/>
            </w:pPr>
            <w:r>
              <w:rPr>
                <w:sz w:val="15"/>
                <w:szCs w:val="15"/>
              </w:rPr>
              <w:t>GB, Hours or Requests</w:t>
            </w:r>
          </w:p>
        </w:tc>
      </w:tr>
      <w:tr>
        <w:trPr>
          <w:cantSplit/>
        </w:trPr>
        <w:tc>
          <w:tcPr>
            <w:tcW w:w="1947" w:type="dxa"/>
            <w:tcBorders/>
            <w:vAlign w:val="center"/>
          </w:tcPr>
          <w:p>
            <w:pPr>
              <w:pStyle w:val="Normal"/>
              <w:rPr/>
            </w:pPr>
            <w:r>
              <w:rPr>
                <w:sz w:val="15"/>
                <w:szCs w:val="15"/>
              </w:rPr>
              <w:t>Region/Zone</w:t>
            </w:r>
          </w:p>
        </w:tc>
        <w:tc>
          <w:tcPr>
            <w:tcW w:w="2913" w:type="dxa"/>
            <w:tcBorders/>
            <w:vAlign w:val="center"/>
          </w:tcPr>
          <w:p>
            <w:pPr>
              <w:pStyle w:val="Normal"/>
              <w:rPr/>
            </w:pPr>
            <w:r>
              <w:rPr>
                <w:sz w:val="15"/>
                <w:szCs w:val="15"/>
              </w:rPr>
              <w:t>GCP region of the resource</w:t>
            </w:r>
          </w:p>
        </w:tc>
      </w:tr>
      <w:tr>
        <w:trPr>
          <w:cantSplit/>
        </w:trPr>
        <w:tc>
          <w:tcPr>
            <w:tcW w:w="1947" w:type="dxa"/>
            <w:tcBorders/>
            <w:vAlign w:val="center"/>
          </w:tcPr>
          <w:p>
            <w:pPr>
              <w:pStyle w:val="Normal"/>
              <w:rPr/>
            </w:pPr>
            <w:r>
              <w:rPr>
                <w:sz w:val="15"/>
                <w:szCs w:val="15"/>
              </w:rPr>
              <w:t>CPU Utilization (%)</w:t>
            </w:r>
          </w:p>
        </w:tc>
        <w:tc>
          <w:tcPr>
            <w:tcW w:w="2913" w:type="dxa"/>
            <w:tcBorders/>
            <w:vAlign w:val="center"/>
          </w:tcPr>
          <w:p>
            <w:pPr>
              <w:pStyle w:val="Normal"/>
              <w:rPr/>
            </w:pPr>
            <w:r>
              <w:rPr>
                <w:sz w:val="15"/>
                <w:szCs w:val="15"/>
              </w:rPr>
              <w:t>CPU utilization percentage</w:t>
            </w:r>
          </w:p>
        </w:tc>
      </w:tr>
      <w:tr>
        <w:trPr>
          <w:cantSplit/>
        </w:trPr>
        <w:tc>
          <w:tcPr>
            <w:tcW w:w="1947" w:type="dxa"/>
            <w:tcBorders/>
            <w:vAlign w:val="center"/>
          </w:tcPr>
          <w:p>
            <w:pPr>
              <w:pStyle w:val="Normal"/>
              <w:rPr/>
            </w:pPr>
            <w:r>
              <w:rPr>
                <w:sz w:val="15"/>
                <w:szCs w:val="15"/>
              </w:rPr>
              <w:t>Memory Utilization (%)</w:t>
            </w:r>
          </w:p>
        </w:tc>
        <w:tc>
          <w:tcPr>
            <w:tcW w:w="2913" w:type="dxa"/>
            <w:tcBorders/>
            <w:vAlign w:val="center"/>
          </w:tcPr>
          <w:p>
            <w:pPr>
              <w:pStyle w:val="Normal"/>
              <w:rPr/>
            </w:pPr>
            <w:r>
              <w:rPr>
                <w:sz w:val="15"/>
                <w:szCs w:val="15"/>
              </w:rPr>
              <w:t>Memory utilization percentage</w:t>
            </w:r>
          </w:p>
        </w:tc>
      </w:tr>
      <w:tr>
        <w:trPr>
          <w:cantSplit/>
        </w:trPr>
        <w:tc>
          <w:tcPr>
            <w:tcW w:w="1947" w:type="dxa"/>
            <w:tcBorders/>
            <w:vAlign w:val="center"/>
          </w:tcPr>
          <w:p>
            <w:pPr>
              <w:pStyle w:val="Normal"/>
              <w:rPr/>
            </w:pPr>
            <w:r>
              <w:rPr>
                <w:sz w:val="15"/>
                <w:szCs w:val="15"/>
              </w:rPr>
              <w:t>Network Inbound (Bytes)</w:t>
            </w:r>
          </w:p>
        </w:tc>
        <w:tc>
          <w:tcPr>
            <w:tcW w:w="2913" w:type="dxa"/>
            <w:tcBorders/>
            <w:vAlign w:val="center"/>
          </w:tcPr>
          <w:p>
            <w:pPr>
              <w:pStyle w:val="Normal"/>
              <w:rPr/>
            </w:pPr>
            <w:r>
              <w:rPr>
                <w:sz w:val="15"/>
                <w:szCs w:val="15"/>
              </w:rPr>
              <w:t>Incoming network data</w:t>
            </w:r>
          </w:p>
        </w:tc>
      </w:tr>
      <w:tr>
        <w:trPr>
          <w:cantSplit/>
        </w:trPr>
        <w:tc>
          <w:tcPr>
            <w:tcW w:w="1947" w:type="dxa"/>
            <w:tcBorders/>
            <w:vAlign w:val="center"/>
          </w:tcPr>
          <w:p>
            <w:pPr>
              <w:pStyle w:val="Normal"/>
              <w:rPr/>
            </w:pPr>
            <w:r>
              <w:rPr>
                <w:sz w:val="15"/>
                <w:szCs w:val="15"/>
              </w:rPr>
              <w:t>Network Outbound (Bytes)</w:t>
            </w:r>
          </w:p>
        </w:tc>
        <w:tc>
          <w:tcPr>
            <w:tcW w:w="2913" w:type="dxa"/>
            <w:tcBorders/>
            <w:vAlign w:val="center"/>
          </w:tcPr>
          <w:p>
            <w:pPr>
              <w:pStyle w:val="Normal"/>
              <w:rPr/>
            </w:pPr>
            <w:r>
              <w:rPr>
                <w:sz w:val="15"/>
                <w:szCs w:val="15"/>
              </w:rPr>
              <w:t>Outgoing network data</w:t>
            </w:r>
          </w:p>
        </w:tc>
      </w:tr>
      <w:tr>
        <w:trPr>
          <w:cantSplit/>
        </w:trPr>
        <w:tc>
          <w:tcPr>
            <w:tcW w:w="1947" w:type="dxa"/>
            <w:tcBorders/>
            <w:vAlign w:val="center"/>
          </w:tcPr>
          <w:p>
            <w:pPr>
              <w:pStyle w:val="Normal"/>
              <w:rPr/>
            </w:pPr>
            <w:r>
              <w:rPr>
                <w:sz w:val="15"/>
                <w:szCs w:val="15"/>
              </w:rPr>
              <w:t>Usage Start Date</w:t>
            </w:r>
          </w:p>
        </w:tc>
        <w:tc>
          <w:tcPr>
            <w:tcW w:w="2913" w:type="dxa"/>
            <w:tcBorders/>
            <w:vAlign w:val="center"/>
          </w:tcPr>
          <w:p>
            <w:pPr>
              <w:pStyle w:val="Normal"/>
              <w:rPr/>
            </w:pPr>
            <w:r>
              <w:rPr>
                <w:sz w:val="15"/>
                <w:szCs w:val="15"/>
              </w:rPr>
              <w:t>Start of the usage period</w:t>
            </w:r>
          </w:p>
        </w:tc>
      </w:tr>
      <w:tr>
        <w:trPr>
          <w:cantSplit/>
        </w:trPr>
        <w:tc>
          <w:tcPr>
            <w:tcW w:w="1947" w:type="dxa"/>
            <w:tcBorders/>
            <w:vAlign w:val="center"/>
          </w:tcPr>
          <w:p>
            <w:pPr>
              <w:pStyle w:val="Normal"/>
              <w:rPr/>
            </w:pPr>
            <w:r>
              <w:rPr>
                <w:sz w:val="15"/>
                <w:szCs w:val="15"/>
              </w:rPr>
              <w:t>Usage End Date</w:t>
            </w:r>
          </w:p>
        </w:tc>
        <w:tc>
          <w:tcPr>
            <w:tcW w:w="2913" w:type="dxa"/>
            <w:tcBorders/>
            <w:vAlign w:val="center"/>
          </w:tcPr>
          <w:p>
            <w:pPr>
              <w:pStyle w:val="Normal"/>
              <w:rPr/>
            </w:pPr>
            <w:r>
              <w:rPr>
                <w:sz w:val="15"/>
                <w:szCs w:val="15"/>
              </w:rPr>
              <w:t>End of the usage period</w:t>
            </w:r>
          </w:p>
        </w:tc>
      </w:tr>
      <w:tr>
        <w:trPr>
          <w:cantSplit/>
        </w:trPr>
        <w:tc>
          <w:tcPr>
            <w:tcW w:w="1947" w:type="dxa"/>
            <w:tcBorders/>
            <w:vAlign w:val="center"/>
          </w:tcPr>
          <w:p>
            <w:pPr>
              <w:pStyle w:val="Normal"/>
              <w:rPr/>
            </w:pPr>
            <w:r>
              <w:rPr>
                <w:sz w:val="15"/>
                <w:szCs w:val="15"/>
              </w:rPr>
              <w:t>Cost per Quantity ($)</w:t>
            </w:r>
          </w:p>
        </w:tc>
        <w:tc>
          <w:tcPr>
            <w:tcW w:w="2913" w:type="dxa"/>
            <w:tcBorders/>
            <w:vAlign w:val="center"/>
          </w:tcPr>
          <w:p>
            <w:pPr>
              <w:pStyle w:val="Normal"/>
              <w:rPr/>
            </w:pPr>
            <w:r>
              <w:rPr>
                <w:sz w:val="15"/>
                <w:szCs w:val="15"/>
              </w:rPr>
              <w:t>Price of one unit of usage</w:t>
            </w:r>
          </w:p>
        </w:tc>
      </w:tr>
      <w:tr>
        <w:trPr>
          <w:cantSplit/>
        </w:trPr>
        <w:tc>
          <w:tcPr>
            <w:tcW w:w="1947" w:type="dxa"/>
            <w:tcBorders/>
            <w:vAlign w:val="center"/>
          </w:tcPr>
          <w:p>
            <w:pPr>
              <w:pStyle w:val="Normal"/>
              <w:rPr/>
            </w:pPr>
            <w:r>
              <w:rPr>
                <w:sz w:val="15"/>
                <w:szCs w:val="15"/>
              </w:rPr>
              <w:t>Unrounded Cost ($)</w:t>
            </w:r>
          </w:p>
        </w:tc>
        <w:tc>
          <w:tcPr>
            <w:tcW w:w="2913" w:type="dxa"/>
            <w:tcBorders/>
            <w:vAlign w:val="center"/>
          </w:tcPr>
          <w:p>
            <w:pPr>
              <w:pStyle w:val="Normal"/>
              <w:rPr/>
            </w:pPr>
            <w:r>
              <w:rPr>
                <w:sz w:val="15"/>
                <w:szCs w:val="15"/>
              </w:rPr>
              <w:t>Usage × price, before rounding</w:t>
            </w:r>
          </w:p>
        </w:tc>
      </w:tr>
      <w:tr>
        <w:trPr>
          <w:cantSplit/>
        </w:trPr>
        <w:tc>
          <w:tcPr>
            <w:tcW w:w="1947" w:type="dxa"/>
            <w:tcBorders/>
            <w:vAlign w:val="center"/>
          </w:tcPr>
          <w:p>
            <w:pPr>
              <w:pStyle w:val="Normal"/>
              <w:rPr/>
            </w:pPr>
            <w:r>
              <w:rPr>
                <w:sz w:val="15"/>
                <w:szCs w:val="15"/>
              </w:rPr>
              <w:t>Rounded Cost ($)</w:t>
            </w:r>
          </w:p>
        </w:tc>
        <w:tc>
          <w:tcPr>
            <w:tcW w:w="2913" w:type="dxa"/>
            <w:tcBorders/>
            <w:vAlign w:val="center"/>
          </w:tcPr>
          <w:p>
            <w:pPr>
              <w:pStyle w:val="Normal"/>
              <w:rPr/>
            </w:pPr>
            <w:r>
              <w:rPr>
                <w:sz w:val="15"/>
                <w:szCs w:val="15"/>
              </w:rPr>
              <w:t>Cost after rounding</w:t>
            </w:r>
          </w:p>
        </w:tc>
      </w:tr>
      <w:tr>
        <w:trPr>
          <w:cantSplit/>
        </w:trPr>
        <w:tc>
          <w:tcPr>
            <w:tcW w:w="1947" w:type="dxa"/>
            <w:tcBorders>
              <w:bottom w:val="single" w:sz="8" w:space="0" w:color="000000"/>
            </w:tcBorders>
            <w:vAlign w:val="center"/>
          </w:tcPr>
          <w:p>
            <w:pPr>
              <w:pStyle w:val="Normal"/>
              <w:rPr/>
            </w:pPr>
            <w:r>
              <w:rPr>
                <w:sz w:val="15"/>
                <w:szCs w:val="15"/>
              </w:rPr>
              <w:t>Total Cost (INR)</w:t>
            </w:r>
          </w:p>
        </w:tc>
        <w:tc>
          <w:tcPr>
            <w:tcW w:w="2913" w:type="dxa"/>
            <w:tcBorders>
              <w:bottom w:val="single" w:sz="8" w:space="0" w:color="000000"/>
            </w:tcBorders>
            <w:vAlign w:val="center"/>
          </w:tcPr>
          <w:p>
            <w:pPr>
              <w:pStyle w:val="Normal"/>
              <w:rPr/>
            </w:pPr>
            <w:r>
              <w:rPr>
                <w:sz w:val="15"/>
                <w:szCs w:val="15"/>
              </w:rPr>
              <w:t>Total expenditure in Indian rupees</w:t>
            </w:r>
          </w:p>
        </w:tc>
      </w:tr>
    </w:tbl>
    <w:p>
      <w:pPr>
        <w:pStyle w:val="Normal"/>
        <w:spacing w:before="0" w:after="60"/>
        <w:rPr/>
      </w:pPr>
      <w:r>
        <w:rPr/>
      </w:r>
    </w:p>
    <w:p>
      <w:pPr>
        <w:pStyle w:val="Heading2"/>
        <w:rPr/>
      </w:pPr>
      <w:r>
        <w:rPr/>
        <w:t>C. Data Characteristics and Quality</w:t>
      </w:r>
    </w:p>
    <w:p>
      <w:pPr>
        <w:pStyle w:val="Normal"/>
        <w:spacing w:lineRule="auto" w:line="228" w:before="0" w:after="50"/>
        <w:ind w:firstLine="240"/>
        <w:jc w:val="both"/>
        <w:rPr/>
      </w:pPr>
      <w:r>
        <w:rPr/>
        <w:t>The 25 services include Compute Engine, Cloud Storage, Cloud Run, Cloud CDN, Pub/Sub, Cloud Build, Firestore, Cloud Interconnect, Cloud Endpoints and Kubernetes Engine. The records are spread over 12 regions: asia-east1, asia-southeast1, asia-northeast1, australia-southeast1, europe-west1, europe-west3, europe-north1, northamerica-northeast1, southamerica-east1, us-central1, us-east1 and us-west1. Fig. 1 shows the 374 Requests-based, 370 GB-based and 256 Hours-based records.</w:t>
      </w:r>
    </w:p>
    <w:p>
      <w:pPr>
        <w:pStyle w:val="Normal"/>
        <w:keepNext w:val="true"/>
        <w:spacing w:before="60" w:after="0"/>
        <w:jc w:val="center"/>
        <w:rPr/>
      </w:pPr>
      <w:r>
        <w:rPr/>
        <w:drawing>
          <wp:inline distT="0" distB="0" distL="0" distR="0">
            <wp:extent cx="2743200" cy="1666875"/>
            <wp:effectExtent l="0" t="0" r="0" b="0"/>
            <wp:docPr id="1" name="Figure 1" descr="Figure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Figure 1" title="Figure 1"/>
                    <pic:cNvPicPr>
                      <a:picLocks noChangeAspect="1" noChangeArrowheads="1"/>
                    </pic:cNvPicPr>
                  </pic:nvPicPr>
                  <pic:blipFill>
                    <a:blip r:embed="rId2"/>
                    <a:stretch>
                      <a:fillRect/>
                    </a:stretch>
                  </pic:blipFill>
                  <pic:spPr bwMode="auto">
                    <a:xfrm>
                      <a:off x="0" y="0"/>
                      <a:ext cx="2743200" cy="1666875"/>
                    </a:xfrm>
                    <a:prstGeom prst="rect">
                      <a:avLst/>
                    </a:prstGeom>
                    <a:noFill/>
                  </pic:spPr>
                </pic:pic>
              </a:graphicData>
            </a:graphic>
          </wp:inline>
        </w:drawing>
      </w:r>
    </w:p>
    <w:p>
      <w:pPr>
        <w:pStyle w:val="Normal"/>
        <w:spacing w:before="20" w:after="100"/>
        <w:jc w:val="both"/>
        <w:rPr/>
      </w:pPr>
      <w:r>
        <w:rPr>
          <w:sz w:val="16"/>
          <w:szCs w:val="16"/>
        </w:rPr>
        <w:t>Fig. 1. Number of records by usage unit.</w:t>
      </w:r>
    </w:p>
    <w:p>
      <w:pPr>
        <w:pStyle w:val="Normal"/>
        <w:spacing w:lineRule="auto" w:line="228" w:before="0" w:after="50"/>
        <w:ind w:firstLine="240"/>
        <w:jc w:val="both"/>
        <w:rPr/>
      </w:pPr>
      <w:r>
        <w:rPr/>
        <w:t>No missing values and no duplicate records were found. The cost columns are mathematically related: cost was verified to equal usage quantity × unit price (maximum discrepancy $0.005), and Total Cost (INR) equals 83 × the rounded USD cost. Unrounded Cost, Rounded Cost and Total Cost are therefore the same quantity in different forms and are not treated as independent predictors, which would introduce redundancy and data leakage. Each of the 1,000 Resource IDs also appears only once, so the data are not a per-resource time series.</w:t>
      </w:r>
    </w:p>
    <w:p>
      <w:pPr>
        <w:pStyle w:val="Heading2"/>
        <w:rPr/>
      </w:pPr>
      <w:r>
        <w:rPr/>
        <w:t>D. Preparation for Modelling</w:t>
      </w:r>
    </w:p>
    <w:p>
      <w:pPr>
        <w:pStyle w:val="Normal"/>
        <w:spacing w:lineRule="auto" w:line="228" w:before="0" w:after="50"/>
        <w:ind w:firstLine="240"/>
        <w:jc w:val="both"/>
        <w:rPr/>
      </w:pPr>
      <w:r>
        <w:rPr/>
        <w:t>Two modelling datasets are derived. For the time-series model, records are grouped by the calendar day of their start time and summed to daily totals. The partial first and last days are dropped, which leaves 59 days from 1 July to 28 August 2024; any missing calendar day would be filled with zero. Costs are expressed in thousands of dollars and then standardised (mean subtracted, divided by the standard deviation), so that unit-scale priors are sensible and the sampler behaves well. For the hierarchical model, all 1,000 records are used with the natural logarithm of cost as the outcome. Section IV reports Total Cost in INR, whereas all modelling results in Sections V–VIII are in USD, using the fixed rate of 83 INR per USD of the source file.</w:t>
      </w:r>
    </w:p>
    <w:p>
      <w:pPr>
        <w:pStyle w:val="Heading1"/>
        <w:rPr/>
      </w:pPr>
      <w:r>
        <w:rPr/>
        <w:t>IV. EXPLORATORY DATA ANALYSIS</w:t>
      </w:r>
    </w:p>
    <w:p>
      <w:pPr>
        <w:pStyle w:val="Normal"/>
        <w:spacing w:lineRule="auto" w:line="228" w:before="0" w:after="50"/>
        <w:ind w:firstLine="240"/>
        <w:jc w:val="both"/>
        <w:rPr/>
      </w:pPr>
      <w:r>
        <w:rPr/>
        <w:t>Exploratory data analysis (EDA) was performed to examine the statistical characteristics of expenditure, identify cost concentration and outliers, evaluate the relationships between resource variables and cost, and identify temporal patterns relevant to the Bayesian forecasting that follows.</w:t>
      </w:r>
    </w:p>
    <w:p>
      <w:pPr>
        <w:pStyle w:val="Heading2"/>
        <w:rPr/>
      </w:pPr>
      <w:r>
        <w:rPr/>
        <w:t>A. Descriptive Statistics</w:t>
      </w:r>
    </w:p>
    <w:p>
      <w:pPr>
        <w:pStyle w:val="Normal"/>
        <w:spacing w:lineRule="auto" w:line="228" w:before="0" w:after="50"/>
        <w:ind w:firstLine="240"/>
        <w:jc w:val="both"/>
        <w:rPr/>
      </w:pPr>
      <w:r>
        <w:rPr/>
        <w:t>Table III reports the mean, median, standard deviation and skewness of the main numerical variables. Total Cost has a mean of ₹177,222.85 and a median of ₹103,833. The mean is well above the median, so a small number of high-cost records pull the average upward. The standard deviation of ₹172,685.90 is almost as large as the mean, which shows large variation between individual records. Usage Quantity has a mean of 383.34 and a standard deviation of 299.82. CPU and memory utilization are centred near 50% (means 50.94% and 51.63%) with standard deviations of about 28 percentage points. Network inbound and outbound traffic average about 5.15×10</w:t>
      </w:r>
      <w:r>
        <w:rPr>
          <w:vertAlign w:val="superscript"/>
        </w:rPr>
        <w:t>10</w:t>
      </w:r>
      <w:r>
        <w:rPr/>
        <w:t xml:space="preserve"> and 5.65×10</w:t>
      </w:r>
      <w:r>
        <w:rPr>
          <w:vertAlign w:val="superscript"/>
        </w:rPr>
        <w:t>10</w:t>
      </w:r>
      <w:r>
        <w:rPr/>
        <w:t xml:space="preserve"> bytes.</w:t>
      </w:r>
    </w:p>
    <w:p>
      <w:pPr>
        <w:pStyle w:val="Normal"/>
        <w:keepNext w:val="true"/>
        <w:spacing w:before="100" w:after="0"/>
        <w:jc w:val="center"/>
        <w:rPr/>
      </w:pPr>
      <w:r>
        <w:rPr>
          <w:sz w:val="16"/>
          <w:szCs w:val="16"/>
        </w:rPr>
        <w:t>TABLE III</w:t>
      </w:r>
    </w:p>
    <w:p>
      <w:pPr>
        <w:pStyle w:val="Normal"/>
        <w:keepNext w:val="true"/>
        <w:spacing w:before="0" w:after="40"/>
        <w:jc w:val="center"/>
        <w:rPr/>
      </w:pPr>
      <w:r>
        <w:rPr>
          <w:sz w:val="16"/>
          <w:szCs w:val="16"/>
        </w:rPr>
        <w:t>DESCRIPTIVE STATISTICS OF SELECTED VARIABLES</w:t>
      </w:r>
    </w:p>
    <w:tbl>
      <w:tblPr>
        <w:tblW w:w="4860" w:type="dxa"/>
        <w:jc w:val="start"/>
        <w:tblInd w:w="0" w:type="dxa"/>
        <w:tblLayout w:type="fixed"/>
        <w:tblCellMar>
          <w:top w:w="18" w:type="dxa"/>
          <w:start w:w="45" w:type="dxa"/>
          <w:bottom w:w="18" w:type="dxa"/>
          <w:end w:w="45" w:type="dxa"/>
        </w:tblCellMar>
        <w:tblLook w:val="0000" w:firstRow="0" w:noVBand="0" w:lastRow="0" w:firstColumn="0" w:lastColumn="0" w:noHBand="0"/>
      </w:tblPr>
      <w:tblGrid>
        <w:gridCol w:w="1579"/>
        <w:gridCol w:w="818"/>
        <w:gridCol w:w="823"/>
        <w:gridCol w:w="920"/>
        <w:gridCol w:w="720"/>
      </w:tblGrid>
      <w:tr>
        <w:trPr>
          <w:tblHeader w:val="true"/>
          <w:cantSplit/>
        </w:trPr>
        <w:tc>
          <w:tcPr>
            <w:tcW w:w="1579" w:type="dxa"/>
            <w:tcBorders>
              <w:top w:val="single" w:sz="8" w:space="0" w:color="000000"/>
              <w:bottom w:val="single" w:sz="4" w:space="0" w:color="000000"/>
            </w:tcBorders>
            <w:vAlign w:val="center"/>
          </w:tcPr>
          <w:p>
            <w:pPr>
              <w:pStyle w:val="Normal"/>
              <w:rPr/>
            </w:pPr>
            <w:r>
              <w:rPr>
                <w:b/>
                <w:bCs/>
                <w:sz w:val="15"/>
                <w:szCs w:val="15"/>
              </w:rPr>
              <w:t>Variable</w:t>
            </w:r>
          </w:p>
        </w:tc>
        <w:tc>
          <w:tcPr>
            <w:tcW w:w="818" w:type="dxa"/>
            <w:tcBorders>
              <w:top w:val="single" w:sz="8" w:space="0" w:color="000000"/>
              <w:bottom w:val="single" w:sz="4" w:space="0" w:color="000000"/>
            </w:tcBorders>
            <w:vAlign w:val="center"/>
          </w:tcPr>
          <w:p>
            <w:pPr>
              <w:pStyle w:val="Normal"/>
              <w:jc w:val="center"/>
              <w:rPr/>
            </w:pPr>
            <w:r>
              <w:rPr>
                <w:b/>
                <w:bCs/>
                <w:sz w:val="15"/>
                <w:szCs w:val="15"/>
              </w:rPr>
              <w:t>Mean</w:t>
            </w:r>
          </w:p>
        </w:tc>
        <w:tc>
          <w:tcPr>
            <w:tcW w:w="823" w:type="dxa"/>
            <w:tcBorders>
              <w:top w:val="single" w:sz="8" w:space="0" w:color="000000"/>
              <w:bottom w:val="single" w:sz="4" w:space="0" w:color="000000"/>
            </w:tcBorders>
            <w:vAlign w:val="center"/>
          </w:tcPr>
          <w:p>
            <w:pPr>
              <w:pStyle w:val="Normal"/>
              <w:jc w:val="center"/>
              <w:rPr/>
            </w:pPr>
            <w:r>
              <w:rPr>
                <w:b/>
                <w:bCs/>
                <w:sz w:val="15"/>
                <w:szCs w:val="15"/>
              </w:rPr>
              <w:t>Median</w:t>
            </w:r>
          </w:p>
        </w:tc>
        <w:tc>
          <w:tcPr>
            <w:tcW w:w="920" w:type="dxa"/>
            <w:tcBorders>
              <w:top w:val="single" w:sz="8" w:space="0" w:color="000000"/>
              <w:bottom w:val="single" w:sz="4" w:space="0" w:color="000000"/>
            </w:tcBorders>
            <w:vAlign w:val="center"/>
          </w:tcPr>
          <w:p>
            <w:pPr>
              <w:pStyle w:val="Normal"/>
              <w:jc w:val="center"/>
              <w:rPr/>
            </w:pPr>
            <w:r>
              <w:rPr>
                <w:b/>
                <w:bCs/>
                <w:sz w:val="15"/>
                <w:szCs w:val="15"/>
              </w:rPr>
              <w:t>Std. Dev.</w:t>
            </w:r>
          </w:p>
        </w:tc>
        <w:tc>
          <w:tcPr>
            <w:tcW w:w="720" w:type="dxa"/>
            <w:tcBorders>
              <w:top w:val="single" w:sz="8" w:space="0" w:color="000000"/>
              <w:bottom w:val="single" w:sz="4" w:space="0" w:color="000000"/>
            </w:tcBorders>
            <w:vAlign w:val="center"/>
          </w:tcPr>
          <w:p>
            <w:pPr>
              <w:pStyle w:val="Normal"/>
              <w:jc w:val="center"/>
              <w:rPr/>
            </w:pPr>
            <w:r>
              <w:rPr>
                <w:b/>
                <w:bCs/>
                <w:sz w:val="15"/>
                <w:szCs w:val="15"/>
              </w:rPr>
              <w:t>Skew.</w:t>
            </w:r>
          </w:p>
        </w:tc>
      </w:tr>
      <w:tr>
        <w:trPr>
          <w:cantSplit/>
        </w:trPr>
        <w:tc>
          <w:tcPr>
            <w:tcW w:w="1579" w:type="dxa"/>
            <w:tcBorders/>
            <w:vAlign w:val="center"/>
          </w:tcPr>
          <w:p>
            <w:pPr>
              <w:pStyle w:val="Normal"/>
              <w:rPr/>
            </w:pPr>
            <w:r>
              <w:rPr>
                <w:sz w:val="15"/>
                <w:szCs w:val="15"/>
              </w:rPr>
              <w:t>Usage Quantity</w:t>
            </w:r>
          </w:p>
        </w:tc>
        <w:tc>
          <w:tcPr>
            <w:tcW w:w="818" w:type="dxa"/>
            <w:tcBorders/>
            <w:vAlign w:val="center"/>
          </w:tcPr>
          <w:p>
            <w:pPr>
              <w:pStyle w:val="Normal"/>
              <w:jc w:val="end"/>
              <w:rPr/>
            </w:pPr>
            <w:r>
              <w:rPr>
                <w:sz w:val="15"/>
                <w:szCs w:val="15"/>
              </w:rPr>
              <w:t>383.34</w:t>
            </w:r>
          </w:p>
        </w:tc>
        <w:tc>
          <w:tcPr>
            <w:tcW w:w="823" w:type="dxa"/>
            <w:tcBorders/>
            <w:vAlign w:val="center"/>
          </w:tcPr>
          <w:p>
            <w:pPr>
              <w:pStyle w:val="Normal"/>
              <w:jc w:val="end"/>
              <w:rPr/>
            </w:pPr>
            <w:r>
              <w:rPr>
                <w:sz w:val="15"/>
                <w:szCs w:val="15"/>
              </w:rPr>
              <w:t>336.72</w:t>
            </w:r>
          </w:p>
        </w:tc>
        <w:tc>
          <w:tcPr>
            <w:tcW w:w="920" w:type="dxa"/>
            <w:tcBorders/>
            <w:vAlign w:val="center"/>
          </w:tcPr>
          <w:p>
            <w:pPr>
              <w:pStyle w:val="Normal"/>
              <w:jc w:val="end"/>
              <w:rPr/>
            </w:pPr>
            <w:r>
              <w:rPr>
                <w:sz w:val="15"/>
                <w:szCs w:val="15"/>
              </w:rPr>
              <w:t>299.82</w:t>
            </w:r>
          </w:p>
        </w:tc>
        <w:tc>
          <w:tcPr>
            <w:tcW w:w="720" w:type="dxa"/>
            <w:tcBorders/>
            <w:vAlign w:val="center"/>
          </w:tcPr>
          <w:p>
            <w:pPr>
              <w:pStyle w:val="Normal"/>
              <w:jc w:val="end"/>
              <w:rPr/>
            </w:pPr>
            <w:r>
              <w:rPr>
                <w:sz w:val="15"/>
                <w:szCs w:val="15"/>
              </w:rPr>
              <w:t>0.513</w:t>
            </w:r>
          </w:p>
        </w:tc>
      </w:tr>
      <w:tr>
        <w:trPr>
          <w:cantSplit/>
        </w:trPr>
        <w:tc>
          <w:tcPr>
            <w:tcW w:w="1579" w:type="dxa"/>
            <w:tcBorders/>
            <w:vAlign w:val="center"/>
          </w:tcPr>
          <w:p>
            <w:pPr>
              <w:pStyle w:val="Normal"/>
              <w:rPr/>
            </w:pPr>
            <w:r>
              <w:rPr>
                <w:sz w:val="15"/>
                <w:szCs w:val="15"/>
              </w:rPr>
              <w:t>CPU Utilization (%)</w:t>
            </w:r>
          </w:p>
        </w:tc>
        <w:tc>
          <w:tcPr>
            <w:tcW w:w="818" w:type="dxa"/>
            <w:tcBorders/>
            <w:vAlign w:val="center"/>
          </w:tcPr>
          <w:p>
            <w:pPr>
              <w:pStyle w:val="Normal"/>
              <w:jc w:val="end"/>
              <w:rPr/>
            </w:pPr>
            <w:r>
              <w:rPr>
                <w:sz w:val="15"/>
                <w:szCs w:val="15"/>
              </w:rPr>
              <w:t>50.94</w:t>
            </w:r>
          </w:p>
        </w:tc>
        <w:tc>
          <w:tcPr>
            <w:tcW w:w="823" w:type="dxa"/>
            <w:tcBorders/>
            <w:vAlign w:val="center"/>
          </w:tcPr>
          <w:p>
            <w:pPr>
              <w:pStyle w:val="Normal"/>
              <w:jc w:val="end"/>
              <w:rPr/>
            </w:pPr>
            <w:r>
              <w:rPr>
                <w:sz w:val="15"/>
                <w:szCs w:val="15"/>
              </w:rPr>
              <w:t>52.03</w:t>
            </w:r>
          </w:p>
        </w:tc>
        <w:tc>
          <w:tcPr>
            <w:tcW w:w="920" w:type="dxa"/>
            <w:tcBorders/>
            <w:vAlign w:val="center"/>
          </w:tcPr>
          <w:p>
            <w:pPr>
              <w:pStyle w:val="Normal"/>
              <w:jc w:val="end"/>
              <w:rPr/>
            </w:pPr>
            <w:r>
              <w:rPr>
                <w:sz w:val="15"/>
                <w:szCs w:val="15"/>
              </w:rPr>
              <w:t>28.82</w:t>
            </w:r>
          </w:p>
        </w:tc>
        <w:tc>
          <w:tcPr>
            <w:tcW w:w="720" w:type="dxa"/>
            <w:tcBorders/>
            <w:vAlign w:val="center"/>
          </w:tcPr>
          <w:p>
            <w:pPr>
              <w:pStyle w:val="Normal"/>
              <w:jc w:val="end"/>
              <w:rPr/>
            </w:pPr>
            <w:r>
              <w:rPr>
                <w:sz w:val="15"/>
                <w:szCs w:val="15"/>
              </w:rPr>
              <w:t>−</w:t>
            </w:r>
            <w:r>
              <w:rPr>
                <w:sz w:val="15"/>
                <w:szCs w:val="15"/>
              </w:rPr>
              <w:t>0.057</w:t>
            </w:r>
          </w:p>
        </w:tc>
      </w:tr>
      <w:tr>
        <w:trPr>
          <w:cantSplit/>
        </w:trPr>
        <w:tc>
          <w:tcPr>
            <w:tcW w:w="1579" w:type="dxa"/>
            <w:tcBorders/>
            <w:vAlign w:val="center"/>
          </w:tcPr>
          <w:p>
            <w:pPr>
              <w:pStyle w:val="Normal"/>
              <w:rPr/>
            </w:pPr>
            <w:r>
              <w:rPr>
                <w:sz w:val="15"/>
                <w:szCs w:val="15"/>
              </w:rPr>
              <w:t>Memory Utilization (%)</w:t>
            </w:r>
          </w:p>
        </w:tc>
        <w:tc>
          <w:tcPr>
            <w:tcW w:w="818" w:type="dxa"/>
            <w:tcBorders/>
            <w:vAlign w:val="center"/>
          </w:tcPr>
          <w:p>
            <w:pPr>
              <w:pStyle w:val="Normal"/>
              <w:jc w:val="end"/>
              <w:rPr/>
            </w:pPr>
            <w:r>
              <w:rPr>
                <w:sz w:val="15"/>
                <w:szCs w:val="15"/>
              </w:rPr>
              <w:t>51.63</w:t>
            </w:r>
          </w:p>
        </w:tc>
        <w:tc>
          <w:tcPr>
            <w:tcW w:w="823" w:type="dxa"/>
            <w:tcBorders/>
            <w:vAlign w:val="center"/>
          </w:tcPr>
          <w:p>
            <w:pPr>
              <w:pStyle w:val="Normal"/>
              <w:jc w:val="end"/>
              <w:rPr/>
            </w:pPr>
            <w:r>
              <w:rPr>
                <w:sz w:val="15"/>
                <w:szCs w:val="15"/>
              </w:rPr>
              <w:t>51.64</w:t>
            </w:r>
          </w:p>
        </w:tc>
        <w:tc>
          <w:tcPr>
            <w:tcW w:w="920" w:type="dxa"/>
            <w:tcBorders/>
            <w:vAlign w:val="center"/>
          </w:tcPr>
          <w:p>
            <w:pPr>
              <w:pStyle w:val="Normal"/>
              <w:jc w:val="end"/>
              <w:rPr/>
            </w:pPr>
            <w:r>
              <w:rPr>
                <w:sz w:val="15"/>
                <w:szCs w:val="15"/>
              </w:rPr>
              <w:t>28.37</w:t>
            </w:r>
          </w:p>
        </w:tc>
        <w:tc>
          <w:tcPr>
            <w:tcW w:w="720" w:type="dxa"/>
            <w:tcBorders/>
            <w:vAlign w:val="center"/>
          </w:tcPr>
          <w:p>
            <w:pPr>
              <w:pStyle w:val="Normal"/>
              <w:jc w:val="end"/>
              <w:rPr/>
            </w:pPr>
            <w:r>
              <w:rPr>
                <w:sz w:val="15"/>
                <w:szCs w:val="15"/>
              </w:rPr>
              <w:t>−</w:t>
            </w:r>
            <w:r>
              <w:rPr>
                <w:sz w:val="15"/>
                <w:szCs w:val="15"/>
              </w:rPr>
              <w:t>0.046</w:t>
            </w:r>
          </w:p>
        </w:tc>
      </w:tr>
      <w:tr>
        <w:trPr>
          <w:cantSplit/>
        </w:trPr>
        <w:tc>
          <w:tcPr>
            <w:tcW w:w="1579" w:type="dxa"/>
            <w:tcBorders/>
            <w:vAlign w:val="center"/>
          </w:tcPr>
          <w:p>
            <w:pPr>
              <w:pStyle w:val="Normal"/>
              <w:rPr/>
            </w:pPr>
            <w:r>
              <w:rPr>
                <w:sz w:val="15"/>
                <w:szCs w:val="15"/>
              </w:rPr>
              <w:t>Cost per Quantity ($)</w:t>
            </w:r>
          </w:p>
        </w:tc>
        <w:tc>
          <w:tcPr>
            <w:tcW w:w="818" w:type="dxa"/>
            <w:tcBorders/>
            <w:vAlign w:val="center"/>
          </w:tcPr>
          <w:p>
            <w:pPr>
              <w:pStyle w:val="Normal"/>
              <w:jc w:val="end"/>
              <w:rPr/>
            </w:pPr>
            <w:r>
              <w:rPr>
                <w:sz w:val="15"/>
                <w:szCs w:val="15"/>
              </w:rPr>
              <w:t>5.52</w:t>
            </w:r>
          </w:p>
        </w:tc>
        <w:tc>
          <w:tcPr>
            <w:tcW w:w="823" w:type="dxa"/>
            <w:tcBorders/>
            <w:vAlign w:val="center"/>
          </w:tcPr>
          <w:p>
            <w:pPr>
              <w:pStyle w:val="Normal"/>
              <w:jc w:val="end"/>
              <w:rPr/>
            </w:pPr>
            <w:r>
              <w:rPr>
                <w:sz w:val="15"/>
                <w:szCs w:val="15"/>
              </w:rPr>
              <w:t>5.56</w:t>
            </w:r>
          </w:p>
        </w:tc>
        <w:tc>
          <w:tcPr>
            <w:tcW w:w="920" w:type="dxa"/>
            <w:tcBorders/>
            <w:vAlign w:val="center"/>
          </w:tcPr>
          <w:p>
            <w:pPr>
              <w:pStyle w:val="Normal"/>
              <w:jc w:val="end"/>
              <w:rPr/>
            </w:pPr>
            <w:r>
              <w:rPr>
                <w:sz w:val="15"/>
                <w:szCs w:val="15"/>
              </w:rPr>
              <w:t>2.54</w:t>
            </w:r>
          </w:p>
        </w:tc>
        <w:tc>
          <w:tcPr>
            <w:tcW w:w="720" w:type="dxa"/>
            <w:tcBorders/>
            <w:vAlign w:val="center"/>
          </w:tcPr>
          <w:p>
            <w:pPr>
              <w:pStyle w:val="Normal"/>
              <w:jc w:val="end"/>
              <w:rPr/>
            </w:pPr>
            <w:r>
              <w:rPr>
                <w:sz w:val="15"/>
                <w:szCs w:val="15"/>
              </w:rPr>
              <w:t>0.004</w:t>
            </w:r>
          </w:p>
        </w:tc>
      </w:tr>
      <w:tr>
        <w:trPr>
          <w:cantSplit/>
        </w:trPr>
        <w:tc>
          <w:tcPr>
            <w:tcW w:w="1579" w:type="dxa"/>
            <w:tcBorders/>
            <w:vAlign w:val="center"/>
          </w:tcPr>
          <w:p>
            <w:pPr>
              <w:pStyle w:val="Normal"/>
              <w:rPr/>
            </w:pPr>
            <w:r>
              <w:rPr>
                <w:sz w:val="15"/>
                <w:szCs w:val="15"/>
              </w:rPr>
              <w:t>Unrounded Cost ($)</w:t>
            </w:r>
          </w:p>
        </w:tc>
        <w:tc>
          <w:tcPr>
            <w:tcW w:w="818" w:type="dxa"/>
            <w:tcBorders/>
            <w:vAlign w:val="center"/>
          </w:tcPr>
          <w:p>
            <w:pPr>
              <w:pStyle w:val="Normal"/>
              <w:jc w:val="end"/>
              <w:rPr/>
            </w:pPr>
            <w:r>
              <w:rPr>
                <w:sz w:val="15"/>
                <w:szCs w:val="15"/>
              </w:rPr>
              <w:t>2,135.22</w:t>
            </w:r>
          </w:p>
        </w:tc>
        <w:tc>
          <w:tcPr>
            <w:tcW w:w="823" w:type="dxa"/>
            <w:tcBorders/>
            <w:vAlign w:val="center"/>
          </w:tcPr>
          <w:p>
            <w:pPr>
              <w:pStyle w:val="Normal"/>
              <w:jc w:val="end"/>
              <w:rPr/>
            </w:pPr>
            <w:r>
              <w:rPr>
                <w:sz w:val="15"/>
                <w:szCs w:val="15"/>
              </w:rPr>
              <w:t>1,251.16</w:t>
            </w:r>
          </w:p>
        </w:tc>
        <w:tc>
          <w:tcPr>
            <w:tcW w:w="920" w:type="dxa"/>
            <w:tcBorders/>
            <w:vAlign w:val="center"/>
          </w:tcPr>
          <w:p>
            <w:pPr>
              <w:pStyle w:val="Normal"/>
              <w:jc w:val="end"/>
              <w:rPr/>
            </w:pPr>
            <w:r>
              <w:rPr>
                <w:sz w:val="15"/>
                <w:szCs w:val="15"/>
              </w:rPr>
              <w:t>2,080.53</w:t>
            </w:r>
          </w:p>
        </w:tc>
        <w:tc>
          <w:tcPr>
            <w:tcW w:w="720" w:type="dxa"/>
            <w:tcBorders/>
            <w:vAlign w:val="center"/>
          </w:tcPr>
          <w:p>
            <w:pPr>
              <w:pStyle w:val="Normal"/>
              <w:jc w:val="end"/>
              <w:rPr/>
            </w:pPr>
            <w:r>
              <w:rPr>
                <w:sz w:val="15"/>
                <w:szCs w:val="15"/>
              </w:rPr>
              <w:t>1.185</w:t>
            </w:r>
          </w:p>
        </w:tc>
      </w:tr>
      <w:tr>
        <w:trPr>
          <w:cantSplit/>
        </w:trPr>
        <w:tc>
          <w:tcPr>
            <w:tcW w:w="1579" w:type="dxa"/>
            <w:tcBorders>
              <w:bottom w:val="single" w:sz="8" w:space="0" w:color="000000"/>
            </w:tcBorders>
            <w:vAlign w:val="center"/>
          </w:tcPr>
          <w:p>
            <w:pPr>
              <w:pStyle w:val="Normal"/>
              <w:rPr/>
            </w:pPr>
            <w:r>
              <w:rPr>
                <w:sz w:val="15"/>
                <w:szCs w:val="15"/>
              </w:rPr>
              <w:t>Total Cost (INR)</w:t>
            </w:r>
          </w:p>
        </w:tc>
        <w:tc>
          <w:tcPr>
            <w:tcW w:w="818" w:type="dxa"/>
            <w:tcBorders>
              <w:bottom w:val="single" w:sz="8" w:space="0" w:color="000000"/>
            </w:tcBorders>
            <w:vAlign w:val="center"/>
          </w:tcPr>
          <w:p>
            <w:pPr>
              <w:pStyle w:val="Normal"/>
              <w:jc w:val="end"/>
              <w:rPr/>
            </w:pPr>
            <w:r>
              <w:rPr>
                <w:sz w:val="15"/>
                <w:szCs w:val="15"/>
              </w:rPr>
              <w:t>177,222.85</w:t>
            </w:r>
          </w:p>
        </w:tc>
        <w:tc>
          <w:tcPr>
            <w:tcW w:w="823" w:type="dxa"/>
            <w:tcBorders>
              <w:bottom w:val="single" w:sz="8" w:space="0" w:color="000000"/>
            </w:tcBorders>
            <w:vAlign w:val="center"/>
          </w:tcPr>
          <w:p>
            <w:pPr>
              <w:pStyle w:val="Normal"/>
              <w:jc w:val="end"/>
              <w:rPr/>
            </w:pPr>
            <w:r>
              <w:rPr>
                <w:sz w:val="15"/>
                <w:szCs w:val="15"/>
              </w:rPr>
              <w:t>103,833.00</w:t>
            </w:r>
          </w:p>
        </w:tc>
        <w:tc>
          <w:tcPr>
            <w:tcW w:w="920" w:type="dxa"/>
            <w:tcBorders>
              <w:bottom w:val="single" w:sz="8" w:space="0" w:color="000000"/>
            </w:tcBorders>
            <w:vAlign w:val="center"/>
          </w:tcPr>
          <w:p>
            <w:pPr>
              <w:pStyle w:val="Normal"/>
              <w:jc w:val="end"/>
              <w:rPr/>
            </w:pPr>
            <w:r>
              <w:rPr>
                <w:sz w:val="15"/>
                <w:szCs w:val="15"/>
              </w:rPr>
              <w:t>172,685.90</w:t>
            </w:r>
          </w:p>
        </w:tc>
        <w:tc>
          <w:tcPr>
            <w:tcW w:w="720" w:type="dxa"/>
            <w:tcBorders>
              <w:bottom w:val="single" w:sz="8" w:space="0" w:color="000000"/>
            </w:tcBorders>
            <w:vAlign w:val="center"/>
          </w:tcPr>
          <w:p>
            <w:pPr>
              <w:pStyle w:val="Normal"/>
              <w:jc w:val="end"/>
              <w:rPr/>
            </w:pPr>
            <w:r>
              <w:rPr>
                <w:sz w:val="15"/>
                <w:szCs w:val="15"/>
              </w:rPr>
              <w:t>1.185</w:t>
            </w:r>
          </w:p>
        </w:tc>
      </w:tr>
    </w:tbl>
    <w:p>
      <w:pPr>
        <w:pStyle w:val="Normal"/>
        <w:spacing w:before="0" w:after="60"/>
        <w:rPr/>
      </w:pPr>
      <w:r>
        <w:rPr/>
      </w:r>
    </w:p>
    <w:p>
      <w:pPr>
        <w:pStyle w:val="Heading2"/>
        <w:rPr/>
      </w:pPr>
      <w:r>
        <w:rPr/>
        <w:t>B. Distribution and Outliers</w:t>
      </w:r>
    </w:p>
    <w:p>
      <w:pPr>
        <w:pStyle w:val="Normal"/>
        <w:spacing w:lineRule="auto" w:line="228" w:before="0" w:after="50"/>
        <w:ind w:firstLine="240"/>
        <w:jc w:val="both"/>
        <w:rPr/>
      </w:pPr>
      <w:r>
        <w:rPr/>
        <w:t>Fig. 2 shows the distribution of Total Cost. Most records have low or moderate cost and a smaller number have much higher cost, which gives a skewness of 1.185 and an excess kurtosis of 0.557 (strong right skew). Usage Quantity is moderately skewed (0.513), whereas CPU utilization (−0.057), memory utilization (−0.046), network traffic and cost per quantity are approximately symmetric, with excess kurtosis between −1.21 and −1.05, close to the value of −1.2 of a uniform distribution.</w:t>
      </w:r>
    </w:p>
    <w:p>
      <w:pPr>
        <w:pStyle w:val="Normal"/>
        <w:keepNext w:val="true"/>
        <w:spacing w:before="60" w:after="0"/>
        <w:jc w:val="center"/>
        <w:rPr/>
      </w:pPr>
      <w:r>
        <w:rPr/>
        <w:drawing>
          <wp:inline distT="0" distB="0" distL="0" distR="0">
            <wp:extent cx="2743200" cy="3162300"/>
            <wp:effectExtent l="0" t="0" r="0" b="0"/>
            <wp:docPr id="2" name="Figure 2" descr="Figure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descr="Figure 2" title="Figure 2"/>
                    <pic:cNvPicPr>
                      <a:picLocks noChangeAspect="1" noChangeArrowheads="1"/>
                    </pic:cNvPicPr>
                  </pic:nvPicPr>
                  <pic:blipFill>
                    <a:blip r:embed="rId3"/>
                    <a:stretch>
                      <a:fillRect/>
                    </a:stretch>
                  </pic:blipFill>
                  <pic:spPr bwMode="auto">
                    <a:xfrm>
                      <a:off x="0" y="0"/>
                      <a:ext cx="2743200" cy="3162300"/>
                    </a:xfrm>
                    <a:prstGeom prst="rect">
                      <a:avLst/>
                    </a:prstGeom>
                    <a:noFill/>
                  </pic:spPr>
                </pic:pic>
              </a:graphicData>
            </a:graphic>
          </wp:inline>
        </w:drawing>
      </w:r>
    </w:p>
    <w:p>
      <w:pPr>
        <w:pStyle w:val="Normal"/>
        <w:spacing w:before="20" w:after="100"/>
        <w:jc w:val="both"/>
        <w:rPr/>
      </w:pPr>
      <w:r>
        <w:rPr>
          <w:sz w:val="16"/>
          <w:szCs w:val="16"/>
        </w:rPr>
        <w:t>Fig. 2. Distribution (top) and boxplot (bottom) of Total Cost (INR).</w:t>
      </w:r>
    </w:p>
    <w:p>
      <w:pPr>
        <w:pStyle w:val="Normal"/>
        <w:spacing w:lineRule="auto" w:line="228" w:before="0" w:after="50"/>
        <w:ind w:firstLine="240"/>
        <w:jc w:val="both"/>
        <w:rPr/>
      </w:pPr>
      <w:r>
        <w:rPr/>
        <w:t>Outliers were identified with the interquartile range (IQR) rule: observations outside [Q1 − 1.5 IQR, Q3 + 1.5 IQR] are outliers. No outliers were found in the usage, utilization, network or cost-per-quantity variables, but 24 records (2.4%) are outliers in the cost variables. The upper boundary for Total Cost is about ₹613,619, whereas the maximum is ₹747,332. These records may represent unusually expensive usage and are relevant for cost optimization, because a small number of records can contribute disproportionately to total expenditure.</w:t>
      </w:r>
    </w:p>
    <w:p>
      <w:pPr>
        <w:pStyle w:val="Heading2"/>
        <w:rPr/>
      </w:pPr>
      <w:r>
        <w:rPr/>
        <w:t>C. Service-Wise Cost</w:t>
      </w:r>
    </w:p>
    <w:p>
      <w:pPr>
        <w:pStyle w:val="Normal"/>
        <w:spacing w:lineRule="auto" w:line="228" w:before="0" w:after="50"/>
        <w:ind w:firstLine="240"/>
        <w:jc w:val="both"/>
        <w:rPr/>
      </w:pPr>
      <w:r>
        <w:rPr/>
        <w:t>Fig. 3 presents aggregate cost by service. Cloud CDN has the highest total cost, ₹11,738,109, followed by Cloud Build at ₹11,220,023 and Pub/Sub at ₹10,696,044. Cloud NAT has the highest average cost per record, about ₹281,261, so high total expenditure does not always result only from a large number of records. Expenditure is concentrated in particular services.</w:t>
      </w:r>
    </w:p>
    <w:p>
      <w:pPr>
        <w:pStyle w:val="Normal"/>
        <w:keepNext w:val="true"/>
        <w:spacing w:before="60" w:after="0"/>
        <w:jc w:val="center"/>
        <w:rPr/>
      </w:pPr>
      <w:r>
        <w:rPr/>
        <w:drawing>
          <wp:inline distT="0" distB="0" distL="0" distR="0">
            <wp:extent cx="2743200" cy="2447925"/>
            <wp:effectExtent l="0" t="0" r="0" b="0"/>
            <wp:docPr id="3" name="Figure 3" descr="Figure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descr="Figure 3" title="Figure 3"/>
                    <pic:cNvPicPr>
                      <a:picLocks noChangeAspect="1" noChangeArrowheads="1"/>
                    </pic:cNvPicPr>
                  </pic:nvPicPr>
                  <pic:blipFill>
                    <a:blip r:embed="rId4"/>
                    <a:stretch>
                      <a:fillRect/>
                    </a:stretch>
                  </pic:blipFill>
                  <pic:spPr bwMode="auto">
                    <a:xfrm>
                      <a:off x="0" y="0"/>
                      <a:ext cx="2743200" cy="2447925"/>
                    </a:xfrm>
                    <a:prstGeom prst="rect">
                      <a:avLst/>
                    </a:prstGeom>
                    <a:noFill/>
                  </pic:spPr>
                </pic:pic>
              </a:graphicData>
            </a:graphic>
          </wp:inline>
        </w:drawing>
      </w:r>
    </w:p>
    <w:p>
      <w:pPr>
        <w:pStyle w:val="Normal"/>
        <w:spacing w:before="20" w:after="100"/>
        <w:jc w:val="both"/>
        <w:rPr/>
      </w:pPr>
      <w:r>
        <w:rPr>
          <w:sz w:val="16"/>
          <w:szCs w:val="16"/>
        </w:rPr>
        <w:t>Fig. 3. Total cloud cost by GCP service.</w:t>
      </w:r>
    </w:p>
    <w:p>
      <w:pPr>
        <w:pStyle w:val="Heading2"/>
        <w:rPr/>
      </w:pPr>
      <w:r>
        <w:rPr/>
        <w:t>D. Region-Wise Cost</w:t>
      </w:r>
    </w:p>
    <w:p>
      <w:pPr>
        <w:pStyle w:val="Normal"/>
        <w:spacing w:lineRule="auto" w:line="228" w:before="0" w:after="50"/>
        <w:ind w:firstLine="240"/>
        <w:jc w:val="both"/>
        <w:rPr/>
      </w:pPr>
      <w:r>
        <w:rPr/>
        <w:t>Fig. 4 shows that expenditure is not evenly distributed across regions. us-east1 has the highest total cost, ₹17,896,377, followed by southamerica-east1 at ₹17,769,636 and europe-west1 at ₹16,280,533.</w:t>
      </w:r>
    </w:p>
    <w:p>
      <w:pPr>
        <w:pStyle w:val="Normal"/>
        <w:keepNext w:val="true"/>
        <w:spacing w:before="60" w:after="0"/>
        <w:jc w:val="center"/>
        <w:rPr/>
      </w:pPr>
      <w:r>
        <w:rPr/>
        <w:drawing>
          <wp:inline distT="0" distB="0" distL="0" distR="0">
            <wp:extent cx="2743200" cy="2171700"/>
            <wp:effectExtent l="0" t="0" r="0" b="0"/>
            <wp:docPr id="4" name="Figure 4" descr="Figure 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descr="Figure 4" title="Figure 4"/>
                    <pic:cNvPicPr>
                      <a:picLocks noChangeAspect="1" noChangeArrowheads="1"/>
                    </pic:cNvPicPr>
                  </pic:nvPicPr>
                  <pic:blipFill>
                    <a:blip r:embed="rId5"/>
                    <a:stretch>
                      <a:fillRect/>
                    </a:stretch>
                  </pic:blipFill>
                  <pic:spPr bwMode="auto">
                    <a:xfrm>
                      <a:off x="0" y="0"/>
                      <a:ext cx="2743200" cy="2171700"/>
                    </a:xfrm>
                    <a:prstGeom prst="rect">
                      <a:avLst/>
                    </a:prstGeom>
                    <a:noFill/>
                  </pic:spPr>
                </pic:pic>
              </a:graphicData>
            </a:graphic>
          </wp:inline>
        </w:drawing>
      </w:r>
    </w:p>
    <w:p>
      <w:pPr>
        <w:pStyle w:val="Normal"/>
        <w:spacing w:before="20" w:after="100"/>
        <w:jc w:val="both"/>
        <w:rPr/>
      </w:pPr>
      <w:r>
        <w:rPr>
          <w:sz w:val="16"/>
          <w:szCs w:val="16"/>
        </w:rPr>
        <w:t>Fig. 4. Total cloud cost by region/zone.</w:t>
      </w:r>
    </w:p>
    <w:p>
      <w:pPr>
        <w:pStyle w:val="Heading2"/>
        <w:rPr/>
      </w:pPr>
      <w:r>
        <w:rPr/>
        <w:t>E. Resource Utilization and Cost</w:t>
      </w:r>
    </w:p>
    <w:p>
      <w:pPr>
        <w:pStyle w:val="Normal"/>
        <w:spacing w:lineRule="auto" w:line="228" w:before="0" w:after="50"/>
        <w:ind w:firstLine="240"/>
        <w:jc w:val="both"/>
        <w:rPr/>
      </w:pPr>
      <w:r>
        <w:rPr/>
        <w:t>Fig. 5 plots Total Cost against CPU and memory utilization. Neither plot shows a clear linear pattern, in agreement with Pearson correlations of −0.050 and −0.015. CPU or memory utilization alone is therefore not a useful linear explanation of cost in this dataset.</w:t>
      </w:r>
    </w:p>
    <w:p>
      <w:pPr>
        <w:pStyle w:val="Normal"/>
        <w:keepNext w:val="true"/>
        <w:spacing w:before="60" w:after="0"/>
        <w:jc w:val="center"/>
        <w:rPr/>
      </w:pPr>
      <w:r>
        <w:rPr/>
        <w:drawing>
          <wp:inline distT="0" distB="0" distL="0" distR="0">
            <wp:extent cx="2466975" cy="3257550"/>
            <wp:effectExtent l="0" t="0" r="0" b="0"/>
            <wp:docPr id="5" name="Figure 5" descr="Figure 5"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descr="Figure 5" title="Figure 5"/>
                    <pic:cNvPicPr>
                      <a:picLocks noChangeAspect="1" noChangeArrowheads="1"/>
                    </pic:cNvPicPr>
                  </pic:nvPicPr>
                  <pic:blipFill>
                    <a:blip r:embed="rId6"/>
                    <a:stretch>
                      <a:fillRect/>
                    </a:stretch>
                  </pic:blipFill>
                  <pic:spPr bwMode="auto">
                    <a:xfrm>
                      <a:off x="0" y="0"/>
                      <a:ext cx="2466975" cy="3257550"/>
                    </a:xfrm>
                    <a:prstGeom prst="rect">
                      <a:avLst/>
                    </a:prstGeom>
                    <a:noFill/>
                  </pic:spPr>
                </pic:pic>
              </a:graphicData>
            </a:graphic>
          </wp:inline>
        </w:drawing>
      </w:r>
    </w:p>
    <w:p>
      <w:pPr>
        <w:pStyle w:val="Normal"/>
        <w:spacing w:before="20" w:after="100"/>
        <w:jc w:val="both"/>
        <w:rPr/>
      </w:pPr>
      <w:r>
        <w:rPr>
          <w:sz w:val="16"/>
          <w:szCs w:val="16"/>
        </w:rPr>
        <w:t>Fig. 5. Total cost versus CPU utilization (top) and memory utilization (bottom).</w:t>
      </w:r>
    </w:p>
    <w:p>
      <w:pPr>
        <w:pStyle w:val="Heading2"/>
        <w:rPr/>
      </w:pPr>
      <w:r>
        <w:rPr/>
        <w:t>F. Correlation Analysis</w:t>
      </w:r>
    </w:p>
    <w:p>
      <w:pPr>
        <w:pStyle w:val="Normal"/>
        <w:spacing w:lineRule="auto" w:line="228" w:before="0" w:after="50"/>
        <w:ind w:firstLine="240"/>
        <w:jc w:val="both"/>
        <w:rPr/>
      </w:pPr>
      <w:r>
        <w:rPr/>
        <w:t>Pearson correlation measures the strength and direction of a linear relationship on a scale from −1 to +1. Table IV and Fig. 6 show the relationships with Total Cost. Usage Quantity has the strongest relationship (r = 0.8115), cost per quantity a moderate one (r = 0.4822), and the CPU, memory and network variables negligible ones. Network inbound and outbound traffic are almost perfectly correlated (r = 0.9949, Fig. 6, bottom), yet both are weakly related to cost. The correlations among Unrounded, Rounded and Total Cost are essentially 1.00 because they are the same billing amount, and must not be read as independent relationships. Correlation describes linear association only and does not prove causation.</w:t>
      </w:r>
    </w:p>
    <w:p>
      <w:pPr>
        <w:pStyle w:val="Normal"/>
        <w:keepNext w:val="true"/>
        <w:spacing w:before="100" w:after="0"/>
        <w:jc w:val="center"/>
        <w:rPr/>
      </w:pPr>
      <w:r>
        <w:rPr>
          <w:sz w:val="16"/>
          <w:szCs w:val="16"/>
        </w:rPr>
        <w:t>TABLE IV</w:t>
      </w:r>
    </w:p>
    <w:p>
      <w:pPr>
        <w:pStyle w:val="Normal"/>
        <w:keepNext w:val="true"/>
        <w:spacing w:before="0" w:after="40"/>
        <w:jc w:val="center"/>
        <w:rPr/>
      </w:pPr>
      <w:r>
        <w:rPr>
          <w:sz w:val="16"/>
          <w:szCs w:val="16"/>
        </w:rPr>
        <w:t>CORRELATIONS WITH TOTAL COST</w:t>
      </w:r>
    </w:p>
    <w:tbl>
      <w:tblPr>
        <w:tblW w:w="4860" w:type="dxa"/>
        <w:jc w:val="start"/>
        <w:tblInd w:w="0" w:type="dxa"/>
        <w:tblLayout w:type="fixed"/>
        <w:tblCellMar>
          <w:top w:w="18" w:type="dxa"/>
          <w:start w:w="45" w:type="dxa"/>
          <w:bottom w:w="18" w:type="dxa"/>
          <w:end w:w="45" w:type="dxa"/>
        </w:tblCellMar>
        <w:tblLook w:val="0000" w:firstRow="0" w:noVBand="0" w:lastRow="0" w:firstColumn="0" w:lastColumn="0" w:noHBand="0"/>
      </w:tblPr>
      <w:tblGrid>
        <w:gridCol w:w="1897"/>
        <w:gridCol w:w="1001"/>
        <w:gridCol w:w="1962"/>
      </w:tblGrid>
      <w:tr>
        <w:trPr>
          <w:tblHeader w:val="true"/>
          <w:cantSplit/>
        </w:trPr>
        <w:tc>
          <w:tcPr>
            <w:tcW w:w="1897" w:type="dxa"/>
            <w:tcBorders>
              <w:top w:val="single" w:sz="8" w:space="0" w:color="000000"/>
              <w:bottom w:val="single" w:sz="4" w:space="0" w:color="000000"/>
            </w:tcBorders>
            <w:vAlign w:val="center"/>
          </w:tcPr>
          <w:p>
            <w:pPr>
              <w:pStyle w:val="Normal"/>
              <w:rPr/>
            </w:pPr>
            <w:r>
              <w:rPr>
                <w:b/>
                <w:bCs/>
                <w:sz w:val="15"/>
                <w:szCs w:val="15"/>
              </w:rPr>
              <w:t>Variable</w:t>
            </w:r>
          </w:p>
        </w:tc>
        <w:tc>
          <w:tcPr>
            <w:tcW w:w="1001" w:type="dxa"/>
            <w:tcBorders>
              <w:top w:val="single" w:sz="8" w:space="0" w:color="000000"/>
              <w:bottom w:val="single" w:sz="4" w:space="0" w:color="000000"/>
            </w:tcBorders>
            <w:vAlign w:val="center"/>
          </w:tcPr>
          <w:p>
            <w:pPr>
              <w:pStyle w:val="Normal"/>
              <w:jc w:val="center"/>
              <w:rPr/>
            </w:pPr>
            <w:r>
              <w:rPr>
                <w:b/>
                <w:bCs/>
                <w:sz w:val="15"/>
                <w:szCs w:val="15"/>
              </w:rPr>
              <w:t>r</w:t>
            </w:r>
          </w:p>
        </w:tc>
        <w:tc>
          <w:tcPr>
            <w:tcW w:w="1962" w:type="dxa"/>
            <w:tcBorders>
              <w:top w:val="single" w:sz="8" w:space="0" w:color="000000"/>
              <w:bottom w:val="single" w:sz="4" w:space="0" w:color="000000"/>
            </w:tcBorders>
            <w:vAlign w:val="center"/>
          </w:tcPr>
          <w:p>
            <w:pPr>
              <w:pStyle w:val="Normal"/>
              <w:rPr/>
            </w:pPr>
            <w:r>
              <w:rPr>
                <w:b/>
                <w:bCs/>
                <w:sz w:val="15"/>
                <w:szCs w:val="15"/>
              </w:rPr>
              <w:t>Strength</w:t>
            </w:r>
          </w:p>
        </w:tc>
      </w:tr>
      <w:tr>
        <w:trPr>
          <w:cantSplit/>
        </w:trPr>
        <w:tc>
          <w:tcPr>
            <w:tcW w:w="1897" w:type="dxa"/>
            <w:tcBorders/>
            <w:vAlign w:val="center"/>
          </w:tcPr>
          <w:p>
            <w:pPr>
              <w:pStyle w:val="Normal"/>
              <w:rPr/>
            </w:pPr>
            <w:r>
              <w:rPr>
                <w:sz w:val="15"/>
                <w:szCs w:val="15"/>
              </w:rPr>
              <w:t>Usage Quantity</w:t>
            </w:r>
          </w:p>
        </w:tc>
        <w:tc>
          <w:tcPr>
            <w:tcW w:w="1001" w:type="dxa"/>
            <w:tcBorders/>
            <w:vAlign w:val="center"/>
          </w:tcPr>
          <w:p>
            <w:pPr>
              <w:pStyle w:val="Normal"/>
              <w:jc w:val="end"/>
              <w:rPr/>
            </w:pPr>
            <w:r>
              <w:rPr>
                <w:sz w:val="15"/>
                <w:szCs w:val="15"/>
              </w:rPr>
              <w:t>0.8115</w:t>
            </w:r>
          </w:p>
        </w:tc>
        <w:tc>
          <w:tcPr>
            <w:tcW w:w="1962" w:type="dxa"/>
            <w:tcBorders/>
            <w:vAlign w:val="center"/>
          </w:tcPr>
          <w:p>
            <w:pPr>
              <w:pStyle w:val="Normal"/>
              <w:rPr/>
            </w:pPr>
            <w:r>
              <w:rPr>
                <w:sz w:val="15"/>
                <w:szCs w:val="15"/>
              </w:rPr>
              <w:t>Strong positive</w:t>
            </w:r>
          </w:p>
        </w:tc>
      </w:tr>
      <w:tr>
        <w:trPr>
          <w:cantSplit/>
        </w:trPr>
        <w:tc>
          <w:tcPr>
            <w:tcW w:w="1897" w:type="dxa"/>
            <w:tcBorders/>
            <w:vAlign w:val="center"/>
          </w:tcPr>
          <w:p>
            <w:pPr>
              <w:pStyle w:val="Normal"/>
              <w:rPr/>
            </w:pPr>
            <w:r>
              <w:rPr>
                <w:sz w:val="15"/>
                <w:szCs w:val="15"/>
              </w:rPr>
              <w:t>Cost per Quantity ($)</w:t>
            </w:r>
          </w:p>
        </w:tc>
        <w:tc>
          <w:tcPr>
            <w:tcW w:w="1001" w:type="dxa"/>
            <w:tcBorders/>
            <w:vAlign w:val="center"/>
          </w:tcPr>
          <w:p>
            <w:pPr>
              <w:pStyle w:val="Normal"/>
              <w:jc w:val="end"/>
              <w:rPr/>
            </w:pPr>
            <w:r>
              <w:rPr>
                <w:sz w:val="15"/>
                <w:szCs w:val="15"/>
              </w:rPr>
              <w:t>0.4822</w:t>
            </w:r>
          </w:p>
        </w:tc>
        <w:tc>
          <w:tcPr>
            <w:tcW w:w="1962" w:type="dxa"/>
            <w:tcBorders/>
            <w:vAlign w:val="center"/>
          </w:tcPr>
          <w:p>
            <w:pPr>
              <w:pStyle w:val="Normal"/>
              <w:rPr/>
            </w:pPr>
            <w:r>
              <w:rPr>
                <w:sz w:val="15"/>
                <w:szCs w:val="15"/>
              </w:rPr>
              <w:t>Moderate positive</w:t>
            </w:r>
          </w:p>
        </w:tc>
      </w:tr>
      <w:tr>
        <w:trPr>
          <w:cantSplit/>
        </w:trPr>
        <w:tc>
          <w:tcPr>
            <w:tcW w:w="1897" w:type="dxa"/>
            <w:tcBorders/>
            <w:vAlign w:val="center"/>
          </w:tcPr>
          <w:p>
            <w:pPr>
              <w:pStyle w:val="Normal"/>
              <w:rPr/>
            </w:pPr>
            <w:r>
              <w:rPr>
                <w:sz w:val="15"/>
                <w:szCs w:val="15"/>
              </w:rPr>
              <w:t>CPU Utilization (%)</w:t>
            </w:r>
          </w:p>
        </w:tc>
        <w:tc>
          <w:tcPr>
            <w:tcW w:w="1001" w:type="dxa"/>
            <w:tcBorders/>
            <w:vAlign w:val="center"/>
          </w:tcPr>
          <w:p>
            <w:pPr>
              <w:pStyle w:val="Normal"/>
              <w:jc w:val="end"/>
              <w:rPr/>
            </w:pPr>
            <w:r>
              <w:rPr>
                <w:sz w:val="15"/>
                <w:szCs w:val="15"/>
              </w:rPr>
              <w:t>−</w:t>
            </w:r>
            <w:r>
              <w:rPr>
                <w:sz w:val="15"/>
                <w:szCs w:val="15"/>
              </w:rPr>
              <w:t>0.0502</w:t>
            </w:r>
          </w:p>
        </w:tc>
        <w:tc>
          <w:tcPr>
            <w:tcW w:w="1962" w:type="dxa"/>
            <w:tcBorders/>
            <w:vAlign w:val="center"/>
          </w:tcPr>
          <w:p>
            <w:pPr>
              <w:pStyle w:val="Normal"/>
              <w:rPr/>
            </w:pPr>
            <w:r>
              <w:rPr>
                <w:sz w:val="15"/>
                <w:szCs w:val="15"/>
              </w:rPr>
              <w:t>Negligible</w:t>
            </w:r>
          </w:p>
        </w:tc>
      </w:tr>
      <w:tr>
        <w:trPr>
          <w:cantSplit/>
        </w:trPr>
        <w:tc>
          <w:tcPr>
            <w:tcW w:w="1897" w:type="dxa"/>
            <w:tcBorders/>
            <w:vAlign w:val="center"/>
          </w:tcPr>
          <w:p>
            <w:pPr>
              <w:pStyle w:val="Normal"/>
              <w:rPr/>
            </w:pPr>
            <w:r>
              <w:rPr>
                <w:sz w:val="15"/>
                <w:szCs w:val="15"/>
              </w:rPr>
              <w:t>Memory Utilization (%)</w:t>
            </w:r>
          </w:p>
        </w:tc>
        <w:tc>
          <w:tcPr>
            <w:tcW w:w="1001" w:type="dxa"/>
            <w:tcBorders/>
            <w:vAlign w:val="center"/>
          </w:tcPr>
          <w:p>
            <w:pPr>
              <w:pStyle w:val="Normal"/>
              <w:jc w:val="end"/>
              <w:rPr/>
            </w:pPr>
            <w:r>
              <w:rPr>
                <w:sz w:val="15"/>
                <w:szCs w:val="15"/>
              </w:rPr>
              <w:t>−</w:t>
            </w:r>
            <w:r>
              <w:rPr>
                <w:sz w:val="15"/>
                <w:szCs w:val="15"/>
              </w:rPr>
              <w:t>0.0150</w:t>
            </w:r>
          </w:p>
        </w:tc>
        <w:tc>
          <w:tcPr>
            <w:tcW w:w="1962" w:type="dxa"/>
            <w:tcBorders/>
            <w:vAlign w:val="center"/>
          </w:tcPr>
          <w:p>
            <w:pPr>
              <w:pStyle w:val="Normal"/>
              <w:rPr/>
            </w:pPr>
            <w:r>
              <w:rPr>
                <w:sz w:val="15"/>
                <w:szCs w:val="15"/>
              </w:rPr>
              <w:t>Negligible</w:t>
            </w:r>
          </w:p>
        </w:tc>
      </w:tr>
      <w:tr>
        <w:trPr>
          <w:cantSplit/>
        </w:trPr>
        <w:tc>
          <w:tcPr>
            <w:tcW w:w="1897" w:type="dxa"/>
            <w:tcBorders/>
            <w:vAlign w:val="center"/>
          </w:tcPr>
          <w:p>
            <w:pPr>
              <w:pStyle w:val="Normal"/>
              <w:rPr/>
            </w:pPr>
            <w:r>
              <w:rPr>
                <w:sz w:val="15"/>
                <w:szCs w:val="15"/>
              </w:rPr>
              <w:t>Network Inbound Data</w:t>
            </w:r>
          </w:p>
        </w:tc>
        <w:tc>
          <w:tcPr>
            <w:tcW w:w="1001" w:type="dxa"/>
            <w:tcBorders/>
            <w:vAlign w:val="center"/>
          </w:tcPr>
          <w:p>
            <w:pPr>
              <w:pStyle w:val="Normal"/>
              <w:jc w:val="end"/>
              <w:rPr/>
            </w:pPr>
            <w:r>
              <w:rPr>
                <w:sz w:val="15"/>
                <w:szCs w:val="15"/>
              </w:rPr>
              <w:t>−</w:t>
            </w:r>
            <w:r>
              <w:rPr>
                <w:sz w:val="15"/>
                <w:szCs w:val="15"/>
              </w:rPr>
              <w:t>0.0362</w:t>
            </w:r>
          </w:p>
        </w:tc>
        <w:tc>
          <w:tcPr>
            <w:tcW w:w="1962" w:type="dxa"/>
            <w:tcBorders/>
            <w:vAlign w:val="center"/>
          </w:tcPr>
          <w:p>
            <w:pPr>
              <w:pStyle w:val="Normal"/>
              <w:rPr/>
            </w:pPr>
            <w:r>
              <w:rPr>
                <w:sz w:val="15"/>
                <w:szCs w:val="15"/>
              </w:rPr>
              <w:t>Negligible</w:t>
            </w:r>
          </w:p>
        </w:tc>
      </w:tr>
      <w:tr>
        <w:trPr>
          <w:cantSplit/>
        </w:trPr>
        <w:tc>
          <w:tcPr>
            <w:tcW w:w="1897" w:type="dxa"/>
            <w:tcBorders/>
            <w:vAlign w:val="center"/>
          </w:tcPr>
          <w:p>
            <w:pPr>
              <w:pStyle w:val="Normal"/>
              <w:rPr/>
            </w:pPr>
            <w:r>
              <w:rPr>
                <w:sz w:val="15"/>
                <w:szCs w:val="15"/>
              </w:rPr>
              <w:t>Network Outbound Data</w:t>
            </w:r>
          </w:p>
        </w:tc>
        <w:tc>
          <w:tcPr>
            <w:tcW w:w="1001" w:type="dxa"/>
            <w:tcBorders/>
            <w:vAlign w:val="center"/>
          </w:tcPr>
          <w:p>
            <w:pPr>
              <w:pStyle w:val="Normal"/>
              <w:jc w:val="end"/>
              <w:rPr/>
            </w:pPr>
            <w:r>
              <w:rPr>
                <w:sz w:val="15"/>
                <w:szCs w:val="15"/>
              </w:rPr>
              <w:t>−</w:t>
            </w:r>
            <w:r>
              <w:rPr>
                <w:sz w:val="15"/>
                <w:szCs w:val="15"/>
              </w:rPr>
              <w:t>0.0348</w:t>
            </w:r>
          </w:p>
        </w:tc>
        <w:tc>
          <w:tcPr>
            <w:tcW w:w="1962" w:type="dxa"/>
            <w:tcBorders/>
            <w:vAlign w:val="center"/>
          </w:tcPr>
          <w:p>
            <w:pPr>
              <w:pStyle w:val="Normal"/>
              <w:rPr/>
            </w:pPr>
            <w:r>
              <w:rPr>
                <w:sz w:val="15"/>
                <w:szCs w:val="15"/>
              </w:rPr>
              <w:t>Negligible</w:t>
            </w:r>
          </w:p>
        </w:tc>
      </w:tr>
      <w:tr>
        <w:trPr>
          <w:cantSplit/>
        </w:trPr>
        <w:tc>
          <w:tcPr>
            <w:tcW w:w="1897" w:type="dxa"/>
            <w:tcBorders>
              <w:bottom w:val="single" w:sz="8" w:space="0" w:color="000000"/>
            </w:tcBorders>
            <w:vAlign w:val="center"/>
          </w:tcPr>
          <w:p>
            <w:pPr>
              <w:pStyle w:val="Normal"/>
              <w:rPr/>
            </w:pPr>
            <w:r>
              <w:rPr>
                <w:sz w:val="15"/>
                <w:szCs w:val="15"/>
              </w:rPr>
              <w:t>Inbound vs. outbound data</w:t>
            </w:r>
          </w:p>
        </w:tc>
        <w:tc>
          <w:tcPr>
            <w:tcW w:w="1001" w:type="dxa"/>
            <w:tcBorders>
              <w:bottom w:val="single" w:sz="8" w:space="0" w:color="000000"/>
            </w:tcBorders>
            <w:vAlign w:val="center"/>
          </w:tcPr>
          <w:p>
            <w:pPr>
              <w:pStyle w:val="Normal"/>
              <w:jc w:val="end"/>
              <w:rPr/>
            </w:pPr>
            <w:r>
              <w:rPr>
                <w:sz w:val="15"/>
                <w:szCs w:val="15"/>
              </w:rPr>
              <w:t>0.9949</w:t>
            </w:r>
          </w:p>
        </w:tc>
        <w:tc>
          <w:tcPr>
            <w:tcW w:w="1962" w:type="dxa"/>
            <w:tcBorders>
              <w:bottom w:val="single" w:sz="8" w:space="0" w:color="000000"/>
            </w:tcBorders>
            <w:vAlign w:val="center"/>
          </w:tcPr>
          <w:p>
            <w:pPr>
              <w:pStyle w:val="Normal"/>
              <w:rPr/>
            </w:pPr>
            <w:r>
              <w:rPr>
                <w:sz w:val="15"/>
                <w:szCs w:val="15"/>
              </w:rPr>
              <w:t>Very strong positive</w:t>
            </w:r>
          </w:p>
        </w:tc>
      </w:tr>
    </w:tbl>
    <w:p>
      <w:pPr>
        <w:pStyle w:val="Normal"/>
        <w:spacing w:before="0" w:after="60"/>
        <w:rPr/>
      </w:pPr>
      <w:r>
        <w:rPr/>
      </w:r>
    </w:p>
    <w:p>
      <w:pPr>
        <w:pStyle w:val="Normal"/>
        <w:keepNext w:val="true"/>
        <w:spacing w:before="60" w:after="0"/>
        <w:jc w:val="center"/>
        <w:rPr/>
      </w:pPr>
      <w:r>
        <w:rPr/>
        <w:drawing>
          <wp:inline distT="0" distB="0" distL="0" distR="0">
            <wp:extent cx="2466975" cy="3714750"/>
            <wp:effectExtent l="0" t="0" r="0" b="0"/>
            <wp:docPr id="6" name="Figure 6" descr="Figure 6"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6" descr="Figure 6" title="Figure 6"/>
                    <pic:cNvPicPr>
                      <a:picLocks noChangeAspect="1" noChangeArrowheads="1"/>
                    </pic:cNvPicPr>
                  </pic:nvPicPr>
                  <pic:blipFill>
                    <a:blip r:embed="rId7"/>
                    <a:stretch>
                      <a:fillRect/>
                    </a:stretch>
                  </pic:blipFill>
                  <pic:spPr bwMode="auto">
                    <a:xfrm>
                      <a:off x="0" y="0"/>
                      <a:ext cx="2466975" cy="3714750"/>
                    </a:xfrm>
                    <a:prstGeom prst="rect">
                      <a:avLst/>
                    </a:prstGeom>
                    <a:noFill/>
                  </pic:spPr>
                </pic:pic>
              </a:graphicData>
            </a:graphic>
          </wp:inline>
        </w:drawing>
      </w:r>
    </w:p>
    <w:p>
      <w:pPr>
        <w:pStyle w:val="Normal"/>
        <w:spacing w:before="20" w:after="100"/>
        <w:jc w:val="both"/>
        <w:rPr/>
      </w:pPr>
      <w:r>
        <w:rPr>
          <w:sz w:val="16"/>
          <w:szCs w:val="16"/>
        </w:rPr>
        <w:t>Fig. 6. Pearson correlation matrix (top) and network inbound versus outbound data (bottom).</w:t>
      </w:r>
    </w:p>
    <w:p>
      <w:pPr>
        <w:pStyle w:val="Heading2"/>
        <w:rPr/>
      </w:pPr>
      <w:r>
        <w:rPr/>
        <w:t>G. Monthly Cost Trend</w:t>
      </w:r>
    </w:p>
    <w:p>
      <w:pPr>
        <w:pStyle w:val="Normal"/>
        <w:spacing w:lineRule="auto" w:line="228" w:before="0" w:after="50"/>
        <w:ind w:firstLine="240"/>
        <w:jc w:val="both"/>
        <w:rPr/>
      </w:pPr>
      <w:r>
        <w:rPr/>
        <w:t>Fig. 7 aggregates Total Cost by usage start month. The total is about ₹0.88 million in June 2024 (only six records, because the data begin on 30 June), ₹99.20 million (₹99,201,683) in July and ₹77.14 million (₹77,137,959) in August. The marked differences between months indicate temporal variation in expenditure and motivate a time-based forecasting approach.</w:t>
      </w:r>
    </w:p>
    <w:p>
      <w:pPr>
        <w:pStyle w:val="Normal"/>
        <w:keepNext w:val="true"/>
        <w:spacing w:before="60" w:after="0"/>
        <w:jc w:val="center"/>
        <w:rPr/>
      </w:pPr>
      <w:r>
        <w:rPr/>
        <w:drawing>
          <wp:inline distT="0" distB="0" distL="0" distR="0">
            <wp:extent cx="2743200" cy="1714500"/>
            <wp:effectExtent l="0" t="0" r="0" b="0"/>
            <wp:docPr id="7" name="Figure 7" descr="Figure 7"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7" descr="Figure 7" title="Figure 7"/>
                    <pic:cNvPicPr>
                      <a:picLocks noChangeAspect="1" noChangeArrowheads="1"/>
                    </pic:cNvPicPr>
                  </pic:nvPicPr>
                  <pic:blipFill>
                    <a:blip r:embed="rId8"/>
                    <a:stretch>
                      <a:fillRect/>
                    </a:stretch>
                  </pic:blipFill>
                  <pic:spPr bwMode="auto">
                    <a:xfrm>
                      <a:off x="0" y="0"/>
                      <a:ext cx="2743200" cy="1714500"/>
                    </a:xfrm>
                    <a:prstGeom prst="rect">
                      <a:avLst/>
                    </a:prstGeom>
                    <a:noFill/>
                  </pic:spPr>
                </pic:pic>
              </a:graphicData>
            </a:graphic>
          </wp:inline>
        </w:drawing>
      </w:r>
    </w:p>
    <w:p>
      <w:pPr>
        <w:pStyle w:val="Normal"/>
        <w:spacing w:before="20" w:after="100"/>
        <w:jc w:val="both"/>
        <w:rPr/>
      </w:pPr>
      <w:r>
        <w:rPr>
          <w:sz w:val="16"/>
          <w:szCs w:val="16"/>
        </w:rPr>
        <w:t>Fig. 7. Monthly total cloud cost by usage start date.</w:t>
      </w:r>
    </w:p>
    <w:p>
      <w:pPr>
        <w:pStyle w:val="Heading2"/>
        <w:rPr/>
      </w:pPr>
      <w:r>
        <w:rPr/>
        <w:t>H. Summary of EDA Findings</w:t>
      </w:r>
    </w:p>
    <w:p>
      <w:pPr>
        <w:pStyle w:val="Normal"/>
        <w:spacing w:lineRule="auto" w:line="228" w:before="0" w:after="50"/>
        <w:ind w:firstLine="240"/>
        <w:jc w:val="both"/>
        <w:rPr/>
      </w:pPr>
      <w:r>
        <w:rPr/>
        <w:t>The EDA gives four findings that shape the modelling. First, cost is strongly right-skewed with 24 high-cost outliers, so a Normal likelihood on raw cost is unsuitable and a log transform or a robust likelihood is preferable. Second, Usage Quantity is the main numerical driver of cost (r = 0.8115), whereas CPU and memory utilization show almost no linear relationship with cost; utilization is therefore not used as a predictor of cost and is instead used to define idle resources. Third, cost is concentrated in particular services and regions. Fourth, monthly totals vary substantially, which supports a time-series model of daily cost. Billing optimization should therefore focus on usage quantity, service-level and regional expenditure and high-cost records.</w:t>
      </w:r>
    </w:p>
    <w:p>
      <w:pPr>
        <w:pStyle w:val="Heading1"/>
        <w:rPr/>
      </w:pPr>
      <w:r>
        <w:rPr/>
        <w:t>V. METHODOLOGY</w:t>
      </w:r>
    </w:p>
    <w:p>
      <w:pPr>
        <w:pStyle w:val="Heading2"/>
        <w:rPr/>
      </w:pPr>
      <w:r>
        <w:rPr/>
        <w:t>A. Bayesian Inference and Workflow</w:t>
      </w:r>
    </w:p>
    <w:p>
      <w:pPr>
        <w:pStyle w:val="Normal"/>
        <w:keepNext w:val="true"/>
        <w:spacing w:lineRule="auto" w:line="228" w:before="0" w:after="50"/>
        <w:ind w:firstLine="240"/>
        <w:jc w:val="both"/>
        <w:rPr/>
      </w:pPr>
      <w:r>
        <w:rPr/>
        <w:t>Bayesian inference updates beliefs about unknown parameters θ after observing data, through Bayes’ theorem:</w:t>
      </w:r>
    </w:p>
    <w:p>
      <w:pPr>
        <w:pStyle w:val="Normal"/>
        <w:keepLines/>
        <w:tabs>
          <w:tab w:val="clear" w:pos="720"/>
          <w:tab w:val="center" w:pos="2250" w:leader="none"/>
          <w:tab w:val="right" w:pos="4860" w:leader="none"/>
        </w:tabs>
        <w:spacing w:before="40" w:after="40"/>
        <w:rPr/>
      </w:pPr>
      <w:r>
        <w:rPr/>
        <w:tab/>
      </w:r>
      <w:r>
        <w:rPr/>
        <w:drawing>
          <wp:inline distT="0" distB="0" distL="0" distR="0">
            <wp:extent cx="1314450" cy="266700"/>
            <wp:effectExtent l="0" t="0" r="0" b="0"/>
            <wp:docPr id="8" name="Equation 1" descr="Equation 1" title="Equ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quation 1" descr="Equation 1" title="Equation 1"/>
                    <pic:cNvPicPr>
                      <a:picLocks noChangeAspect="1" noChangeArrowheads="1"/>
                    </pic:cNvPicPr>
                  </pic:nvPicPr>
                  <pic:blipFill>
                    <a:blip r:embed="rId9"/>
                    <a:stretch>
                      <a:fillRect/>
                    </a:stretch>
                  </pic:blipFill>
                  <pic:spPr bwMode="auto">
                    <a:xfrm>
                      <a:off x="0" y="0"/>
                      <a:ext cx="1314450" cy="266700"/>
                    </a:xfrm>
                    <a:prstGeom prst="rect">
                      <a:avLst/>
                    </a:prstGeom>
                    <a:noFill/>
                  </pic:spPr>
                </pic:pic>
              </a:graphicData>
            </a:graphic>
          </wp:inline>
        </w:drawing>
      </w:r>
      <w:r>
        <w:rPr/>
        <w:tab/>
        <w:t>(1)</w:t>
      </w:r>
    </w:p>
    <w:p>
      <w:pPr>
        <w:pStyle w:val="Normal"/>
        <w:spacing w:lineRule="auto" w:line="228" w:before="0" w:after="50"/>
        <w:jc w:val="both"/>
        <w:rPr/>
      </w:pPr>
      <w:r>
        <w:rPr/>
        <w:t>Here P(θ) is the prior, P(Data | θ) the likelihood and P(θ | Data) the posterior. Because P(Data) does not depend on θ, the posterior is proportional to likelihood × prior. Where the posterior has no closed form it is approximated by MCMC sampling with NUTS [9]. Forecasts use the posterior predictive distribution, and uncertainty is reported as equal-tailed 94% credible intervals computed from posterior draws.</w:t>
      </w:r>
    </w:p>
    <w:p>
      <w:pPr>
        <w:pStyle w:val="Normal"/>
        <w:spacing w:lineRule="auto" w:line="228" w:before="0" w:after="50"/>
        <w:ind w:firstLine="240"/>
        <w:jc w:val="both"/>
        <w:rPr/>
      </w:pPr>
      <w:r>
        <w:rPr/>
        <w:t>The modelling follows the standard Bayesian workflow [8]: choose a sensible likelihood; specify priors and check them with a prior predictive simulation; fit the model with MCMC; check convergence diagnostics; check the model against the data with posterior predictive checks; and use the posterior to forecast and answer decision questions. Two models are built, each answering a different question (Table V).</w:t>
      </w:r>
    </w:p>
    <w:p>
      <w:pPr>
        <w:pStyle w:val="Normal"/>
        <w:keepNext w:val="true"/>
        <w:spacing w:before="100" w:after="0"/>
        <w:jc w:val="center"/>
        <w:rPr/>
      </w:pPr>
      <w:r>
        <w:rPr>
          <w:sz w:val="16"/>
          <w:szCs w:val="16"/>
        </w:rPr>
        <w:t>TABLE V</w:t>
      </w:r>
    </w:p>
    <w:p>
      <w:pPr>
        <w:pStyle w:val="Normal"/>
        <w:keepNext w:val="true"/>
        <w:spacing w:before="0" w:after="40"/>
        <w:jc w:val="center"/>
        <w:rPr/>
      </w:pPr>
      <w:r>
        <w:rPr>
          <w:sz w:val="16"/>
          <w:szCs w:val="16"/>
        </w:rPr>
        <w:t>THE TWO BAYESIAN MODELS</w:t>
      </w:r>
    </w:p>
    <w:tbl>
      <w:tblPr>
        <w:tblW w:w="4860" w:type="dxa"/>
        <w:jc w:val="start"/>
        <w:tblInd w:w="0" w:type="dxa"/>
        <w:tblLayout w:type="fixed"/>
        <w:tblCellMar>
          <w:top w:w="18" w:type="dxa"/>
          <w:start w:w="45" w:type="dxa"/>
          <w:bottom w:w="18" w:type="dxa"/>
          <w:end w:w="45" w:type="dxa"/>
        </w:tblCellMar>
        <w:tblLook w:val="0000" w:firstRow="0" w:noVBand="0" w:lastRow="0" w:firstColumn="0" w:lastColumn="0" w:noHBand="0"/>
      </w:tblPr>
      <w:tblGrid>
        <w:gridCol w:w="900"/>
        <w:gridCol w:w="1980"/>
        <w:gridCol w:w="1980"/>
      </w:tblGrid>
      <w:tr>
        <w:trPr>
          <w:tblHeader w:val="true"/>
          <w:cantSplit/>
        </w:trPr>
        <w:tc>
          <w:tcPr>
            <w:tcW w:w="900" w:type="dxa"/>
            <w:tcBorders>
              <w:top w:val="single" w:sz="8" w:space="0" w:color="000000"/>
              <w:bottom w:val="single" w:sz="4" w:space="0" w:color="000000"/>
            </w:tcBorders>
            <w:vAlign w:val="center"/>
          </w:tcPr>
          <w:p>
            <w:pPr>
              <w:pStyle w:val="Normal"/>
              <w:rPr/>
            </w:pPr>
            <w:r>
              <w:rPr>
                <w:b/>
                <w:bCs/>
                <w:sz w:val="15"/>
                <w:szCs w:val="15"/>
              </w:rPr>
              <w:t>Aspect</w:t>
            </w:r>
          </w:p>
        </w:tc>
        <w:tc>
          <w:tcPr>
            <w:tcW w:w="1980" w:type="dxa"/>
            <w:tcBorders>
              <w:top w:val="single" w:sz="8" w:space="0" w:color="000000"/>
              <w:bottom w:val="single" w:sz="4" w:space="0" w:color="000000"/>
            </w:tcBorders>
            <w:vAlign w:val="center"/>
          </w:tcPr>
          <w:p>
            <w:pPr>
              <w:pStyle w:val="Normal"/>
              <w:rPr/>
            </w:pPr>
            <w:r>
              <w:rPr>
                <w:b/>
                <w:bCs/>
                <w:sz w:val="15"/>
                <w:szCs w:val="15"/>
              </w:rPr>
              <w:t>Model 1: time series</w:t>
            </w:r>
          </w:p>
        </w:tc>
        <w:tc>
          <w:tcPr>
            <w:tcW w:w="1980" w:type="dxa"/>
            <w:tcBorders>
              <w:top w:val="single" w:sz="8" w:space="0" w:color="000000"/>
              <w:bottom w:val="single" w:sz="4" w:space="0" w:color="000000"/>
            </w:tcBorders>
            <w:vAlign w:val="center"/>
          </w:tcPr>
          <w:p>
            <w:pPr>
              <w:pStyle w:val="Normal"/>
              <w:rPr/>
            </w:pPr>
            <w:r>
              <w:rPr>
                <w:b/>
                <w:bCs/>
                <w:sz w:val="15"/>
                <w:szCs w:val="15"/>
              </w:rPr>
              <w:t>Model 2: hierarchical</w:t>
            </w:r>
          </w:p>
        </w:tc>
      </w:tr>
      <w:tr>
        <w:trPr>
          <w:cantSplit/>
        </w:trPr>
        <w:tc>
          <w:tcPr>
            <w:tcW w:w="900" w:type="dxa"/>
            <w:tcBorders/>
            <w:vAlign w:val="center"/>
          </w:tcPr>
          <w:p>
            <w:pPr>
              <w:pStyle w:val="Normal"/>
              <w:rPr/>
            </w:pPr>
            <w:r>
              <w:rPr>
                <w:sz w:val="15"/>
                <w:szCs w:val="15"/>
              </w:rPr>
              <w:t>Data used</w:t>
            </w:r>
          </w:p>
        </w:tc>
        <w:tc>
          <w:tcPr>
            <w:tcW w:w="1980" w:type="dxa"/>
            <w:tcBorders/>
            <w:vAlign w:val="center"/>
          </w:tcPr>
          <w:p>
            <w:pPr>
              <w:pStyle w:val="Normal"/>
              <w:rPr/>
            </w:pPr>
            <w:r>
              <w:rPr>
                <w:sz w:val="15"/>
                <w:szCs w:val="15"/>
              </w:rPr>
              <w:t>59 daily total costs</w:t>
            </w:r>
          </w:p>
        </w:tc>
        <w:tc>
          <w:tcPr>
            <w:tcW w:w="1980" w:type="dxa"/>
            <w:tcBorders/>
            <w:vAlign w:val="center"/>
          </w:tcPr>
          <w:p>
            <w:pPr>
              <w:pStyle w:val="Normal"/>
              <w:rPr/>
            </w:pPr>
            <w:r>
              <w:rPr>
                <w:sz w:val="15"/>
                <w:szCs w:val="15"/>
              </w:rPr>
              <w:t>1,000 resource-level records</w:t>
            </w:r>
          </w:p>
        </w:tc>
      </w:tr>
      <w:tr>
        <w:trPr>
          <w:cantSplit/>
        </w:trPr>
        <w:tc>
          <w:tcPr>
            <w:tcW w:w="900" w:type="dxa"/>
            <w:tcBorders/>
            <w:vAlign w:val="center"/>
          </w:tcPr>
          <w:p>
            <w:pPr>
              <w:pStyle w:val="Normal"/>
              <w:rPr/>
            </w:pPr>
            <w:r>
              <w:rPr>
                <w:sz w:val="15"/>
                <w:szCs w:val="15"/>
              </w:rPr>
              <w:t>Question</w:t>
            </w:r>
          </w:p>
        </w:tc>
        <w:tc>
          <w:tcPr>
            <w:tcW w:w="1980" w:type="dxa"/>
            <w:tcBorders/>
            <w:vAlign w:val="center"/>
          </w:tcPr>
          <w:p>
            <w:pPr>
              <w:pStyle w:val="Normal"/>
              <w:rPr/>
            </w:pPr>
            <w:r>
              <w:rPr>
                <w:sz w:val="15"/>
                <w:szCs w:val="15"/>
              </w:rPr>
              <w:t>How is daily spend trending, and what will the next 30 days cost?</w:t>
            </w:r>
          </w:p>
        </w:tc>
        <w:tc>
          <w:tcPr>
            <w:tcW w:w="1980" w:type="dxa"/>
            <w:tcBorders/>
            <w:vAlign w:val="center"/>
          </w:tcPr>
          <w:p>
            <w:pPr>
              <w:pStyle w:val="Normal"/>
              <w:rPr/>
            </w:pPr>
            <w:r>
              <w:rPr>
                <w:sz w:val="15"/>
                <w:szCs w:val="15"/>
              </w:rPr>
              <w:t>Which of the 25 services cost most per record, and how certain are we?</w:t>
            </w:r>
          </w:p>
        </w:tc>
      </w:tr>
      <w:tr>
        <w:trPr>
          <w:cantSplit/>
        </w:trPr>
        <w:tc>
          <w:tcPr>
            <w:tcW w:w="900" w:type="dxa"/>
            <w:tcBorders/>
            <w:vAlign w:val="center"/>
          </w:tcPr>
          <w:p>
            <w:pPr>
              <w:pStyle w:val="Normal"/>
              <w:rPr/>
            </w:pPr>
            <w:r>
              <w:rPr>
                <w:sz w:val="15"/>
                <w:szCs w:val="15"/>
              </w:rPr>
              <w:t>Outcome</w:t>
            </w:r>
          </w:p>
        </w:tc>
        <w:tc>
          <w:tcPr>
            <w:tcW w:w="1980" w:type="dxa"/>
            <w:tcBorders/>
            <w:vAlign w:val="center"/>
          </w:tcPr>
          <w:p>
            <w:pPr>
              <w:pStyle w:val="Normal"/>
              <w:rPr/>
            </w:pPr>
            <w:r>
              <w:rPr>
                <w:sz w:val="15"/>
                <w:szCs w:val="15"/>
              </w:rPr>
              <w:t>Standardised daily cost</w:t>
            </w:r>
          </w:p>
        </w:tc>
        <w:tc>
          <w:tcPr>
            <w:tcW w:w="1980" w:type="dxa"/>
            <w:tcBorders/>
            <w:vAlign w:val="center"/>
          </w:tcPr>
          <w:p>
            <w:pPr>
              <w:pStyle w:val="Normal"/>
              <w:rPr/>
            </w:pPr>
            <w:r>
              <w:rPr>
                <w:sz w:val="15"/>
                <w:szCs w:val="15"/>
              </w:rPr>
              <w:t>Log of record cost</w:t>
            </w:r>
          </w:p>
        </w:tc>
      </w:tr>
      <w:tr>
        <w:trPr>
          <w:cantSplit/>
        </w:trPr>
        <w:tc>
          <w:tcPr>
            <w:tcW w:w="900" w:type="dxa"/>
            <w:tcBorders>
              <w:bottom w:val="single" w:sz="8" w:space="0" w:color="000000"/>
            </w:tcBorders>
            <w:vAlign w:val="center"/>
          </w:tcPr>
          <w:p>
            <w:pPr>
              <w:pStyle w:val="Normal"/>
              <w:rPr/>
            </w:pPr>
            <w:r>
              <w:rPr>
                <w:sz w:val="15"/>
                <w:szCs w:val="15"/>
              </w:rPr>
              <w:t>Likelihood</w:t>
            </w:r>
          </w:p>
        </w:tc>
        <w:tc>
          <w:tcPr>
            <w:tcW w:w="1980" w:type="dxa"/>
            <w:tcBorders>
              <w:bottom w:val="single" w:sz="8" w:space="0" w:color="000000"/>
            </w:tcBorders>
            <w:vAlign w:val="center"/>
          </w:tcPr>
          <w:p>
            <w:pPr>
              <w:pStyle w:val="Normal"/>
              <w:rPr/>
            </w:pPr>
            <w:r>
              <w:rPr>
                <w:sz w:val="15"/>
                <w:szCs w:val="15"/>
              </w:rPr>
              <w:t>Student-t</w:t>
            </w:r>
          </w:p>
        </w:tc>
        <w:tc>
          <w:tcPr>
            <w:tcW w:w="1980" w:type="dxa"/>
            <w:tcBorders>
              <w:bottom w:val="single" w:sz="8" w:space="0" w:color="000000"/>
            </w:tcBorders>
            <w:vAlign w:val="center"/>
          </w:tcPr>
          <w:p>
            <w:pPr>
              <w:pStyle w:val="Normal"/>
              <w:rPr/>
            </w:pPr>
            <w:r>
              <w:rPr>
                <w:sz w:val="15"/>
                <w:szCs w:val="15"/>
              </w:rPr>
              <w:t>Normal on log scale (lognormal cost)</w:t>
            </w:r>
          </w:p>
        </w:tc>
      </w:tr>
    </w:tbl>
    <w:p>
      <w:pPr>
        <w:pStyle w:val="Normal"/>
        <w:spacing w:before="0" w:after="60"/>
        <w:rPr/>
      </w:pPr>
      <w:r>
        <w:rPr/>
      </w:r>
    </w:p>
    <w:p>
      <w:pPr>
        <w:pStyle w:val="Heading2"/>
        <w:rPr/>
      </w:pPr>
      <w:r>
        <w:rPr/>
        <w:t>B. Problem Formulation</w:t>
      </w:r>
    </w:p>
    <w:p>
      <w:pPr>
        <w:pStyle w:val="Normal"/>
        <w:keepNext w:val="true"/>
        <w:spacing w:lineRule="auto" w:line="228" w:before="0" w:after="50"/>
        <w:ind w:firstLine="240"/>
        <w:jc w:val="both"/>
        <w:rPr/>
      </w:pPr>
      <w:r>
        <w:rPr/>
        <w:t>Let C be the cost associated with a usage record, X = {X</w:t>
      </w:r>
      <w:r>
        <w:rPr>
          <w:vertAlign w:val="subscript"/>
        </w:rPr>
        <w:t>1</w:t>
      </w:r>
      <w:r>
        <w:rPr/>
        <w:t>, …, X</w:t>
      </w:r>
      <w:r>
        <w:rPr>
          <w:vertAlign w:val="subscript"/>
        </w:rPr>
        <w:t>k</w:t>
      </w:r>
      <w:r>
        <w:rPr/>
        <w:t>} explanatory variables such as usage quantity, service, region, duration, price and utilization, and D the observed data. The aim is the predictive distribution P(C | X, D), from which the probability that cost exceeds a predefined budget B follows:</w:t>
      </w:r>
    </w:p>
    <w:p>
      <w:pPr>
        <w:pStyle w:val="Normal"/>
        <w:keepLines/>
        <w:tabs>
          <w:tab w:val="clear" w:pos="720"/>
          <w:tab w:val="center" w:pos="2250" w:leader="none"/>
          <w:tab w:val="right" w:pos="4860" w:leader="none"/>
        </w:tabs>
        <w:spacing w:before="40" w:after="40"/>
        <w:rPr/>
      </w:pPr>
      <w:r>
        <w:rPr/>
        <w:tab/>
      </w:r>
      <w:r>
        <w:rPr/>
        <w:drawing>
          <wp:inline distT="0" distB="0" distL="0" distR="0">
            <wp:extent cx="1809750" cy="266700"/>
            <wp:effectExtent l="0" t="0" r="0" b="0"/>
            <wp:docPr id="9" name="Equation 2" descr="Equation 2" title="Equa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quation 2" descr="Equation 2" title="Equation 2"/>
                    <pic:cNvPicPr>
                      <a:picLocks noChangeAspect="1" noChangeArrowheads="1"/>
                    </pic:cNvPicPr>
                  </pic:nvPicPr>
                  <pic:blipFill>
                    <a:blip r:embed="rId10"/>
                    <a:stretch>
                      <a:fillRect/>
                    </a:stretch>
                  </pic:blipFill>
                  <pic:spPr bwMode="auto">
                    <a:xfrm>
                      <a:off x="0" y="0"/>
                      <a:ext cx="1809750" cy="266700"/>
                    </a:xfrm>
                    <a:prstGeom prst="rect">
                      <a:avLst/>
                    </a:prstGeom>
                    <a:noFill/>
                  </pic:spPr>
                </pic:pic>
              </a:graphicData>
            </a:graphic>
          </wp:inline>
        </w:drawing>
      </w:r>
      <w:r>
        <w:rPr/>
        <w:tab/>
        <w:t>(2)</w:t>
      </w:r>
    </w:p>
    <w:p>
      <w:pPr>
        <w:pStyle w:val="Normal"/>
        <w:spacing w:lineRule="auto" w:line="228" w:before="0" w:after="50"/>
        <w:jc w:val="both"/>
        <w:rPr/>
      </w:pPr>
      <w:r>
        <w:rPr/>
        <w:t>This is more informative than a point value. A result such as “expected cost ₹200,000, 95% credible interval [₹170,000, ₹235,000], probability of exceeding ₹220,000 equal to 18%” (an illustration only) lets administrators judge risk directly. In the implemented forecasting stage, the same idea is applied to the total cost of the next 30 days (Section V-G).</w:t>
      </w:r>
    </w:p>
    <w:p>
      <w:pPr>
        <w:pStyle w:val="Heading2"/>
        <w:rPr/>
      </w:pPr>
      <w:r>
        <w:rPr/>
        <w:t>C. Prior Sensitivity Warm-Up</w:t>
      </w:r>
    </w:p>
    <w:p>
      <w:pPr>
        <w:pStyle w:val="Normal"/>
        <w:keepNext w:val="true"/>
        <w:spacing w:lineRule="auto" w:line="228" w:before="0" w:after="50"/>
        <w:ind w:firstLine="240"/>
        <w:jc w:val="both"/>
        <w:rPr/>
      </w:pPr>
      <w:r>
        <w:rPr/>
        <w:t>Two small examples show Bayes’ theorem at work and test sensitivity to the prior. In Example A, daily cost is Normal(μ, σ</w:t>
      </w:r>
      <w:r>
        <w:rPr>
          <w:vertAlign w:val="superscript"/>
        </w:rPr>
        <w:t>2</w:t>
      </w:r>
      <w:r>
        <w:rPr/>
        <w:t>) with σ fixed at the sample standard deviation, and the posterior of μ is computed numerically on a grid of 2,000 values between 0 and 80 ($ thousands). In Example B, a resource is defined as idle if both CPU and memory utilization are below 20%; k = 26 of n = 1,000 resources are idle (2.6%). With a Beta(a, b) prior the posterior is conjugate:</w:t>
      </w:r>
    </w:p>
    <w:p>
      <w:pPr>
        <w:pStyle w:val="Normal"/>
        <w:keepLines/>
        <w:tabs>
          <w:tab w:val="clear" w:pos="720"/>
          <w:tab w:val="center" w:pos="2250" w:leader="none"/>
          <w:tab w:val="right" w:pos="4860" w:leader="none"/>
        </w:tabs>
        <w:spacing w:before="40" w:after="40"/>
        <w:rPr/>
      </w:pPr>
      <w:r>
        <w:rPr/>
        <w:tab/>
      </w:r>
      <w:r>
        <w:rPr/>
        <w:drawing>
          <wp:inline distT="0" distB="0" distL="0" distR="0">
            <wp:extent cx="1685925" cy="190500"/>
            <wp:effectExtent l="0" t="0" r="0" b="0"/>
            <wp:docPr id="10" name="Equation 3" descr="Equation 3" title="Equa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quation 3" descr="Equation 3" title="Equation 3"/>
                    <pic:cNvPicPr>
                      <a:picLocks noChangeAspect="1" noChangeArrowheads="1"/>
                    </pic:cNvPicPr>
                  </pic:nvPicPr>
                  <pic:blipFill>
                    <a:blip r:embed="rId11"/>
                    <a:stretch>
                      <a:fillRect/>
                    </a:stretch>
                  </pic:blipFill>
                  <pic:spPr bwMode="auto">
                    <a:xfrm>
                      <a:off x="0" y="0"/>
                      <a:ext cx="1685925" cy="190500"/>
                    </a:xfrm>
                    <a:prstGeom prst="rect">
                      <a:avLst/>
                    </a:prstGeom>
                    <a:noFill/>
                  </pic:spPr>
                </pic:pic>
              </a:graphicData>
            </a:graphic>
          </wp:inline>
        </w:drawing>
      </w:r>
      <w:r>
        <w:rPr/>
        <w:tab/>
        <w:t>(3)</w:t>
      </w:r>
    </w:p>
    <w:p>
      <w:pPr>
        <w:pStyle w:val="Normal"/>
        <w:spacing w:lineRule="auto" w:line="228" w:before="0" w:after="50"/>
        <w:jc w:val="both"/>
        <w:rPr/>
      </w:pPr>
      <w:r>
        <w:rPr/>
        <w:t>Table VI and Fig. 8 show the results. With a weak or flat prior the posterior essentially equals the data-driven estimate, whereas a strong prior at the wrong place, Normal(10, 2), drags the posterior mean to 25.09 against a sample mean of 35.78. For the idle fraction, the uniform and mild priors give the same posterior mean of 0.027, and even a strongly wrong Beta(20, 5) prior is largely overridden by the 1,000 observations (posterior mean 0.045). This motivates weakly informative priors that are justified rather than arbitrary.</w:t>
      </w:r>
    </w:p>
    <w:p>
      <w:pPr>
        <w:pStyle w:val="Normal"/>
        <w:keepNext w:val="true"/>
        <w:spacing w:before="100" w:after="0"/>
        <w:jc w:val="center"/>
        <w:rPr/>
      </w:pPr>
      <w:r>
        <w:rPr>
          <w:sz w:val="16"/>
          <w:szCs w:val="16"/>
        </w:rPr>
        <w:t>TABLE VI</w:t>
      </w:r>
    </w:p>
    <w:p>
      <w:pPr>
        <w:pStyle w:val="Normal"/>
        <w:keepNext w:val="true"/>
        <w:spacing w:before="0" w:after="40"/>
        <w:jc w:val="center"/>
        <w:rPr/>
      </w:pPr>
      <w:r>
        <w:rPr>
          <w:sz w:val="16"/>
          <w:szCs w:val="16"/>
        </w:rPr>
        <w:t>PRIOR SENSITIVITY OF THE WARM-UP EXAMPLES</w:t>
      </w:r>
    </w:p>
    <w:tbl>
      <w:tblPr>
        <w:tblW w:w="4860" w:type="dxa"/>
        <w:jc w:val="start"/>
        <w:tblInd w:w="0" w:type="dxa"/>
        <w:tblLayout w:type="fixed"/>
        <w:tblCellMar>
          <w:top w:w="18" w:type="dxa"/>
          <w:start w:w="45" w:type="dxa"/>
          <w:bottom w:w="18" w:type="dxa"/>
          <w:end w:w="45" w:type="dxa"/>
        </w:tblCellMar>
        <w:tblLook w:val="0000" w:firstRow="0" w:noVBand="0" w:lastRow="0" w:firstColumn="0" w:lastColumn="0" w:noHBand="0"/>
      </w:tblPr>
      <w:tblGrid>
        <w:gridCol w:w="1249"/>
        <w:gridCol w:w="1098"/>
        <w:gridCol w:w="950"/>
        <w:gridCol w:w="1563"/>
      </w:tblGrid>
      <w:tr>
        <w:trPr>
          <w:tblHeader w:val="true"/>
          <w:cantSplit/>
        </w:trPr>
        <w:tc>
          <w:tcPr>
            <w:tcW w:w="1249" w:type="dxa"/>
            <w:tcBorders>
              <w:top w:val="single" w:sz="8" w:space="0" w:color="000000"/>
              <w:bottom w:val="single" w:sz="4" w:space="0" w:color="000000"/>
            </w:tcBorders>
            <w:vAlign w:val="center"/>
          </w:tcPr>
          <w:p>
            <w:pPr>
              <w:pStyle w:val="Normal"/>
              <w:rPr/>
            </w:pPr>
            <w:r>
              <w:rPr>
                <w:b/>
                <w:bCs/>
                <w:sz w:val="15"/>
                <w:szCs w:val="15"/>
              </w:rPr>
              <w:t>Quantity</w:t>
            </w:r>
          </w:p>
        </w:tc>
        <w:tc>
          <w:tcPr>
            <w:tcW w:w="1098" w:type="dxa"/>
            <w:tcBorders>
              <w:top w:val="single" w:sz="8" w:space="0" w:color="000000"/>
              <w:bottom w:val="single" w:sz="4" w:space="0" w:color="000000"/>
            </w:tcBorders>
            <w:vAlign w:val="center"/>
          </w:tcPr>
          <w:p>
            <w:pPr>
              <w:pStyle w:val="Normal"/>
              <w:rPr/>
            </w:pPr>
            <w:r>
              <w:rPr>
                <w:b/>
                <w:bCs/>
                <w:sz w:val="15"/>
                <w:szCs w:val="15"/>
              </w:rPr>
              <w:t>Prior</w:t>
            </w:r>
          </w:p>
        </w:tc>
        <w:tc>
          <w:tcPr>
            <w:tcW w:w="950" w:type="dxa"/>
            <w:tcBorders>
              <w:top w:val="single" w:sz="8" w:space="0" w:color="000000"/>
              <w:bottom w:val="single" w:sz="4" w:space="0" w:color="000000"/>
            </w:tcBorders>
            <w:vAlign w:val="center"/>
          </w:tcPr>
          <w:p>
            <w:pPr>
              <w:pStyle w:val="Normal"/>
              <w:jc w:val="center"/>
              <w:rPr/>
            </w:pPr>
            <w:r>
              <w:rPr>
                <w:b/>
                <w:bCs/>
                <w:sz w:val="15"/>
                <w:szCs w:val="15"/>
              </w:rPr>
              <w:t>Post. mean</w:t>
            </w:r>
          </w:p>
        </w:tc>
        <w:tc>
          <w:tcPr>
            <w:tcW w:w="1563" w:type="dxa"/>
            <w:tcBorders>
              <w:top w:val="single" w:sz="8" w:space="0" w:color="000000"/>
              <w:bottom w:val="single" w:sz="4" w:space="0" w:color="000000"/>
            </w:tcBorders>
            <w:vAlign w:val="center"/>
          </w:tcPr>
          <w:p>
            <w:pPr>
              <w:pStyle w:val="Normal"/>
              <w:rPr/>
            </w:pPr>
            <w:r>
              <w:rPr>
                <w:b/>
                <w:bCs/>
                <w:sz w:val="15"/>
                <w:szCs w:val="15"/>
              </w:rPr>
              <w:t>Note / 94% interval</w:t>
            </w:r>
          </w:p>
        </w:tc>
      </w:tr>
      <w:tr>
        <w:trPr>
          <w:cantSplit/>
        </w:trPr>
        <w:tc>
          <w:tcPr>
            <w:tcW w:w="1249" w:type="dxa"/>
            <w:tcBorders/>
            <w:vAlign w:val="center"/>
          </w:tcPr>
          <w:p>
            <w:pPr>
              <w:pStyle w:val="Normal"/>
              <w:rPr/>
            </w:pPr>
            <w:r>
              <w:rPr>
                <w:sz w:val="15"/>
                <w:szCs w:val="15"/>
              </w:rPr>
              <w:t>A: mean daily cost ($k)</w:t>
            </w:r>
          </w:p>
        </w:tc>
        <w:tc>
          <w:tcPr>
            <w:tcW w:w="1098" w:type="dxa"/>
            <w:tcBorders/>
            <w:vAlign w:val="center"/>
          </w:tcPr>
          <w:p>
            <w:pPr>
              <w:pStyle w:val="Normal"/>
              <w:rPr/>
            </w:pPr>
            <w:r>
              <w:rPr>
                <w:sz w:val="15"/>
                <w:szCs w:val="15"/>
              </w:rPr>
              <w:t>Normal(30, 15)</w:t>
            </w:r>
          </w:p>
        </w:tc>
        <w:tc>
          <w:tcPr>
            <w:tcW w:w="950" w:type="dxa"/>
            <w:tcBorders/>
            <w:vAlign w:val="center"/>
          </w:tcPr>
          <w:p>
            <w:pPr>
              <w:pStyle w:val="Normal"/>
              <w:jc w:val="end"/>
              <w:rPr/>
            </w:pPr>
            <w:r>
              <w:rPr>
                <w:sz w:val="15"/>
                <w:szCs w:val="15"/>
              </w:rPr>
              <w:t>35.71</w:t>
            </w:r>
          </w:p>
        </w:tc>
        <w:tc>
          <w:tcPr>
            <w:tcW w:w="1563" w:type="dxa"/>
            <w:tcBorders/>
            <w:vAlign w:val="center"/>
          </w:tcPr>
          <w:p>
            <w:pPr>
              <w:pStyle w:val="Normal"/>
              <w:rPr/>
            </w:pPr>
            <w:r>
              <w:rPr>
                <w:sz w:val="15"/>
                <w:szCs w:val="15"/>
              </w:rPr>
              <w:t>sample mean 35.78</w:t>
            </w:r>
          </w:p>
        </w:tc>
      </w:tr>
      <w:tr>
        <w:trPr>
          <w:cantSplit/>
        </w:trPr>
        <w:tc>
          <w:tcPr>
            <w:tcW w:w="1249" w:type="dxa"/>
            <w:tcBorders/>
            <w:vAlign w:val="center"/>
          </w:tcPr>
          <w:p>
            <w:pPr>
              <w:pStyle w:val="Normal"/>
              <w:rPr/>
            </w:pPr>
            <w:r>
              <w:rPr/>
            </w:r>
          </w:p>
        </w:tc>
        <w:tc>
          <w:tcPr>
            <w:tcW w:w="1098" w:type="dxa"/>
            <w:tcBorders/>
            <w:vAlign w:val="center"/>
          </w:tcPr>
          <w:p>
            <w:pPr>
              <w:pStyle w:val="Normal"/>
              <w:rPr/>
            </w:pPr>
            <w:r>
              <w:rPr>
                <w:sz w:val="15"/>
                <w:szCs w:val="15"/>
              </w:rPr>
              <w:t>Uniform(0, 80)</w:t>
            </w:r>
          </w:p>
        </w:tc>
        <w:tc>
          <w:tcPr>
            <w:tcW w:w="950" w:type="dxa"/>
            <w:tcBorders/>
            <w:vAlign w:val="center"/>
          </w:tcPr>
          <w:p>
            <w:pPr>
              <w:pStyle w:val="Normal"/>
              <w:jc w:val="end"/>
              <w:rPr/>
            </w:pPr>
            <w:r>
              <w:rPr>
                <w:sz w:val="15"/>
                <w:szCs w:val="15"/>
              </w:rPr>
              <w:t>35.78</w:t>
            </w:r>
          </w:p>
        </w:tc>
        <w:tc>
          <w:tcPr>
            <w:tcW w:w="1563" w:type="dxa"/>
            <w:tcBorders/>
            <w:vAlign w:val="center"/>
          </w:tcPr>
          <w:p>
            <w:pPr>
              <w:pStyle w:val="Normal"/>
              <w:rPr/>
            </w:pPr>
            <w:r>
              <w:rPr>
                <w:sz w:val="15"/>
                <w:szCs w:val="15"/>
              </w:rPr>
              <w:t>flat prior</w:t>
            </w:r>
          </w:p>
        </w:tc>
      </w:tr>
      <w:tr>
        <w:trPr>
          <w:cantSplit/>
        </w:trPr>
        <w:tc>
          <w:tcPr>
            <w:tcW w:w="1249" w:type="dxa"/>
            <w:tcBorders/>
            <w:vAlign w:val="center"/>
          </w:tcPr>
          <w:p>
            <w:pPr>
              <w:pStyle w:val="Normal"/>
              <w:rPr/>
            </w:pPr>
            <w:r>
              <w:rPr/>
            </w:r>
          </w:p>
        </w:tc>
        <w:tc>
          <w:tcPr>
            <w:tcW w:w="1098" w:type="dxa"/>
            <w:tcBorders/>
            <w:vAlign w:val="center"/>
          </w:tcPr>
          <w:p>
            <w:pPr>
              <w:pStyle w:val="Normal"/>
              <w:rPr/>
            </w:pPr>
            <w:r>
              <w:rPr>
                <w:sz w:val="15"/>
                <w:szCs w:val="15"/>
              </w:rPr>
              <w:t>Normal(10, 2)</w:t>
            </w:r>
          </w:p>
        </w:tc>
        <w:tc>
          <w:tcPr>
            <w:tcW w:w="950" w:type="dxa"/>
            <w:tcBorders/>
            <w:vAlign w:val="center"/>
          </w:tcPr>
          <w:p>
            <w:pPr>
              <w:pStyle w:val="Normal"/>
              <w:jc w:val="end"/>
              <w:rPr/>
            </w:pPr>
            <w:r>
              <w:rPr>
                <w:sz w:val="15"/>
                <w:szCs w:val="15"/>
              </w:rPr>
              <w:t>25.09</w:t>
            </w:r>
          </w:p>
        </w:tc>
        <w:tc>
          <w:tcPr>
            <w:tcW w:w="1563" w:type="dxa"/>
            <w:tcBorders/>
            <w:vAlign w:val="center"/>
          </w:tcPr>
          <w:p>
            <w:pPr>
              <w:pStyle w:val="Normal"/>
              <w:rPr/>
            </w:pPr>
            <w:r>
              <w:rPr>
                <w:sz w:val="15"/>
                <w:szCs w:val="15"/>
              </w:rPr>
              <w:t>strong, wrong prior</w:t>
            </w:r>
          </w:p>
        </w:tc>
      </w:tr>
      <w:tr>
        <w:trPr>
          <w:cantSplit/>
        </w:trPr>
        <w:tc>
          <w:tcPr>
            <w:tcW w:w="1249" w:type="dxa"/>
            <w:tcBorders/>
            <w:vAlign w:val="center"/>
          </w:tcPr>
          <w:p>
            <w:pPr>
              <w:pStyle w:val="Normal"/>
              <w:rPr/>
            </w:pPr>
            <w:r>
              <w:rPr>
                <w:sz w:val="15"/>
                <w:szCs w:val="15"/>
              </w:rPr>
              <w:t>B: idle fraction</w:t>
            </w:r>
          </w:p>
        </w:tc>
        <w:tc>
          <w:tcPr>
            <w:tcW w:w="1098" w:type="dxa"/>
            <w:tcBorders/>
            <w:vAlign w:val="center"/>
          </w:tcPr>
          <w:p>
            <w:pPr>
              <w:pStyle w:val="Normal"/>
              <w:rPr/>
            </w:pPr>
            <w:r>
              <w:rPr>
                <w:sz w:val="15"/>
                <w:szCs w:val="15"/>
              </w:rPr>
              <w:t>Beta(1, 1)</w:t>
            </w:r>
          </w:p>
        </w:tc>
        <w:tc>
          <w:tcPr>
            <w:tcW w:w="950" w:type="dxa"/>
            <w:tcBorders/>
            <w:vAlign w:val="center"/>
          </w:tcPr>
          <w:p>
            <w:pPr>
              <w:pStyle w:val="Normal"/>
              <w:jc w:val="end"/>
              <w:rPr/>
            </w:pPr>
            <w:r>
              <w:rPr>
                <w:sz w:val="15"/>
                <w:szCs w:val="15"/>
              </w:rPr>
              <w:t>0.027</w:t>
            </w:r>
          </w:p>
        </w:tc>
        <w:tc>
          <w:tcPr>
            <w:tcW w:w="1563" w:type="dxa"/>
            <w:tcBorders/>
            <w:vAlign w:val="center"/>
          </w:tcPr>
          <w:p>
            <w:pPr>
              <w:pStyle w:val="Normal"/>
              <w:rPr/>
            </w:pPr>
            <w:r>
              <w:rPr>
                <w:sz w:val="15"/>
                <w:szCs w:val="15"/>
              </w:rPr>
              <w:t>[0.018, 0.037]</w:t>
            </w:r>
          </w:p>
        </w:tc>
      </w:tr>
      <w:tr>
        <w:trPr>
          <w:cantSplit/>
        </w:trPr>
        <w:tc>
          <w:tcPr>
            <w:tcW w:w="1249" w:type="dxa"/>
            <w:tcBorders/>
            <w:vAlign w:val="center"/>
          </w:tcPr>
          <w:p>
            <w:pPr>
              <w:pStyle w:val="Normal"/>
              <w:rPr/>
            </w:pPr>
            <w:r>
              <w:rPr/>
            </w:r>
          </w:p>
        </w:tc>
        <w:tc>
          <w:tcPr>
            <w:tcW w:w="1098" w:type="dxa"/>
            <w:tcBorders/>
            <w:vAlign w:val="center"/>
          </w:tcPr>
          <w:p>
            <w:pPr>
              <w:pStyle w:val="Normal"/>
              <w:rPr/>
            </w:pPr>
            <w:r>
              <w:rPr>
                <w:sz w:val="15"/>
                <w:szCs w:val="15"/>
              </w:rPr>
              <w:t>Beta(2, 18)</w:t>
            </w:r>
          </w:p>
        </w:tc>
        <w:tc>
          <w:tcPr>
            <w:tcW w:w="950" w:type="dxa"/>
            <w:tcBorders/>
            <w:vAlign w:val="center"/>
          </w:tcPr>
          <w:p>
            <w:pPr>
              <w:pStyle w:val="Normal"/>
              <w:jc w:val="end"/>
              <w:rPr/>
            </w:pPr>
            <w:r>
              <w:rPr>
                <w:sz w:val="15"/>
                <w:szCs w:val="15"/>
              </w:rPr>
              <w:t>0.027</w:t>
            </w:r>
          </w:p>
        </w:tc>
        <w:tc>
          <w:tcPr>
            <w:tcW w:w="1563" w:type="dxa"/>
            <w:tcBorders/>
            <w:vAlign w:val="center"/>
          </w:tcPr>
          <w:p>
            <w:pPr>
              <w:pStyle w:val="Normal"/>
              <w:rPr/>
            </w:pPr>
            <w:r>
              <w:rPr>
                <w:sz w:val="15"/>
                <w:szCs w:val="15"/>
              </w:rPr>
              <w:t>[0.019, 0.038]</w:t>
            </w:r>
          </w:p>
        </w:tc>
      </w:tr>
      <w:tr>
        <w:trPr>
          <w:cantSplit/>
        </w:trPr>
        <w:tc>
          <w:tcPr>
            <w:tcW w:w="1249" w:type="dxa"/>
            <w:tcBorders>
              <w:bottom w:val="single" w:sz="8" w:space="0" w:color="000000"/>
            </w:tcBorders>
            <w:vAlign w:val="center"/>
          </w:tcPr>
          <w:p>
            <w:pPr>
              <w:pStyle w:val="Normal"/>
              <w:rPr/>
            </w:pPr>
            <w:r>
              <w:rPr/>
            </w:r>
          </w:p>
        </w:tc>
        <w:tc>
          <w:tcPr>
            <w:tcW w:w="1098" w:type="dxa"/>
            <w:tcBorders>
              <w:bottom w:val="single" w:sz="8" w:space="0" w:color="000000"/>
            </w:tcBorders>
            <w:vAlign w:val="center"/>
          </w:tcPr>
          <w:p>
            <w:pPr>
              <w:pStyle w:val="Normal"/>
              <w:rPr/>
            </w:pPr>
            <w:r>
              <w:rPr>
                <w:sz w:val="15"/>
                <w:szCs w:val="15"/>
              </w:rPr>
              <w:t>Beta(20, 5)</w:t>
            </w:r>
          </w:p>
        </w:tc>
        <w:tc>
          <w:tcPr>
            <w:tcW w:w="950" w:type="dxa"/>
            <w:tcBorders>
              <w:bottom w:val="single" w:sz="8" w:space="0" w:color="000000"/>
            </w:tcBorders>
            <w:vAlign w:val="center"/>
          </w:tcPr>
          <w:p>
            <w:pPr>
              <w:pStyle w:val="Normal"/>
              <w:jc w:val="end"/>
              <w:rPr/>
            </w:pPr>
            <w:r>
              <w:rPr>
                <w:sz w:val="15"/>
                <w:szCs w:val="15"/>
              </w:rPr>
              <w:t>0.045</w:t>
            </w:r>
          </w:p>
        </w:tc>
        <w:tc>
          <w:tcPr>
            <w:tcW w:w="1563" w:type="dxa"/>
            <w:tcBorders>
              <w:bottom w:val="single" w:sz="8" w:space="0" w:color="000000"/>
            </w:tcBorders>
            <w:vAlign w:val="center"/>
          </w:tcPr>
          <w:p>
            <w:pPr>
              <w:pStyle w:val="Normal"/>
              <w:rPr/>
            </w:pPr>
            <w:r>
              <w:rPr>
                <w:sz w:val="15"/>
                <w:szCs w:val="15"/>
              </w:rPr>
              <w:t>[0.033, 0.058]</w:t>
            </w:r>
          </w:p>
        </w:tc>
      </w:tr>
    </w:tbl>
    <w:p>
      <w:pPr>
        <w:pStyle w:val="Normal"/>
        <w:spacing w:before="0" w:after="60"/>
        <w:rPr/>
      </w:pPr>
      <w:r>
        <w:rPr/>
      </w:r>
    </w:p>
    <w:p>
      <w:pPr>
        <w:pStyle w:val="Normal"/>
        <w:keepNext w:val="true"/>
        <w:spacing w:before="60" w:after="0"/>
        <w:jc w:val="center"/>
        <w:rPr/>
      </w:pPr>
      <w:r>
        <w:rPr/>
        <w:drawing>
          <wp:inline distT="0" distB="0" distL="0" distR="0">
            <wp:extent cx="2743200" cy="681355"/>
            <wp:effectExtent l="0" t="0" r="0" b="0"/>
            <wp:docPr id="11" name="Figure 8a" descr="Figure 8a" title="Figure 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 8a" descr="Figure 8a" title="Figure 8a"/>
                    <pic:cNvPicPr>
                      <a:picLocks noChangeAspect="1" noChangeArrowheads="1"/>
                    </pic:cNvPicPr>
                  </pic:nvPicPr>
                  <pic:blipFill>
                    <a:blip r:embed="rId12"/>
                    <a:stretch>
                      <a:fillRect/>
                    </a:stretch>
                  </pic:blipFill>
                  <pic:spPr bwMode="auto">
                    <a:xfrm>
                      <a:off x="0" y="0"/>
                      <a:ext cx="2743200" cy="681355"/>
                    </a:xfrm>
                    <a:prstGeom prst="rect">
                      <a:avLst/>
                    </a:prstGeom>
                    <a:noFill/>
                  </pic:spPr>
                </pic:pic>
              </a:graphicData>
            </a:graphic>
          </wp:inline>
        </w:drawing>
      </w:r>
    </w:p>
    <w:p>
      <w:pPr>
        <w:pStyle w:val="Normal"/>
        <w:spacing w:before="60" w:after="0"/>
        <w:jc w:val="center"/>
        <w:rPr/>
      </w:pPr>
      <w:r>
        <w:rPr/>
        <w:drawing>
          <wp:inline distT="0" distB="0" distL="0" distR="0">
            <wp:extent cx="2743200" cy="644525"/>
            <wp:effectExtent l="0" t="0" r="0" b="0"/>
            <wp:docPr id="12" name="Figure 8b" descr="Figure 8b" title="Figure 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 8b" descr="Figure 8b" title="Figure 8b"/>
                    <pic:cNvPicPr>
                      <a:picLocks noChangeAspect="1" noChangeArrowheads="1"/>
                    </pic:cNvPicPr>
                  </pic:nvPicPr>
                  <pic:blipFill>
                    <a:blip r:embed="rId13"/>
                    <a:stretch>
                      <a:fillRect/>
                    </a:stretch>
                  </pic:blipFill>
                  <pic:spPr bwMode="auto">
                    <a:xfrm>
                      <a:off x="0" y="0"/>
                      <a:ext cx="2743200" cy="644525"/>
                    </a:xfrm>
                    <a:prstGeom prst="rect">
                      <a:avLst/>
                    </a:prstGeom>
                    <a:noFill/>
                  </pic:spPr>
                </pic:pic>
              </a:graphicData>
            </a:graphic>
          </wp:inline>
        </w:drawing>
      </w:r>
    </w:p>
    <w:p>
      <w:pPr>
        <w:pStyle w:val="Normal"/>
        <w:spacing w:before="20" w:after="100"/>
        <w:jc w:val="both"/>
        <w:rPr/>
      </w:pPr>
      <w:r>
        <w:rPr>
          <w:sz w:val="16"/>
          <w:szCs w:val="16"/>
        </w:rPr>
        <w:t>Fig. 8. Prior, likelihood and posterior for the mean daily cost under the three priors (Example A) and for the idle fraction (Example B).</w:t>
      </w:r>
    </w:p>
    <w:p>
      <w:pPr>
        <w:pStyle w:val="Heading2"/>
        <w:rPr/>
      </w:pPr>
      <w:r>
        <w:rPr/>
        <w:t>D. Choice of Likelihood</w:t>
      </w:r>
    </w:p>
    <w:p>
      <w:pPr>
        <w:pStyle w:val="Normal"/>
        <w:spacing w:lineRule="auto" w:line="228" w:before="0" w:after="50"/>
        <w:ind w:firstLine="240"/>
        <w:jc w:val="both"/>
        <w:rPr/>
      </w:pPr>
      <w:r>
        <w:rPr/>
        <w:t>A Normal and a Student-t distribution fitted to the daily totals gave almost identical log-likelihoods (both about −234.2), so there is no strong evidence of heavy tails. A Student-t likelihood [12] is still used for the time-series model because it is robust: an unusually high or low day is absorbed without distorting the other parameters, and the model reduces to nearly Normal if the data call for it. Record-level costs are strongly right-skewed (skewness 1.19), which conflicts with a Normal assumption and would allow negative costs. After a log transform the skewness falls to −0.48, so log cost is modelled as Normal, that is, cost as lognormal.</w:t>
      </w:r>
    </w:p>
    <w:p>
      <w:pPr>
        <w:pStyle w:val="Heading2"/>
        <w:rPr/>
      </w:pPr>
      <w:r>
        <w:rPr/>
        <w:t>E. Model 1: Bayesian Time-Series Model</w:t>
      </w:r>
    </w:p>
    <w:p>
      <w:pPr>
        <w:pStyle w:val="Normal"/>
        <w:keepNext w:val="true"/>
        <w:spacing w:lineRule="auto" w:line="228" w:before="0" w:after="50"/>
        <w:ind w:firstLine="240"/>
        <w:jc w:val="both"/>
        <w:rPr/>
      </w:pPr>
      <w:r>
        <w:rPr/>
        <w:t>Let z</w:t>
      </w:r>
      <w:r>
        <w:rPr>
          <w:vertAlign w:val="subscript"/>
        </w:rPr>
        <w:t>t</w:t>
      </w:r>
      <w:r>
        <w:rPr/>
        <w:t xml:space="preserve"> be the standardised daily cost on day t, t</w:t>
      </w:r>
      <w:r>
        <w:rPr>
          <w:vertAlign w:val="subscript"/>
        </w:rPr>
        <w:t>scaled</w:t>
      </w:r>
      <w:r>
        <w:rPr/>
        <w:t xml:space="preserve"> = (day index)/(T − 1), which runs from 0 to 1 across the observed window, and d(t) the day of the week (0 = Monday … 6 = Sunday). The model is</w:t>
      </w:r>
    </w:p>
    <w:p>
      <w:pPr>
        <w:pStyle w:val="Normal"/>
        <w:keepLines/>
        <w:tabs>
          <w:tab w:val="clear" w:pos="720"/>
          <w:tab w:val="center" w:pos="2250" w:leader="none"/>
          <w:tab w:val="right" w:pos="4860" w:leader="none"/>
        </w:tabs>
        <w:spacing w:before="40" w:after="40"/>
        <w:rPr/>
      </w:pPr>
      <w:r>
        <w:rPr/>
        <w:tab/>
      </w:r>
      <w:r>
        <w:rPr/>
        <w:drawing>
          <wp:inline distT="0" distB="0" distL="0" distR="0">
            <wp:extent cx="1209675" cy="190500"/>
            <wp:effectExtent l="0" t="0" r="0" b="0"/>
            <wp:docPr id="13" name="Equation 4" descr="Equation 4" title="Equa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quation 4" descr="Equation 4" title="Equation 4"/>
                    <pic:cNvPicPr>
                      <a:picLocks noChangeAspect="1" noChangeArrowheads="1"/>
                    </pic:cNvPicPr>
                  </pic:nvPicPr>
                  <pic:blipFill>
                    <a:blip r:embed="rId14"/>
                    <a:stretch>
                      <a:fillRect/>
                    </a:stretch>
                  </pic:blipFill>
                  <pic:spPr bwMode="auto">
                    <a:xfrm>
                      <a:off x="0" y="0"/>
                      <a:ext cx="1209675" cy="190500"/>
                    </a:xfrm>
                    <a:prstGeom prst="rect">
                      <a:avLst/>
                    </a:prstGeom>
                    <a:noFill/>
                  </pic:spPr>
                </pic:pic>
              </a:graphicData>
            </a:graphic>
          </wp:inline>
        </w:drawing>
      </w:r>
      <w:r>
        <w:rPr/>
        <w:tab/>
        <w:t>(4)</w:t>
      </w:r>
    </w:p>
    <w:p>
      <w:pPr>
        <w:pStyle w:val="Normal"/>
        <w:keepLines/>
        <w:tabs>
          <w:tab w:val="clear" w:pos="720"/>
          <w:tab w:val="center" w:pos="2250" w:leader="none"/>
          <w:tab w:val="right" w:pos="4860" w:leader="none"/>
        </w:tabs>
        <w:spacing w:before="40" w:after="40"/>
        <w:rPr/>
      </w:pPr>
      <w:r>
        <w:rPr/>
        <w:tab/>
      </w:r>
      <w:r>
        <w:rPr/>
        <w:drawing>
          <wp:inline distT="0" distB="0" distL="0" distR="0">
            <wp:extent cx="1181100" cy="190500"/>
            <wp:effectExtent l="0" t="0" r="0" b="0"/>
            <wp:docPr id="14" name="Equation 5" descr="Equation 5" title="Equa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quation 5" descr="Equation 5" title="Equation 5"/>
                    <pic:cNvPicPr>
                      <a:picLocks noChangeAspect="1" noChangeArrowheads="1"/>
                    </pic:cNvPicPr>
                  </pic:nvPicPr>
                  <pic:blipFill>
                    <a:blip r:embed="rId15"/>
                    <a:stretch>
                      <a:fillRect/>
                    </a:stretch>
                  </pic:blipFill>
                  <pic:spPr bwMode="auto">
                    <a:xfrm>
                      <a:off x="0" y="0"/>
                      <a:ext cx="1181100" cy="190500"/>
                    </a:xfrm>
                    <a:prstGeom prst="rect">
                      <a:avLst/>
                    </a:prstGeom>
                    <a:noFill/>
                  </pic:spPr>
                </pic:pic>
              </a:graphicData>
            </a:graphic>
          </wp:inline>
        </w:drawing>
      </w:r>
      <w:r>
        <w:rPr/>
        <w:tab/>
        <w:t>(5)</w:t>
      </w:r>
    </w:p>
    <w:p>
      <w:pPr>
        <w:pStyle w:val="Normal"/>
        <w:keepNext w:val="true"/>
        <w:spacing w:lineRule="auto" w:line="228" w:before="0" w:after="50"/>
        <w:jc w:val="both"/>
        <w:rPr/>
      </w:pPr>
      <w:r>
        <w:rPr/>
        <w:t>where α is the baseline level of standardised cost at the start of the window, β the change in standardised cost over the whole window (the trend), δ</w:t>
      </w:r>
      <w:r>
        <w:rPr>
          <w:vertAlign w:val="subscript"/>
        </w:rPr>
        <w:t>d</w:t>
      </w:r>
      <w:r>
        <w:rPr/>
        <w:t xml:space="preserve"> the day-of-week effect, σ the noise scale and ν the degrees of freedom. The day-of-week effects use a non-centred parametrisation [13],</w:t>
      </w:r>
    </w:p>
    <w:p>
      <w:pPr>
        <w:pStyle w:val="Normal"/>
        <w:keepLines/>
        <w:tabs>
          <w:tab w:val="clear" w:pos="720"/>
          <w:tab w:val="center" w:pos="2250" w:leader="none"/>
          <w:tab w:val="right" w:pos="4860" w:leader="none"/>
        </w:tabs>
        <w:spacing w:before="40" w:after="40"/>
        <w:rPr/>
      </w:pPr>
      <w:r>
        <w:rPr/>
        <w:tab/>
      </w:r>
      <w:r>
        <w:rPr/>
        <w:drawing>
          <wp:inline distT="0" distB="0" distL="0" distR="0">
            <wp:extent cx="1657350" cy="209550"/>
            <wp:effectExtent l="0" t="0" r="0" b="0"/>
            <wp:docPr id="15" name="Equation 6" descr="Equation 6" title="Equatio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quation 6" descr="Equation 6" title="Equation 6"/>
                    <pic:cNvPicPr>
                      <a:picLocks noChangeAspect="1" noChangeArrowheads="1"/>
                    </pic:cNvPicPr>
                  </pic:nvPicPr>
                  <pic:blipFill>
                    <a:blip r:embed="rId16"/>
                    <a:stretch>
                      <a:fillRect/>
                    </a:stretch>
                  </pic:blipFill>
                  <pic:spPr bwMode="auto">
                    <a:xfrm>
                      <a:off x="0" y="0"/>
                      <a:ext cx="1657350" cy="209550"/>
                    </a:xfrm>
                    <a:prstGeom prst="rect">
                      <a:avLst/>
                    </a:prstGeom>
                    <a:noFill/>
                  </pic:spPr>
                </pic:pic>
              </a:graphicData>
            </a:graphic>
          </wp:inline>
        </w:drawing>
      </w:r>
      <w:r>
        <w:rPr/>
        <w:tab/>
        <w:t>(6)</w:t>
      </w:r>
    </w:p>
    <w:p>
      <w:pPr>
        <w:pStyle w:val="Normal"/>
        <w:spacing w:lineRule="auto" w:line="228" w:before="0" w:after="50"/>
        <w:jc w:val="both"/>
        <w:rPr/>
      </w:pPr>
      <w:r>
        <w:rPr/>
        <w:t>which avoids the funnel-shaped geometry that makes hierarchical models hard for NUTS; no divergent transitions occurred. Table VII lists the priors. Because the data are standardised, Normal(0, 1) on α and β is weakly informative and does not force a direction on the trend. HalfNormal priors keep the scale parameters positive [11], and the tighter HalfNormal(0.5) on τ</w:t>
      </w:r>
      <w:r>
        <w:rPr>
          <w:vertAlign w:val="subscript"/>
        </w:rPr>
        <w:t>dow</w:t>
      </w:r>
      <w:r>
        <w:rPr/>
        <w:t xml:space="preserve"> expresses a mild expectation that weekday effects are modest. Gamma(2, 0.1) for ν has mean 20 and a wide spread, so it allows both heavy tails (small ν) and near-Normal behaviour (large ν). Before fitting, 300 series were simulated from the priors alone and 50 were plotted against the observed series (Fig. 9); they cover a plausible range around the data without being absurdly wide.</w:t>
      </w:r>
    </w:p>
    <w:p>
      <w:pPr>
        <w:pStyle w:val="Normal"/>
        <w:spacing w:before="60" w:after="0"/>
        <w:jc w:val="center"/>
        <w:rPr/>
      </w:pPr>
      <w:r>
        <w:rPr/>
        <w:drawing>
          <wp:inline distT="0" distB="0" distL="0" distR="0">
            <wp:extent cx="2743200" cy="1006475"/>
            <wp:effectExtent l="0" t="0" r="0" b="0"/>
            <wp:docPr id="16" name="Figure 9" descr="Figure 9"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e 9" descr="Figure 9" title="Figure 9"/>
                    <pic:cNvPicPr>
                      <a:picLocks noChangeAspect="1" noChangeArrowheads="1"/>
                    </pic:cNvPicPr>
                  </pic:nvPicPr>
                  <pic:blipFill>
                    <a:blip r:embed="rId17"/>
                    <a:stretch>
                      <a:fillRect/>
                    </a:stretch>
                  </pic:blipFill>
                  <pic:spPr bwMode="auto">
                    <a:xfrm>
                      <a:off x="0" y="0"/>
                      <a:ext cx="2743200" cy="1006475"/>
                    </a:xfrm>
                    <a:prstGeom prst="rect">
                      <a:avLst/>
                    </a:prstGeom>
                    <a:noFill/>
                  </pic:spPr>
                </pic:pic>
              </a:graphicData>
            </a:graphic>
          </wp:inline>
        </w:drawing>
      </w:r>
    </w:p>
    <w:p>
      <w:pPr>
        <w:pStyle w:val="Normal"/>
        <w:spacing w:before="20" w:after="100"/>
        <w:jc w:val="both"/>
        <w:rPr/>
      </w:pPr>
      <w:r>
        <w:rPr>
          <w:sz w:val="16"/>
          <w:szCs w:val="16"/>
        </w:rPr>
        <w:t>Fig. 9. Prior predictive check: 50 series simulated from the priors against the observed daily cost ($ thousands).</w:t>
      </w:r>
    </w:p>
    <w:p>
      <w:pPr>
        <w:pStyle w:val="Heading2"/>
        <w:rPr/>
      </w:pPr>
      <w:r>
        <w:rPr/>
        <w:t>F. Model 2: Hierarchical Service Model</w:t>
      </w:r>
    </w:p>
    <w:p>
      <w:pPr>
        <w:pStyle w:val="Normal"/>
        <w:keepNext w:val="true"/>
        <w:spacing w:lineRule="auto" w:line="228" w:before="0" w:after="50"/>
        <w:ind w:firstLine="240"/>
        <w:jc w:val="both"/>
        <w:rPr/>
      </w:pPr>
      <w:r>
        <w:rPr/>
        <w:t>Let i index the 1,000 records and s(i) the service of record i (25 services). The model is</w:t>
      </w:r>
    </w:p>
    <w:p>
      <w:pPr>
        <w:pStyle w:val="Normal"/>
        <w:keepLines/>
        <w:tabs>
          <w:tab w:val="clear" w:pos="720"/>
          <w:tab w:val="center" w:pos="2250" w:leader="none"/>
          <w:tab w:val="right" w:pos="4860" w:leader="none"/>
        </w:tabs>
        <w:spacing w:before="40" w:after="40"/>
        <w:rPr/>
      </w:pPr>
      <w:r>
        <w:rPr/>
        <w:tab/>
      </w:r>
      <w:r>
        <w:rPr/>
        <w:drawing>
          <wp:inline distT="0" distB="0" distL="0" distR="0">
            <wp:extent cx="1076325" cy="209550"/>
            <wp:effectExtent l="0" t="0" r="0" b="0"/>
            <wp:docPr id="17" name="Equation 7" descr="Equation 7" title="Equatio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quation 7" descr="Equation 7" title="Equation 7"/>
                    <pic:cNvPicPr>
                      <a:picLocks noChangeAspect="1" noChangeArrowheads="1"/>
                    </pic:cNvPicPr>
                  </pic:nvPicPr>
                  <pic:blipFill>
                    <a:blip r:embed="rId18"/>
                    <a:stretch>
                      <a:fillRect/>
                    </a:stretch>
                  </pic:blipFill>
                  <pic:spPr bwMode="auto">
                    <a:xfrm>
                      <a:off x="0" y="0"/>
                      <a:ext cx="1076325" cy="209550"/>
                    </a:xfrm>
                    <a:prstGeom prst="rect">
                      <a:avLst/>
                    </a:prstGeom>
                    <a:noFill/>
                  </pic:spPr>
                </pic:pic>
              </a:graphicData>
            </a:graphic>
          </wp:inline>
        </w:drawing>
      </w:r>
      <w:r>
        <w:rPr/>
        <w:tab/>
        <w:t>(7)</w:t>
      </w:r>
    </w:p>
    <w:p>
      <w:pPr>
        <w:pStyle w:val="Normal"/>
        <w:keepLines/>
        <w:tabs>
          <w:tab w:val="clear" w:pos="720"/>
          <w:tab w:val="center" w:pos="2250" w:leader="none"/>
          <w:tab w:val="right" w:pos="4860" w:leader="none"/>
        </w:tabs>
        <w:spacing w:before="40" w:after="40"/>
        <w:rPr/>
      </w:pPr>
      <w:r>
        <w:rPr/>
        <w:tab/>
      </w:r>
      <w:r>
        <w:rPr/>
        <w:drawing>
          <wp:inline distT="0" distB="0" distL="0" distR="0">
            <wp:extent cx="1495425" cy="209550"/>
            <wp:effectExtent l="0" t="0" r="0" b="0"/>
            <wp:docPr id="18" name="Equation 8" descr="Equation 8" title="Equatio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Equation 8" descr="Equation 8" title="Equation 8"/>
                    <pic:cNvPicPr>
                      <a:picLocks noChangeAspect="1" noChangeArrowheads="1"/>
                    </pic:cNvPicPr>
                  </pic:nvPicPr>
                  <pic:blipFill>
                    <a:blip r:embed="rId19"/>
                    <a:stretch>
                      <a:fillRect/>
                    </a:stretch>
                  </pic:blipFill>
                  <pic:spPr bwMode="auto">
                    <a:xfrm>
                      <a:off x="0" y="0"/>
                      <a:ext cx="1495425" cy="209550"/>
                    </a:xfrm>
                    <a:prstGeom prst="rect">
                      <a:avLst/>
                    </a:prstGeom>
                    <a:noFill/>
                  </pic:spPr>
                </pic:pic>
              </a:graphicData>
            </a:graphic>
          </wp:inline>
        </w:drawing>
      </w:r>
      <w:r>
        <w:rPr/>
        <w:tab/>
        <w:t>(8)</w:t>
      </w:r>
    </w:p>
    <w:p>
      <w:pPr>
        <w:pStyle w:val="Normal"/>
        <w:keepNext w:val="true"/>
        <w:spacing w:lineRule="auto" w:line="228" w:before="0" w:after="50"/>
        <w:jc w:val="both"/>
        <w:rPr/>
      </w:pPr>
      <w:r>
        <w:rPr/>
        <w:t>where μ</w:t>
      </w:r>
      <w:r>
        <w:rPr>
          <w:vertAlign w:val="subscript"/>
        </w:rPr>
        <w:t>g</w:t>
      </w:r>
      <w:r>
        <w:rPr/>
        <w:t xml:space="preserve"> is the overall mean log cost, τ the between-service variation and σ the within-service variation (priors in Table VII). The model-implied mean cost per record of a service follows from the lognormal mean:</w:t>
      </w:r>
    </w:p>
    <w:p>
      <w:pPr>
        <w:pStyle w:val="Normal"/>
        <w:keepLines/>
        <w:tabs>
          <w:tab w:val="clear" w:pos="720"/>
          <w:tab w:val="center" w:pos="2250" w:leader="none"/>
          <w:tab w:val="right" w:pos="4860" w:leader="none"/>
        </w:tabs>
        <w:spacing w:before="40" w:after="40"/>
        <w:rPr/>
      </w:pPr>
      <w:r>
        <w:rPr/>
        <w:tab/>
      </w:r>
      <w:r>
        <w:rPr/>
        <w:drawing>
          <wp:inline distT="0" distB="0" distL="0" distR="0">
            <wp:extent cx="1314450" cy="209550"/>
            <wp:effectExtent l="0" t="0" r="0" b="0"/>
            <wp:docPr id="19" name="Equation 9" descr="Equation 9" title="Equatio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Equation 9" descr="Equation 9" title="Equation 9"/>
                    <pic:cNvPicPr>
                      <a:picLocks noChangeAspect="1" noChangeArrowheads="1"/>
                    </pic:cNvPicPr>
                  </pic:nvPicPr>
                  <pic:blipFill>
                    <a:blip r:embed="rId20"/>
                    <a:stretch>
                      <a:fillRect/>
                    </a:stretch>
                  </pic:blipFill>
                  <pic:spPr bwMode="auto">
                    <a:xfrm>
                      <a:off x="0" y="0"/>
                      <a:ext cx="1314450" cy="209550"/>
                    </a:xfrm>
                    <a:prstGeom prst="rect">
                      <a:avLst/>
                    </a:prstGeom>
                    <a:noFill/>
                  </pic:spPr>
                </pic:pic>
              </a:graphicData>
            </a:graphic>
          </wp:inline>
        </w:drawing>
      </w:r>
      <w:r>
        <w:rPr/>
        <w:tab/>
        <w:t>(9)</w:t>
      </w:r>
    </w:p>
    <w:p>
      <w:pPr>
        <w:pStyle w:val="Normal"/>
        <w:spacing w:lineRule="auto" w:line="228" w:before="0" w:after="50"/>
        <w:jc w:val="both"/>
        <w:rPr/>
      </w:pPr>
      <w:r>
        <w:rPr/>
        <w:t>Evaluating this for every posterior draw gives a full posterior for each service’s mean cost and allows probabilistic ranking: in each draw the services are ranked, and the share of draws in which a service is among the five most expensive is its probability of being a top-five cost driver.</w:t>
      </w:r>
    </w:p>
    <w:p>
      <w:pPr>
        <w:pStyle w:val="Normal"/>
        <w:keepNext w:val="true"/>
        <w:spacing w:before="100" w:after="0"/>
        <w:jc w:val="center"/>
        <w:rPr/>
      </w:pPr>
      <w:r>
        <w:rPr>
          <w:sz w:val="16"/>
          <w:szCs w:val="16"/>
        </w:rPr>
        <w:t>TABLE VII</w:t>
      </w:r>
    </w:p>
    <w:p>
      <w:pPr>
        <w:pStyle w:val="Normal"/>
        <w:keepNext w:val="true"/>
        <w:spacing w:before="0" w:after="40"/>
        <w:jc w:val="center"/>
        <w:rPr/>
      </w:pPr>
      <w:r>
        <w:rPr>
          <w:sz w:val="16"/>
          <w:szCs w:val="16"/>
        </w:rPr>
        <w:t>PRIORS OF THE TWO MODELS</w:t>
      </w:r>
    </w:p>
    <w:tbl>
      <w:tblPr>
        <w:tblW w:w="4860" w:type="dxa"/>
        <w:jc w:val="start"/>
        <w:tblInd w:w="0" w:type="dxa"/>
        <w:tblLayout w:type="fixed"/>
        <w:tblCellMar>
          <w:top w:w="18" w:type="dxa"/>
          <w:start w:w="45" w:type="dxa"/>
          <w:bottom w:w="18" w:type="dxa"/>
          <w:end w:w="45" w:type="dxa"/>
        </w:tblCellMar>
        <w:tblLook w:val="0000" w:firstRow="0" w:noVBand="0" w:lastRow="0" w:firstColumn="0" w:lastColumn="0" w:noHBand="0"/>
      </w:tblPr>
      <w:tblGrid>
        <w:gridCol w:w="557"/>
        <w:gridCol w:w="901"/>
        <w:gridCol w:w="1701"/>
        <w:gridCol w:w="1701"/>
      </w:tblGrid>
      <w:tr>
        <w:trPr>
          <w:tblHeader w:val="true"/>
          <w:cantSplit/>
        </w:trPr>
        <w:tc>
          <w:tcPr>
            <w:tcW w:w="557" w:type="dxa"/>
            <w:tcBorders>
              <w:top w:val="single" w:sz="8" w:space="0" w:color="000000"/>
              <w:bottom w:val="single" w:sz="4" w:space="0" w:color="000000"/>
            </w:tcBorders>
            <w:vAlign w:val="center"/>
          </w:tcPr>
          <w:p>
            <w:pPr>
              <w:pStyle w:val="Normal"/>
              <w:jc w:val="center"/>
              <w:rPr/>
            </w:pPr>
            <w:r>
              <w:rPr>
                <w:b/>
                <w:bCs/>
                <w:sz w:val="15"/>
                <w:szCs w:val="15"/>
              </w:rPr>
              <w:t>Model</w:t>
            </w:r>
          </w:p>
        </w:tc>
        <w:tc>
          <w:tcPr>
            <w:tcW w:w="901" w:type="dxa"/>
            <w:tcBorders>
              <w:top w:val="single" w:sz="8" w:space="0" w:color="000000"/>
              <w:bottom w:val="single" w:sz="4" w:space="0" w:color="000000"/>
            </w:tcBorders>
            <w:vAlign w:val="center"/>
          </w:tcPr>
          <w:p>
            <w:pPr>
              <w:pStyle w:val="Normal"/>
              <w:rPr/>
            </w:pPr>
            <w:r>
              <w:rPr>
                <w:b/>
                <w:bCs/>
                <w:sz w:val="15"/>
                <w:szCs w:val="15"/>
              </w:rPr>
              <w:t>Parameter</w:t>
            </w:r>
          </w:p>
        </w:tc>
        <w:tc>
          <w:tcPr>
            <w:tcW w:w="1701" w:type="dxa"/>
            <w:tcBorders>
              <w:top w:val="single" w:sz="8" w:space="0" w:color="000000"/>
              <w:bottom w:val="single" w:sz="4" w:space="0" w:color="000000"/>
            </w:tcBorders>
            <w:vAlign w:val="center"/>
          </w:tcPr>
          <w:p>
            <w:pPr>
              <w:pStyle w:val="Normal"/>
              <w:rPr/>
            </w:pPr>
            <w:r>
              <w:rPr>
                <w:b/>
                <w:bCs/>
                <w:sz w:val="15"/>
                <w:szCs w:val="15"/>
              </w:rPr>
              <w:t>Prior</w:t>
            </w:r>
          </w:p>
        </w:tc>
        <w:tc>
          <w:tcPr>
            <w:tcW w:w="1701" w:type="dxa"/>
            <w:tcBorders>
              <w:top w:val="single" w:sz="8" w:space="0" w:color="000000"/>
              <w:bottom w:val="single" w:sz="4" w:space="0" w:color="000000"/>
            </w:tcBorders>
            <w:vAlign w:val="center"/>
          </w:tcPr>
          <w:p>
            <w:pPr>
              <w:pStyle w:val="Normal"/>
              <w:rPr/>
            </w:pPr>
            <w:r>
              <w:rPr>
                <w:b/>
                <w:bCs/>
                <w:sz w:val="15"/>
                <w:szCs w:val="15"/>
              </w:rPr>
              <w:t>Role</w:t>
            </w:r>
          </w:p>
        </w:tc>
      </w:tr>
      <w:tr>
        <w:trPr>
          <w:cantSplit/>
        </w:trPr>
        <w:tc>
          <w:tcPr>
            <w:tcW w:w="557" w:type="dxa"/>
            <w:tcBorders/>
            <w:vAlign w:val="center"/>
          </w:tcPr>
          <w:p>
            <w:pPr>
              <w:pStyle w:val="Normal"/>
              <w:jc w:val="center"/>
              <w:rPr/>
            </w:pPr>
            <w:r>
              <w:rPr>
                <w:sz w:val="15"/>
                <w:szCs w:val="15"/>
              </w:rPr>
              <w:t>1</w:t>
            </w:r>
          </w:p>
        </w:tc>
        <w:tc>
          <w:tcPr>
            <w:tcW w:w="901" w:type="dxa"/>
            <w:tcBorders/>
            <w:vAlign w:val="center"/>
          </w:tcPr>
          <w:p>
            <w:pPr>
              <w:pStyle w:val="Normal"/>
              <w:rPr/>
            </w:pPr>
            <w:r>
              <w:rPr>
                <w:sz w:val="15"/>
                <w:szCs w:val="15"/>
              </w:rPr>
              <w:t>α</w:t>
            </w:r>
          </w:p>
        </w:tc>
        <w:tc>
          <w:tcPr>
            <w:tcW w:w="1701" w:type="dxa"/>
            <w:tcBorders/>
            <w:vAlign w:val="center"/>
          </w:tcPr>
          <w:p>
            <w:pPr>
              <w:pStyle w:val="Normal"/>
              <w:rPr/>
            </w:pPr>
            <w:r>
              <w:rPr>
                <w:sz w:val="15"/>
                <w:szCs w:val="15"/>
              </w:rPr>
              <w:t>Normal(0, 1)</w:t>
            </w:r>
          </w:p>
        </w:tc>
        <w:tc>
          <w:tcPr>
            <w:tcW w:w="1701" w:type="dxa"/>
            <w:tcBorders/>
            <w:vAlign w:val="center"/>
          </w:tcPr>
          <w:p>
            <w:pPr>
              <w:pStyle w:val="Normal"/>
              <w:rPr/>
            </w:pPr>
            <w:r>
              <w:rPr>
                <w:sz w:val="15"/>
                <w:szCs w:val="15"/>
              </w:rPr>
              <w:t>Baseline level</w:t>
            </w:r>
          </w:p>
        </w:tc>
      </w:tr>
      <w:tr>
        <w:trPr>
          <w:cantSplit/>
        </w:trPr>
        <w:tc>
          <w:tcPr>
            <w:tcW w:w="557" w:type="dxa"/>
            <w:tcBorders/>
            <w:vAlign w:val="center"/>
          </w:tcPr>
          <w:p>
            <w:pPr>
              <w:pStyle w:val="Normal"/>
              <w:jc w:val="center"/>
              <w:rPr/>
            </w:pPr>
            <w:r>
              <w:rPr>
                <w:sz w:val="15"/>
                <w:szCs w:val="15"/>
              </w:rPr>
              <w:t>1</w:t>
            </w:r>
          </w:p>
        </w:tc>
        <w:tc>
          <w:tcPr>
            <w:tcW w:w="901" w:type="dxa"/>
            <w:tcBorders/>
            <w:vAlign w:val="center"/>
          </w:tcPr>
          <w:p>
            <w:pPr>
              <w:pStyle w:val="Normal"/>
              <w:rPr/>
            </w:pPr>
            <w:r>
              <w:rPr>
                <w:sz w:val="15"/>
                <w:szCs w:val="15"/>
              </w:rPr>
              <w:t>β</w:t>
            </w:r>
          </w:p>
        </w:tc>
        <w:tc>
          <w:tcPr>
            <w:tcW w:w="1701" w:type="dxa"/>
            <w:tcBorders/>
            <w:vAlign w:val="center"/>
          </w:tcPr>
          <w:p>
            <w:pPr>
              <w:pStyle w:val="Normal"/>
              <w:rPr/>
            </w:pPr>
            <w:r>
              <w:rPr>
                <w:sz w:val="15"/>
                <w:szCs w:val="15"/>
              </w:rPr>
              <w:t>Normal(0, 1)</w:t>
            </w:r>
          </w:p>
        </w:tc>
        <w:tc>
          <w:tcPr>
            <w:tcW w:w="1701" w:type="dxa"/>
            <w:tcBorders/>
            <w:vAlign w:val="center"/>
          </w:tcPr>
          <w:p>
            <w:pPr>
              <w:pStyle w:val="Normal"/>
              <w:rPr/>
            </w:pPr>
            <w:r>
              <w:rPr>
                <w:sz w:val="15"/>
                <w:szCs w:val="15"/>
              </w:rPr>
              <w:t>Trend over window</w:t>
            </w:r>
          </w:p>
        </w:tc>
      </w:tr>
      <w:tr>
        <w:trPr>
          <w:cantSplit/>
        </w:trPr>
        <w:tc>
          <w:tcPr>
            <w:tcW w:w="557" w:type="dxa"/>
            <w:tcBorders/>
            <w:vAlign w:val="center"/>
          </w:tcPr>
          <w:p>
            <w:pPr>
              <w:pStyle w:val="Normal"/>
              <w:jc w:val="center"/>
              <w:rPr/>
            </w:pPr>
            <w:r>
              <w:rPr>
                <w:sz w:val="15"/>
                <w:szCs w:val="15"/>
              </w:rPr>
              <w:t>1</w:t>
            </w:r>
          </w:p>
        </w:tc>
        <w:tc>
          <w:tcPr>
            <w:tcW w:w="901" w:type="dxa"/>
            <w:tcBorders/>
            <w:vAlign w:val="center"/>
          </w:tcPr>
          <w:p>
            <w:pPr>
              <w:pStyle w:val="Normal"/>
              <w:rPr/>
            </w:pPr>
            <w:r>
              <w:rPr>
                <w:sz w:val="15"/>
                <w:szCs w:val="15"/>
              </w:rPr>
              <w:t>τ</w:t>
            </w:r>
            <w:r>
              <w:rPr>
                <w:sz w:val="15"/>
                <w:szCs w:val="15"/>
                <w:vertAlign w:val="subscript"/>
              </w:rPr>
              <w:t>dow</w:t>
            </w:r>
          </w:p>
        </w:tc>
        <w:tc>
          <w:tcPr>
            <w:tcW w:w="1701" w:type="dxa"/>
            <w:tcBorders/>
            <w:vAlign w:val="center"/>
          </w:tcPr>
          <w:p>
            <w:pPr>
              <w:pStyle w:val="Normal"/>
              <w:rPr/>
            </w:pPr>
            <w:r>
              <w:rPr>
                <w:sz w:val="15"/>
                <w:szCs w:val="15"/>
              </w:rPr>
              <w:t>HalfNormal(0.5)</w:t>
            </w:r>
          </w:p>
        </w:tc>
        <w:tc>
          <w:tcPr>
            <w:tcW w:w="1701" w:type="dxa"/>
            <w:tcBorders/>
            <w:vAlign w:val="center"/>
          </w:tcPr>
          <w:p>
            <w:pPr>
              <w:pStyle w:val="Normal"/>
              <w:rPr/>
            </w:pPr>
            <w:r>
              <w:rPr>
                <w:sz w:val="15"/>
                <w:szCs w:val="15"/>
              </w:rPr>
              <w:t>Weekday-effect scale</w:t>
            </w:r>
          </w:p>
        </w:tc>
      </w:tr>
      <w:tr>
        <w:trPr>
          <w:cantSplit/>
        </w:trPr>
        <w:tc>
          <w:tcPr>
            <w:tcW w:w="557" w:type="dxa"/>
            <w:tcBorders/>
            <w:vAlign w:val="center"/>
          </w:tcPr>
          <w:p>
            <w:pPr>
              <w:pStyle w:val="Normal"/>
              <w:jc w:val="center"/>
              <w:rPr/>
            </w:pPr>
            <w:r>
              <w:rPr>
                <w:sz w:val="15"/>
                <w:szCs w:val="15"/>
              </w:rPr>
              <w:t>1</w:t>
            </w:r>
          </w:p>
        </w:tc>
        <w:tc>
          <w:tcPr>
            <w:tcW w:w="901" w:type="dxa"/>
            <w:tcBorders/>
            <w:vAlign w:val="center"/>
          </w:tcPr>
          <w:p>
            <w:pPr>
              <w:pStyle w:val="Normal"/>
              <w:rPr/>
            </w:pPr>
            <w:r>
              <w:rPr>
                <w:sz w:val="15"/>
                <w:szCs w:val="15"/>
              </w:rPr>
              <w:t>δ</w:t>
            </w:r>
            <w:r>
              <w:rPr>
                <w:sz w:val="15"/>
                <w:szCs w:val="15"/>
                <w:vertAlign w:val="superscript"/>
              </w:rPr>
              <w:t>raw</w:t>
            </w:r>
            <w:r>
              <w:rPr>
                <w:sz w:val="15"/>
                <w:szCs w:val="15"/>
                <w:vertAlign w:val="subscript"/>
              </w:rPr>
              <w:t>d</w:t>
            </w:r>
          </w:p>
        </w:tc>
        <w:tc>
          <w:tcPr>
            <w:tcW w:w="1701" w:type="dxa"/>
            <w:tcBorders/>
            <w:vAlign w:val="center"/>
          </w:tcPr>
          <w:p>
            <w:pPr>
              <w:pStyle w:val="Normal"/>
              <w:rPr/>
            </w:pPr>
            <w:r>
              <w:rPr>
                <w:sz w:val="15"/>
                <w:szCs w:val="15"/>
              </w:rPr>
              <w:t>Normal(0, 1)</w:t>
            </w:r>
          </w:p>
        </w:tc>
        <w:tc>
          <w:tcPr>
            <w:tcW w:w="1701" w:type="dxa"/>
            <w:tcBorders/>
            <w:vAlign w:val="center"/>
          </w:tcPr>
          <w:p>
            <w:pPr>
              <w:pStyle w:val="Normal"/>
              <w:rPr/>
            </w:pPr>
            <w:r>
              <w:rPr>
                <w:sz w:val="15"/>
                <w:szCs w:val="15"/>
              </w:rPr>
              <w:t>Raw weekday effect</w:t>
            </w:r>
          </w:p>
        </w:tc>
      </w:tr>
      <w:tr>
        <w:trPr>
          <w:cantSplit/>
        </w:trPr>
        <w:tc>
          <w:tcPr>
            <w:tcW w:w="557" w:type="dxa"/>
            <w:tcBorders/>
            <w:vAlign w:val="center"/>
          </w:tcPr>
          <w:p>
            <w:pPr>
              <w:pStyle w:val="Normal"/>
              <w:jc w:val="center"/>
              <w:rPr/>
            </w:pPr>
            <w:r>
              <w:rPr>
                <w:sz w:val="15"/>
                <w:szCs w:val="15"/>
              </w:rPr>
              <w:t>1</w:t>
            </w:r>
          </w:p>
        </w:tc>
        <w:tc>
          <w:tcPr>
            <w:tcW w:w="901" w:type="dxa"/>
            <w:tcBorders/>
            <w:vAlign w:val="center"/>
          </w:tcPr>
          <w:p>
            <w:pPr>
              <w:pStyle w:val="Normal"/>
              <w:rPr/>
            </w:pPr>
            <w:r>
              <w:rPr>
                <w:sz w:val="15"/>
                <w:szCs w:val="15"/>
              </w:rPr>
              <w:t>σ</w:t>
            </w:r>
          </w:p>
        </w:tc>
        <w:tc>
          <w:tcPr>
            <w:tcW w:w="1701" w:type="dxa"/>
            <w:tcBorders/>
            <w:vAlign w:val="center"/>
          </w:tcPr>
          <w:p>
            <w:pPr>
              <w:pStyle w:val="Normal"/>
              <w:rPr/>
            </w:pPr>
            <w:r>
              <w:rPr>
                <w:sz w:val="15"/>
                <w:szCs w:val="15"/>
              </w:rPr>
              <w:t>HalfNormal(1)</w:t>
            </w:r>
          </w:p>
        </w:tc>
        <w:tc>
          <w:tcPr>
            <w:tcW w:w="1701" w:type="dxa"/>
            <w:tcBorders/>
            <w:vAlign w:val="center"/>
          </w:tcPr>
          <w:p>
            <w:pPr>
              <w:pStyle w:val="Normal"/>
              <w:rPr/>
            </w:pPr>
            <w:r>
              <w:rPr>
                <w:sz w:val="15"/>
                <w:szCs w:val="15"/>
              </w:rPr>
              <w:t>Noise scale</w:t>
            </w:r>
          </w:p>
        </w:tc>
      </w:tr>
      <w:tr>
        <w:trPr>
          <w:cantSplit/>
        </w:trPr>
        <w:tc>
          <w:tcPr>
            <w:tcW w:w="557" w:type="dxa"/>
            <w:tcBorders/>
            <w:vAlign w:val="center"/>
          </w:tcPr>
          <w:p>
            <w:pPr>
              <w:pStyle w:val="Normal"/>
              <w:jc w:val="center"/>
              <w:rPr/>
            </w:pPr>
            <w:r>
              <w:rPr>
                <w:sz w:val="15"/>
                <w:szCs w:val="15"/>
              </w:rPr>
              <w:t>1</w:t>
            </w:r>
          </w:p>
        </w:tc>
        <w:tc>
          <w:tcPr>
            <w:tcW w:w="901" w:type="dxa"/>
            <w:tcBorders/>
            <w:vAlign w:val="center"/>
          </w:tcPr>
          <w:p>
            <w:pPr>
              <w:pStyle w:val="Normal"/>
              <w:rPr/>
            </w:pPr>
            <w:r>
              <w:rPr>
                <w:sz w:val="15"/>
                <w:szCs w:val="15"/>
              </w:rPr>
              <w:t>ν</w:t>
            </w:r>
          </w:p>
        </w:tc>
        <w:tc>
          <w:tcPr>
            <w:tcW w:w="1701" w:type="dxa"/>
            <w:tcBorders/>
            <w:vAlign w:val="center"/>
          </w:tcPr>
          <w:p>
            <w:pPr>
              <w:pStyle w:val="Normal"/>
              <w:rPr/>
            </w:pPr>
            <w:r>
              <w:rPr>
                <w:sz w:val="15"/>
                <w:szCs w:val="15"/>
              </w:rPr>
              <w:t>Gamma(2, 0.1)</w:t>
            </w:r>
          </w:p>
        </w:tc>
        <w:tc>
          <w:tcPr>
            <w:tcW w:w="1701" w:type="dxa"/>
            <w:tcBorders/>
            <w:vAlign w:val="center"/>
          </w:tcPr>
          <w:p>
            <w:pPr>
              <w:pStyle w:val="Normal"/>
              <w:rPr/>
            </w:pPr>
            <w:r>
              <w:rPr>
                <w:sz w:val="15"/>
                <w:szCs w:val="15"/>
              </w:rPr>
              <w:t>Degrees of freedom</w:t>
            </w:r>
          </w:p>
        </w:tc>
      </w:tr>
      <w:tr>
        <w:trPr>
          <w:cantSplit/>
        </w:trPr>
        <w:tc>
          <w:tcPr>
            <w:tcW w:w="557" w:type="dxa"/>
            <w:tcBorders/>
            <w:vAlign w:val="center"/>
          </w:tcPr>
          <w:p>
            <w:pPr>
              <w:pStyle w:val="Normal"/>
              <w:jc w:val="center"/>
              <w:rPr/>
            </w:pPr>
            <w:r>
              <w:rPr>
                <w:sz w:val="15"/>
                <w:szCs w:val="15"/>
              </w:rPr>
              <w:t>2</w:t>
            </w:r>
          </w:p>
        </w:tc>
        <w:tc>
          <w:tcPr>
            <w:tcW w:w="901" w:type="dxa"/>
            <w:tcBorders/>
            <w:vAlign w:val="center"/>
          </w:tcPr>
          <w:p>
            <w:pPr>
              <w:pStyle w:val="Normal"/>
              <w:rPr/>
            </w:pPr>
            <w:r>
              <w:rPr>
                <w:sz w:val="15"/>
                <w:szCs w:val="15"/>
              </w:rPr>
              <w:t>μ</w:t>
            </w:r>
            <w:r>
              <w:rPr>
                <w:sz w:val="15"/>
                <w:szCs w:val="15"/>
                <w:vertAlign w:val="subscript"/>
              </w:rPr>
              <w:t>g</w:t>
            </w:r>
          </w:p>
        </w:tc>
        <w:tc>
          <w:tcPr>
            <w:tcW w:w="1701" w:type="dxa"/>
            <w:tcBorders/>
            <w:vAlign w:val="center"/>
          </w:tcPr>
          <w:p>
            <w:pPr>
              <w:pStyle w:val="Normal"/>
              <w:rPr/>
            </w:pPr>
            <w:r>
              <w:rPr>
                <w:sz w:val="15"/>
                <w:szCs w:val="15"/>
              </w:rPr>
              <w:t>Normal(mean log cost, 2)</w:t>
            </w:r>
          </w:p>
        </w:tc>
        <w:tc>
          <w:tcPr>
            <w:tcW w:w="1701" w:type="dxa"/>
            <w:tcBorders/>
            <w:vAlign w:val="center"/>
          </w:tcPr>
          <w:p>
            <w:pPr>
              <w:pStyle w:val="Normal"/>
              <w:rPr/>
            </w:pPr>
            <w:r>
              <w:rPr>
                <w:sz w:val="15"/>
                <w:szCs w:val="15"/>
              </w:rPr>
              <w:t>Overall mean log cost</w:t>
            </w:r>
          </w:p>
        </w:tc>
      </w:tr>
      <w:tr>
        <w:trPr>
          <w:cantSplit/>
        </w:trPr>
        <w:tc>
          <w:tcPr>
            <w:tcW w:w="557" w:type="dxa"/>
            <w:tcBorders/>
            <w:vAlign w:val="center"/>
          </w:tcPr>
          <w:p>
            <w:pPr>
              <w:pStyle w:val="Normal"/>
              <w:jc w:val="center"/>
              <w:rPr/>
            </w:pPr>
            <w:r>
              <w:rPr>
                <w:sz w:val="15"/>
                <w:szCs w:val="15"/>
              </w:rPr>
              <w:t>2</w:t>
            </w:r>
          </w:p>
        </w:tc>
        <w:tc>
          <w:tcPr>
            <w:tcW w:w="901" w:type="dxa"/>
            <w:tcBorders/>
            <w:vAlign w:val="center"/>
          </w:tcPr>
          <w:p>
            <w:pPr>
              <w:pStyle w:val="Normal"/>
              <w:rPr/>
            </w:pPr>
            <w:r>
              <w:rPr>
                <w:sz w:val="15"/>
                <w:szCs w:val="15"/>
              </w:rPr>
              <w:t>τ</w:t>
            </w:r>
          </w:p>
        </w:tc>
        <w:tc>
          <w:tcPr>
            <w:tcW w:w="1701" w:type="dxa"/>
            <w:tcBorders/>
            <w:vAlign w:val="center"/>
          </w:tcPr>
          <w:p>
            <w:pPr>
              <w:pStyle w:val="Normal"/>
              <w:rPr/>
            </w:pPr>
            <w:r>
              <w:rPr>
                <w:sz w:val="15"/>
                <w:szCs w:val="15"/>
              </w:rPr>
              <w:t>HalfNormal(1.5)</w:t>
            </w:r>
          </w:p>
        </w:tc>
        <w:tc>
          <w:tcPr>
            <w:tcW w:w="1701" w:type="dxa"/>
            <w:tcBorders/>
            <w:vAlign w:val="center"/>
          </w:tcPr>
          <w:p>
            <w:pPr>
              <w:pStyle w:val="Normal"/>
              <w:rPr/>
            </w:pPr>
            <w:r>
              <w:rPr>
                <w:sz w:val="15"/>
                <w:szCs w:val="15"/>
              </w:rPr>
              <w:t>Between-service SD</w:t>
            </w:r>
          </w:p>
        </w:tc>
      </w:tr>
      <w:tr>
        <w:trPr>
          <w:cantSplit/>
        </w:trPr>
        <w:tc>
          <w:tcPr>
            <w:tcW w:w="557" w:type="dxa"/>
            <w:tcBorders/>
            <w:vAlign w:val="center"/>
          </w:tcPr>
          <w:p>
            <w:pPr>
              <w:pStyle w:val="Normal"/>
              <w:jc w:val="center"/>
              <w:rPr/>
            </w:pPr>
            <w:r>
              <w:rPr>
                <w:sz w:val="15"/>
                <w:szCs w:val="15"/>
              </w:rPr>
              <w:t>2</w:t>
            </w:r>
          </w:p>
        </w:tc>
        <w:tc>
          <w:tcPr>
            <w:tcW w:w="901" w:type="dxa"/>
            <w:tcBorders/>
            <w:vAlign w:val="center"/>
          </w:tcPr>
          <w:p>
            <w:pPr>
              <w:pStyle w:val="Normal"/>
              <w:rPr/>
            </w:pPr>
            <w:r>
              <w:rPr>
                <w:sz w:val="15"/>
                <w:szCs w:val="15"/>
              </w:rPr>
              <w:t>σ</w:t>
            </w:r>
          </w:p>
        </w:tc>
        <w:tc>
          <w:tcPr>
            <w:tcW w:w="1701" w:type="dxa"/>
            <w:tcBorders/>
            <w:vAlign w:val="center"/>
          </w:tcPr>
          <w:p>
            <w:pPr>
              <w:pStyle w:val="Normal"/>
              <w:rPr/>
            </w:pPr>
            <w:r>
              <w:rPr>
                <w:sz w:val="15"/>
                <w:szCs w:val="15"/>
              </w:rPr>
              <w:t>HalfNormal(2)</w:t>
            </w:r>
          </w:p>
        </w:tc>
        <w:tc>
          <w:tcPr>
            <w:tcW w:w="1701" w:type="dxa"/>
            <w:tcBorders/>
            <w:vAlign w:val="center"/>
          </w:tcPr>
          <w:p>
            <w:pPr>
              <w:pStyle w:val="Normal"/>
              <w:rPr/>
            </w:pPr>
            <w:r>
              <w:rPr>
                <w:sz w:val="15"/>
                <w:szCs w:val="15"/>
              </w:rPr>
              <w:t>Within-service SD</w:t>
            </w:r>
          </w:p>
        </w:tc>
      </w:tr>
      <w:tr>
        <w:trPr>
          <w:cantSplit/>
        </w:trPr>
        <w:tc>
          <w:tcPr>
            <w:tcW w:w="557" w:type="dxa"/>
            <w:tcBorders>
              <w:bottom w:val="single" w:sz="8" w:space="0" w:color="000000"/>
            </w:tcBorders>
            <w:vAlign w:val="center"/>
          </w:tcPr>
          <w:p>
            <w:pPr>
              <w:pStyle w:val="Normal"/>
              <w:jc w:val="center"/>
              <w:rPr/>
            </w:pPr>
            <w:r>
              <w:rPr>
                <w:sz w:val="15"/>
                <w:szCs w:val="15"/>
              </w:rPr>
              <w:t>2</w:t>
            </w:r>
          </w:p>
        </w:tc>
        <w:tc>
          <w:tcPr>
            <w:tcW w:w="901" w:type="dxa"/>
            <w:tcBorders>
              <w:bottom w:val="single" w:sz="8" w:space="0" w:color="000000"/>
            </w:tcBorders>
            <w:vAlign w:val="center"/>
          </w:tcPr>
          <w:p>
            <w:pPr>
              <w:pStyle w:val="Normal"/>
              <w:rPr/>
            </w:pPr>
            <w:r>
              <w:rPr>
                <w:sz w:val="15"/>
                <w:szCs w:val="15"/>
              </w:rPr>
              <w:t>z</w:t>
            </w:r>
            <w:r>
              <w:rPr>
                <w:sz w:val="15"/>
                <w:szCs w:val="15"/>
                <w:vertAlign w:val="subscript"/>
              </w:rPr>
              <w:t>s</w:t>
            </w:r>
          </w:p>
        </w:tc>
        <w:tc>
          <w:tcPr>
            <w:tcW w:w="1701" w:type="dxa"/>
            <w:tcBorders>
              <w:bottom w:val="single" w:sz="8" w:space="0" w:color="000000"/>
            </w:tcBorders>
            <w:vAlign w:val="center"/>
          </w:tcPr>
          <w:p>
            <w:pPr>
              <w:pStyle w:val="Normal"/>
              <w:rPr/>
            </w:pPr>
            <w:r>
              <w:rPr>
                <w:sz w:val="15"/>
                <w:szCs w:val="15"/>
              </w:rPr>
              <w:t>Normal(0, 1)</w:t>
            </w:r>
          </w:p>
        </w:tc>
        <w:tc>
          <w:tcPr>
            <w:tcW w:w="1701" w:type="dxa"/>
            <w:tcBorders>
              <w:bottom w:val="single" w:sz="8" w:space="0" w:color="000000"/>
            </w:tcBorders>
            <w:vAlign w:val="center"/>
          </w:tcPr>
          <w:p>
            <w:pPr>
              <w:pStyle w:val="Normal"/>
              <w:rPr/>
            </w:pPr>
            <w:r>
              <w:rPr>
                <w:sz w:val="15"/>
                <w:szCs w:val="15"/>
              </w:rPr>
              <w:t>Raw service effect</w:t>
            </w:r>
          </w:p>
        </w:tc>
      </w:tr>
    </w:tbl>
    <w:p>
      <w:pPr>
        <w:pStyle w:val="Normal"/>
        <w:spacing w:before="0" w:after="60"/>
        <w:rPr/>
      </w:pPr>
      <w:r>
        <w:rPr/>
      </w:r>
    </w:p>
    <w:p>
      <w:pPr>
        <w:pStyle w:val="Heading2"/>
        <w:rPr/>
      </w:pPr>
      <w:r>
        <w:rPr/>
        <w:t>G. Forecasting from the Posterior</w:t>
      </w:r>
    </w:p>
    <w:p>
      <w:pPr>
        <w:pStyle w:val="Normal"/>
        <w:keepNext w:val="true"/>
        <w:spacing w:lineRule="auto" w:line="228" w:before="0" w:after="50"/>
        <w:ind w:firstLine="240"/>
        <w:jc w:val="both"/>
        <w:rPr/>
      </w:pPr>
      <w:r>
        <w:rPr/>
        <w:t>For each posterior draw m = 1, …, M (M = 4,000) and each future day t* (with t</w:t>
      </w:r>
      <w:r>
        <w:rPr>
          <w:vertAlign w:val="subscript"/>
        </w:rPr>
        <w:t>scaled</w:t>
      </w:r>
      <w:r>
        <w:rPr/>
        <w:t xml:space="preserve"> continuing beyond 1), the mean and the simulated cost are</w:t>
      </w:r>
    </w:p>
    <w:p>
      <w:pPr>
        <w:pStyle w:val="Normal"/>
        <w:keepLines/>
        <w:tabs>
          <w:tab w:val="clear" w:pos="720"/>
          <w:tab w:val="center" w:pos="2250" w:leader="none"/>
          <w:tab w:val="right" w:pos="4860" w:leader="none"/>
        </w:tabs>
        <w:spacing w:before="40" w:after="40"/>
        <w:rPr/>
      </w:pPr>
      <w:r>
        <w:rPr/>
        <w:tab/>
      </w:r>
      <w:r>
        <w:rPr/>
        <w:drawing>
          <wp:inline distT="0" distB="0" distL="0" distR="0">
            <wp:extent cx="1866900" cy="257175"/>
            <wp:effectExtent l="0" t="0" r="0" b="0"/>
            <wp:docPr id="20" name="Equation 10" descr="Equation 10" title="Equatio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Equation 10" descr="Equation 10" title="Equation 10"/>
                    <pic:cNvPicPr>
                      <a:picLocks noChangeAspect="1" noChangeArrowheads="1"/>
                    </pic:cNvPicPr>
                  </pic:nvPicPr>
                  <pic:blipFill>
                    <a:blip r:embed="rId21"/>
                    <a:stretch>
                      <a:fillRect/>
                    </a:stretch>
                  </pic:blipFill>
                  <pic:spPr bwMode="auto">
                    <a:xfrm>
                      <a:off x="0" y="0"/>
                      <a:ext cx="1866900" cy="257175"/>
                    </a:xfrm>
                    <a:prstGeom prst="rect">
                      <a:avLst/>
                    </a:prstGeom>
                    <a:noFill/>
                  </pic:spPr>
                </pic:pic>
              </a:graphicData>
            </a:graphic>
          </wp:inline>
        </w:drawing>
      </w:r>
      <w:r>
        <w:rPr/>
        <w:tab/>
        <w:t>(10)</w:t>
      </w:r>
    </w:p>
    <w:p>
      <w:pPr>
        <w:pStyle w:val="Normal"/>
        <w:keepLines/>
        <w:tabs>
          <w:tab w:val="clear" w:pos="720"/>
          <w:tab w:val="center" w:pos="2250" w:leader="none"/>
          <w:tab w:val="right" w:pos="4860" w:leader="none"/>
        </w:tabs>
        <w:spacing w:before="40" w:after="40"/>
        <w:rPr/>
      </w:pPr>
      <w:r>
        <w:rPr/>
        <w:tab/>
      </w:r>
      <w:r>
        <w:rPr/>
        <w:drawing>
          <wp:inline distT="0" distB="0" distL="0" distR="0">
            <wp:extent cx="1943100" cy="247650"/>
            <wp:effectExtent l="0" t="0" r="0" b="0"/>
            <wp:docPr id="21" name="Equation 11" descr="Equation 11" title="Equatio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Equation 11" descr="Equation 11" title="Equation 11"/>
                    <pic:cNvPicPr>
                      <a:picLocks noChangeAspect="1" noChangeArrowheads="1"/>
                    </pic:cNvPicPr>
                  </pic:nvPicPr>
                  <pic:blipFill>
                    <a:blip r:embed="rId22"/>
                    <a:stretch>
                      <a:fillRect/>
                    </a:stretch>
                  </pic:blipFill>
                  <pic:spPr bwMode="auto">
                    <a:xfrm>
                      <a:off x="0" y="0"/>
                      <a:ext cx="1943100" cy="247650"/>
                    </a:xfrm>
                    <a:prstGeom prst="rect">
                      <a:avLst/>
                    </a:prstGeom>
                    <a:noFill/>
                  </pic:spPr>
                </pic:pic>
              </a:graphicData>
            </a:graphic>
          </wp:inline>
        </w:drawing>
      </w:r>
      <w:r>
        <w:rPr/>
        <w:tab/>
        <w:t>(11)</w:t>
      </w:r>
    </w:p>
    <w:p>
      <w:pPr>
        <w:pStyle w:val="Normal"/>
        <w:keepNext w:val="true"/>
        <w:spacing w:lineRule="auto" w:line="228" w:before="0" w:after="50"/>
        <w:jc w:val="both"/>
        <w:rPr/>
      </w:pPr>
      <w:r>
        <w:rPr/>
        <w:t>where ε is a Student-t draw with ν</w:t>
      </w:r>
      <w:r>
        <w:rPr>
          <w:vertAlign w:val="superscript"/>
        </w:rPr>
        <w:t>(m)</w:t>
      </w:r>
      <w:r>
        <w:rPr/>
        <w:t xml:space="preserve"> degrees of freedom, and sd(y) and mean(y) undo the standardisation. Summing over a 30-day horizon gives</w:t>
      </w:r>
    </w:p>
    <w:p>
      <w:pPr>
        <w:pStyle w:val="Normal"/>
        <w:keepLines/>
        <w:tabs>
          <w:tab w:val="clear" w:pos="720"/>
          <w:tab w:val="center" w:pos="2250" w:leader="none"/>
          <w:tab w:val="right" w:pos="4860" w:leader="none"/>
        </w:tabs>
        <w:spacing w:before="40" w:after="40"/>
        <w:rPr/>
      </w:pPr>
      <w:r>
        <w:rPr/>
        <w:tab/>
      </w:r>
      <w:r>
        <w:rPr/>
        <w:drawing>
          <wp:inline distT="0" distB="0" distL="0" distR="0">
            <wp:extent cx="828675" cy="400050"/>
            <wp:effectExtent l="0" t="0" r="0" b="0"/>
            <wp:docPr id="22" name="Equation 12" descr="Equation 12" title="Equatio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Equation 12" descr="Equation 12" title="Equation 12"/>
                    <pic:cNvPicPr>
                      <a:picLocks noChangeAspect="1" noChangeArrowheads="1"/>
                    </pic:cNvPicPr>
                  </pic:nvPicPr>
                  <pic:blipFill>
                    <a:blip r:embed="rId23"/>
                    <a:stretch>
                      <a:fillRect/>
                    </a:stretch>
                  </pic:blipFill>
                  <pic:spPr bwMode="auto">
                    <a:xfrm>
                      <a:off x="0" y="0"/>
                      <a:ext cx="828675" cy="400050"/>
                    </a:xfrm>
                    <a:prstGeom prst="rect">
                      <a:avLst/>
                    </a:prstGeom>
                    <a:noFill/>
                  </pic:spPr>
                </pic:pic>
              </a:graphicData>
            </a:graphic>
          </wp:inline>
        </w:drawing>
      </w:r>
      <w:r>
        <w:rPr/>
        <w:tab/>
        <w:t>(12)</w:t>
      </w:r>
    </w:p>
    <w:p>
      <w:pPr>
        <w:pStyle w:val="Normal"/>
        <w:keepNext w:val="true"/>
        <w:spacing w:lineRule="auto" w:line="228" w:before="0" w:after="50"/>
        <w:jc w:val="both"/>
        <w:rPr/>
      </w:pPr>
      <w:r>
        <w:rPr/>
        <w:t>so that 4,000 possible 30-day futures are obtained. Their distribution gives the median, predictive intervals and, for a budget B, the exceedance probability</w:t>
      </w:r>
    </w:p>
    <w:p>
      <w:pPr>
        <w:pStyle w:val="Normal"/>
        <w:keepLines/>
        <w:tabs>
          <w:tab w:val="clear" w:pos="720"/>
          <w:tab w:val="center" w:pos="2250" w:leader="none"/>
          <w:tab w:val="right" w:pos="4860" w:leader="none"/>
        </w:tabs>
        <w:spacing w:before="40" w:after="40"/>
        <w:rPr/>
      </w:pPr>
      <w:r>
        <w:rPr/>
        <w:tab/>
      </w:r>
      <w:r>
        <w:rPr/>
        <w:drawing>
          <wp:inline distT="0" distB="0" distL="0" distR="0">
            <wp:extent cx="1657350" cy="381000"/>
            <wp:effectExtent l="0" t="0" r="0" b="0"/>
            <wp:docPr id="23" name="Equation 13" descr="Equation 13" title="Equatio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Equation 13" descr="Equation 13" title="Equation 13"/>
                    <pic:cNvPicPr>
                      <a:picLocks noChangeAspect="1" noChangeArrowheads="1"/>
                    </pic:cNvPicPr>
                  </pic:nvPicPr>
                  <pic:blipFill>
                    <a:blip r:embed="rId24"/>
                    <a:stretch>
                      <a:fillRect/>
                    </a:stretch>
                  </pic:blipFill>
                  <pic:spPr bwMode="auto">
                    <a:xfrm>
                      <a:off x="0" y="0"/>
                      <a:ext cx="1657350" cy="381000"/>
                    </a:xfrm>
                    <a:prstGeom prst="rect">
                      <a:avLst/>
                    </a:prstGeom>
                    <a:noFill/>
                  </pic:spPr>
                </pic:pic>
              </a:graphicData>
            </a:graphic>
          </wp:inline>
        </w:drawing>
      </w:r>
      <w:r>
        <w:rPr/>
        <w:tab/>
        <w:t>(13)</w:t>
      </w:r>
    </w:p>
    <w:p>
      <w:pPr>
        <w:pStyle w:val="Normal"/>
        <w:spacing w:lineRule="auto" w:line="228" w:before="0" w:after="50"/>
        <w:jc w:val="both"/>
        <w:rPr/>
      </w:pPr>
      <w:r>
        <w:rPr/>
        <w:t>The planning budget is B = 30 × (historical mean daily cost). It is an analytical assumption, because an externally specified organizational budget was not available.</w:t>
      </w:r>
    </w:p>
    <w:p>
      <w:pPr>
        <w:pStyle w:val="Heading2"/>
        <w:rPr/>
      </w:pPr>
      <w:r>
        <w:rPr/>
        <w:t>H. Resource Optimization Scenarios</w:t>
      </w:r>
    </w:p>
    <w:p>
      <w:pPr>
        <w:pStyle w:val="Normal"/>
        <w:keepNext w:val="true"/>
        <w:spacing w:lineRule="auto" w:line="228" w:before="0" w:after="50"/>
        <w:ind w:firstLine="240"/>
        <w:jc w:val="both"/>
        <w:rPr/>
      </w:pPr>
      <w:r>
        <w:rPr/>
        <w:t>Resources with CPU utilization below 20% and memory utilization below 20% are classified as potentially idle. Let s</w:t>
      </w:r>
      <w:r>
        <w:rPr>
          <w:vertAlign w:val="subscript"/>
        </w:rPr>
        <w:t>idle</w:t>
      </w:r>
      <w:r>
        <w:rPr/>
        <w:t xml:space="preserve"> be the share of historical cost associated with these resources and S̃ the median 30-day forecast. If a fraction f of the idle-resource cost is eliminated, the scenario saving is</w:t>
      </w:r>
    </w:p>
    <w:p>
      <w:pPr>
        <w:pStyle w:val="Normal"/>
        <w:keepLines/>
        <w:tabs>
          <w:tab w:val="clear" w:pos="720"/>
          <w:tab w:val="center" w:pos="2250" w:leader="none"/>
          <w:tab w:val="right" w:pos="4860" w:leader="none"/>
        </w:tabs>
        <w:spacing w:before="40" w:after="40"/>
        <w:rPr/>
      </w:pPr>
      <w:r>
        <w:rPr/>
        <w:tab/>
      </w:r>
      <w:r>
        <w:rPr/>
        <w:drawing>
          <wp:inline distT="0" distB="0" distL="0" distR="0">
            <wp:extent cx="742950" cy="219075"/>
            <wp:effectExtent l="0" t="0" r="0" b="0"/>
            <wp:docPr id="24" name="Equation 14" descr="Equation 14" title="Equatio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Equation 14" descr="Equation 14" title="Equation 14"/>
                    <pic:cNvPicPr>
                      <a:picLocks noChangeAspect="1" noChangeArrowheads="1"/>
                    </pic:cNvPicPr>
                  </pic:nvPicPr>
                  <pic:blipFill>
                    <a:blip r:embed="rId25"/>
                    <a:stretch>
                      <a:fillRect/>
                    </a:stretch>
                  </pic:blipFill>
                  <pic:spPr bwMode="auto">
                    <a:xfrm>
                      <a:off x="0" y="0"/>
                      <a:ext cx="742950" cy="219075"/>
                    </a:xfrm>
                    <a:prstGeom prst="rect">
                      <a:avLst/>
                    </a:prstGeom>
                    <a:noFill/>
                  </pic:spPr>
                </pic:pic>
              </a:graphicData>
            </a:graphic>
          </wp:inline>
        </w:drawing>
      </w:r>
      <w:r>
        <w:rPr/>
        <w:tab/>
        <w:t>(14)</w:t>
      </w:r>
    </w:p>
    <w:p>
      <w:pPr>
        <w:pStyle w:val="Normal"/>
        <w:spacing w:lineRule="auto" w:line="228" w:before="0" w:after="50"/>
        <w:jc w:val="both"/>
        <w:rPr/>
      </w:pPr>
      <w:r>
        <w:rPr/>
        <w:t>These are what-if estimates rather than guaranteed savings.</w:t>
      </w:r>
    </w:p>
    <w:p>
      <w:pPr>
        <w:pStyle w:val="Heading1"/>
        <w:rPr/>
      </w:pPr>
      <w:r>
        <w:rPr/>
        <w:t>VI. SYSTEM IMPLEMENTATION</w:t>
      </w:r>
    </w:p>
    <w:p>
      <w:pPr>
        <w:pStyle w:val="Heading2"/>
        <w:rPr/>
      </w:pPr>
      <w:r>
        <w:rPr/>
        <w:t>A. Overview</w:t>
      </w:r>
    </w:p>
    <w:p>
      <w:pPr>
        <w:pStyle w:val="Normal"/>
        <w:spacing w:lineRule="auto" w:line="228" w:before="0" w:after="50"/>
        <w:ind w:firstLine="240"/>
        <w:jc w:val="both"/>
        <w:rPr/>
      </w:pPr>
      <w:r>
        <w:rPr/>
        <w:t>The system is implemented in Python in a project notebook, with the random seed fixed at 42 for reproducibility [4]. Fig. 10 shows the pipeline. The billing records are loaded and checked, two modelling datasets are derived, the two models are sampled, diagnostics and posterior predictive checks are run, and the posterior draws feed the forecasting, risk and optimization analysis and the held-out comparison.</w:t>
      </w:r>
    </w:p>
    <w:p>
      <w:pPr>
        <w:pStyle w:val="Normal"/>
        <w:keepNext w:val="true"/>
        <w:spacing w:before="60" w:after="0"/>
        <w:jc w:val="center"/>
        <w:rPr/>
      </w:pPr>
      <w:r>
        <w:rPr/>
        <w:drawing>
          <wp:inline distT="0" distB="0" distL="0" distR="0">
            <wp:extent cx="2828925" cy="4019550"/>
            <wp:effectExtent l="0" t="0" r="0" b="0"/>
            <wp:docPr id="25" name="Figure 10" descr="Figure 10"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ure 10" descr="Figure 10" title="Figure 10"/>
                    <pic:cNvPicPr>
                      <a:picLocks noChangeAspect="1" noChangeArrowheads="1"/>
                    </pic:cNvPicPr>
                  </pic:nvPicPr>
                  <pic:blipFill>
                    <a:blip r:embed="rId26"/>
                    <a:stretch>
                      <a:fillRect/>
                    </a:stretch>
                  </pic:blipFill>
                  <pic:spPr bwMode="auto">
                    <a:xfrm>
                      <a:off x="0" y="0"/>
                      <a:ext cx="2828925" cy="4019550"/>
                    </a:xfrm>
                    <a:prstGeom prst="rect">
                      <a:avLst/>
                    </a:prstGeom>
                    <a:noFill/>
                  </pic:spPr>
                </pic:pic>
              </a:graphicData>
            </a:graphic>
          </wp:inline>
        </w:drawing>
      </w:r>
    </w:p>
    <w:p>
      <w:pPr>
        <w:pStyle w:val="Normal"/>
        <w:spacing w:before="20" w:after="100"/>
        <w:jc w:val="both"/>
        <w:rPr/>
      </w:pPr>
      <w:r>
        <w:rPr>
          <w:sz w:val="16"/>
          <w:szCs w:val="16"/>
        </w:rPr>
        <w:t>Fig. 10. Processing pipeline of the Bayesian cost-forecasting system.</w:t>
      </w:r>
    </w:p>
    <w:p>
      <w:pPr>
        <w:pStyle w:val="Heading2"/>
        <w:rPr/>
      </w:pPr>
      <w:r>
        <w:rPr/>
        <w:t>B. Software Environment</w:t>
      </w:r>
    </w:p>
    <w:p>
      <w:pPr>
        <w:pStyle w:val="Normal"/>
        <w:spacing w:lineRule="auto" w:line="228" w:before="0" w:after="50"/>
        <w:ind w:firstLine="240"/>
        <w:jc w:val="both"/>
        <w:rPr/>
      </w:pPr>
      <w:r>
        <w:rPr/>
        <w:t>pandas and NumPy handle data and numerical work; SciPy provides the grid posterior and the Beta and Student-t distributions; PyMC 6.3.1 [10] defines and samples the models with NUTS through the nutpie backend; ArviZ 1.3.0 [14] produces posterior summaries and diagnostics; and Matplotlib and Seaborn produce the figures.</w:t>
      </w:r>
    </w:p>
    <w:p>
      <w:pPr>
        <w:pStyle w:val="Heading2"/>
        <w:rPr/>
      </w:pPr>
      <w:r>
        <w:rPr/>
        <w:t>C. Data Loading and Preparation</w:t>
      </w:r>
    </w:p>
    <w:p>
      <w:pPr>
        <w:pStyle w:val="Normal"/>
        <w:spacing w:lineRule="auto" w:line="228" w:before="0" w:after="50"/>
        <w:ind w:firstLine="240"/>
        <w:jc w:val="both"/>
        <w:rPr/>
      </w:pPr>
      <w:r>
        <w:rPr/>
        <w:t>The Excel dataset is loaded, the 15 columns are renamed and integrity checks are run (no missing values; cost equals usage × price; fixed INR/USD rate of 83). Records are then aggregated to daily totals, restricted to full days, converted to $ thousands and standardised, and the 25 service categories are coded and the log cost prepared for Model 2.</w:t>
      </w:r>
    </w:p>
    <w:p>
      <w:pPr>
        <w:pStyle w:val="Heading2"/>
        <w:rPr/>
      </w:pPr>
      <w:r>
        <w:rPr/>
        <w:t>D. Sampling and Forecasting</w:t>
      </w:r>
    </w:p>
    <w:p>
      <w:pPr>
        <w:pStyle w:val="Normal"/>
        <w:spacing w:lineRule="auto" w:line="228" w:before="0" w:after="50"/>
        <w:ind w:firstLine="240"/>
        <w:jc w:val="both"/>
        <w:rPr/>
      </w:pPr>
      <w:r>
        <w:rPr/>
        <w:t>Both models use the same sampler settings: 4 chains, 1,000 tuning draws and 1,000 posterior draws per chain (4,000 posterior draws in total) and target_accept = 0.9, with non-centred day-of-week and service effects. After sampling, posterior predictive samples were drawn and pointwise log-likelihoods stored for possible model comparison. Algorithm 1 summarises fitting and forecasting, and Algorithm 2 the optimization scenarios.</w:t>
      </w:r>
    </w:p>
    <w:p>
      <w:pPr>
        <w:pStyle w:val="Normal"/>
        <w:keepNext w:val="true"/>
        <w:spacing w:before="80" w:after="20"/>
        <w:rPr/>
      </w:pPr>
      <w:r>
        <w:rPr>
          <w:b/>
          <w:bCs/>
          <w:sz w:val="16"/>
          <w:szCs w:val="16"/>
        </w:rPr>
        <w:t>Algorithm 1: FIT-AND-FORECAST(D, B)</w:t>
      </w:r>
    </w:p>
    <w:tbl>
      <w:tblPr>
        <w:tblW w:w="4860" w:type="dxa"/>
        <w:jc w:val="start"/>
        <w:tblInd w:w="0" w:type="dxa"/>
        <w:tblLayout w:type="fixed"/>
        <w:tblCellMar>
          <w:top w:w="40" w:type="dxa"/>
          <w:start w:w="80" w:type="dxa"/>
          <w:bottom w:w="40" w:type="dxa"/>
          <w:end w:w="60" w:type="dxa"/>
        </w:tblCellMar>
        <w:tblLook w:val="0000" w:firstRow="0" w:noVBand="0" w:lastRow="0" w:firstColumn="0" w:lastColumn="0" w:noHBand="0"/>
      </w:tblPr>
      <w:tblGrid>
        <w:gridCol w:w="4860"/>
      </w:tblGrid>
      <w:tr>
        <w:trPr>
          <w:cantSplit/>
        </w:trPr>
        <w:tc>
          <w:tcPr>
            <w:tcW w:w="4860" w:type="dxa"/>
            <w:tcBorders>
              <w:top w:val="single" w:sz="6" w:space="0" w:color="000000"/>
              <w:start w:val="single" w:sz="6" w:space="0" w:color="000000"/>
              <w:bottom w:val="single" w:sz="6" w:space="0" w:color="000000"/>
              <w:end w:val="single" w:sz="6" w:space="0" w:color="000000"/>
            </w:tcBorders>
          </w:tcPr>
          <w:p>
            <w:pPr>
              <w:pStyle w:val="Normal"/>
              <w:rPr/>
            </w:pPr>
            <w:r>
              <w:rPr>
                <w:rFonts w:eastAsia="Courier New" w:cs="Courier New" w:ascii="Courier New" w:hAnsi="Courier New"/>
                <w:sz w:val="13"/>
                <w:szCs w:val="13"/>
              </w:rPr>
              <w:t xml:space="preserve"> </w:t>
            </w:r>
            <w:r>
              <w:rPr>
                <w:rFonts w:eastAsia="Courier New" w:cs="Courier New" w:ascii="Courier New" w:hAnsi="Courier New"/>
                <w:sz w:val="13"/>
                <w:szCs w:val="13"/>
              </w:rPr>
              <w:t>1 y &lt;- daily_totals(D); drop partial days</w:t>
            </w:r>
          </w:p>
          <w:p>
            <w:pPr>
              <w:pStyle w:val="Normal"/>
              <w:rPr/>
            </w:pPr>
            <w:r>
              <w:rPr>
                <w:rFonts w:eastAsia="Courier New" w:cs="Courier New" w:ascii="Courier New" w:hAnsi="Courier New"/>
                <w:sz w:val="13"/>
                <w:szCs w:val="13"/>
              </w:rPr>
              <w:t xml:space="preserve"> </w:t>
            </w:r>
            <w:r>
              <w:rPr>
                <w:rFonts w:eastAsia="Courier New" w:cs="Courier New" w:ascii="Courier New" w:hAnsi="Courier New"/>
                <w:sz w:val="13"/>
                <w:szCs w:val="13"/>
              </w:rPr>
              <w:t>2 z &lt;- (y - mean(y)) / sd(y)      # $ thousands</w:t>
            </w:r>
          </w:p>
          <w:p>
            <w:pPr>
              <w:pStyle w:val="Normal"/>
              <w:rPr/>
            </w:pPr>
            <w:r>
              <w:rPr>
                <w:rFonts w:eastAsia="Courier New" w:cs="Courier New" w:ascii="Courier New" w:hAnsi="Courier New"/>
                <w:sz w:val="13"/>
                <w:szCs w:val="13"/>
              </w:rPr>
              <w:t xml:space="preserve"> </w:t>
            </w:r>
            <w:r>
              <w:rPr>
                <w:rFonts w:eastAsia="Courier New" w:cs="Courier New" w:ascii="Courier New" w:hAnsi="Courier New"/>
                <w:sz w:val="13"/>
                <w:szCs w:val="13"/>
              </w:rPr>
              <w:t>3 post1 &lt;- NUTS(Model1(z))        # 4 x 1,000</w:t>
            </w:r>
          </w:p>
          <w:p>
            <w:pPr>
              <w:pStyle w:val="Normal"/>
              <w:rPr/>
            </w:pPr>
            <w:r>
              <w:rPr>
                <w:rFonts w:eastAsia="Courier New" w:cs="Courier New" w:ascii="Courier New" w:hAnsi="Courier New"/>
                <w:sz w:val="13"/>
                <w:szCs w:val="13"/>
              </w:rPr>
              <w:t xml:space="preserve"> </w:t>
            </w:r>
            <w:r>
              <w:rPr>
                <w:rFonts w:eastAsia="Courier New" w:cs="Courier New" w:ascii="Courier New" w:hAnsi="Courier New"/>
                <w:sz w:val="13"/>
                <w:szCs w:val="13"/>
              </w:rPr>
              <w:t>4 post2 &lt;- NUTS(Model2(log cost, service))</w:t>
            </w:r>
          </w:p>
          <w:p>
            <w:pPr>
              <w:pStyle w:val="Normal"/>
              <w:rPr/>
            </w:pPr>
            <w:r>
              <w:rPr>
                <w:rFonts w:eastAsia="Courier New" w:cs="Courier New" w:ascii="Courier New" w:hAnsi="Courier New"/>
                <w:sz w:val="13"/>
                <w:szCs w:val="13"/>
              </w:rPr>
              <w:t xml:space="preserve"> </w:t>
            </w:r>
            <w:r>
              <w:rPr>
                <w:rFonts w:eastAsia="Courier New" w:cs="Courier New" w:ascii="Courier New" w:hAnsi="Courier New"/>
                <w:sz w:val="13"/>
                <w:szCs w:val="13"/>
              </w:rPr>
              <w:t>5 check R-hat, ESS, divergences, BFMI, PPC</w:t>
            </w:r>
          </w:p>
          <w:p>
            <w:pPr>
              <w:pStyle w:val="Normal"/>
              <w:rPr/>
            </w:pPr>
            <w:r>
              <w:rPr>
                <w:rFonts w:eastAsia="Courier New" w:cs="Courier New" w:ascii="Courier New" w:hAnsi="Courier New"/>
                <w:sz w:val="13"/>
                <w:szCs w:val="13"/>
              </w:rPr>
              <w:t xml:space="preserve"> </w:t>
            </w:r>
            <w:r>
              <w:rPr>
                <w:rFonts w:eastAsia="Courier New" w:cs="Courier New" w:ascii="Courier New" w:hAnsi="Courier New"/>
                <w:sz w:val="13"/>
                <w:szCs w:val="13"/>
              </w:rPr>
              <w:t>6 for each draw m in post1 (M = 4,000):</w:t>
            </w:r>
          </w:p>
          <w:p>
            <w:pPr>
              <w:pStyle w:val="Normal"/>
              <w:rPr/>
            </w:pPr>
            <w:r>
              <w:rPr>
                <w:rFonts w:eastAsia="Courier New" w:cs="Courier New" w:ascii="Courier New" w:hAnsi="Courier New"/>
                <w:sz w:val="13"/>
                <w:szCs w:val="13"/>
              </w:rPr>
              <w:t xml:space="preserve"> </w:t>
            </w:r>
            <w:r>
              <w:rPr>
                <w:rFonts w:eastAsia="Courier New" w:cs="Courier New" w:ascii="Courier New" w:hAnsi="Courier New"/>
                <w:sz w:val="13"/>
                <w:szCs w:val="13"/>
              </w:rPr>
              <w:t>7   for t* in 1..30: simulate c[m,t*] (Eqs. 10-11)</w:t>
            </w:r>
          </w:p>
          <w:p>
            <w:pPr>
              <w:pStyle w:val="Normal"/>
              <w:rPr/>
            </w:pPr>
            <w:r>
              <w:rPr>
                <w:rFonts w:eastAsia="Courier New" w:cs="Courier New" w:ascii="Courier New" w:hAnsi="Courier New"/>
                <w:sz w:val="13"/>
                <w:szCs w:val="13"/>
              </w:rPr>
              <w:t xml:space="preserve"> </w:t>
            </w:r>
            <w:r>
              <w:rPr>
                <w:rFonts w:eastAsia="Courier New" w:cs="Courier New" w:ascii="Courier New" w:hAnsi="Courier New"/>
                <w:sz w:val="13"/>
                <w:szCs w:val="13"/>
              </w:rPr>
              <w:t>8   S[m] &lt;- sum over t* of c[m,t*]</w:t>
            </w:r>
          </w:p>
          <w:p>
            <w:pPr>
              <w:pStyle w:val="Normal"/>
              <w:rPr/>
            </w:pPr>
            <w:r>
              <w:rPr>
                <w:rFonts w:eastAsia="Courier New" w:cs="Courier New" w:ascii="Courier New" w:hAnsi="Courier New"/>
                <w:sz w:val="13"/>
                <w:szCs w:val="13"/>
              </w:rPr>
              <w:t xml:space="preserve"> </w:t>
            </w:r>
            <w:r>
              <w:rPr>
                <w:rFonts w:eastAsia="Courier New" w:cs="Courier New" w:ascii="Courier New" w:hAnsi="Courier New"/>
                <w:sz w:val="13"/>
                <w:szCs w:val="13"/>
              </w:rPr>
              <w:t>9 return median(S), interval(S), mean(S &gt; B)</w:t>
            </w:r>
          </w:p>
        </w:tc>
      </w:tr>
    </w:tbl>
    <w:p>
      <w:pPr>
        <w:pStyle w:val="Normal"/>
        <w:spacing w:before="0" w:after="60"/>
        <w:rPr/>
      </w:pPr>
      <w:r>
        <w:rPr/>
      </w:r>
    </w:p>
    <w:p>
      <w:pPr>
        <w:pStyle w:val="Normal"/>
        <w:keepNext w:val="true"/>
        <w:spacing w:before="80" w:after="20"/>
        <w:rPr/>
      </w:pPr>
      <w:r>
        <w:rPr>
          <w:b/>
          <w:bCs/>
          <w:sz w:val="16"/>
          <w:szCs w:val="16"/>
        </w:rPr>
        <w:t>Algorithm 2: IDLE-SCENARIOS(D, S_med)</w:t>
      </w:r>
    </w:p>
    <w:tbl>
      <w:tblPr>
        <w:tblW w:w="4860" w:type="dxa"/>
        <w:jc w:val="start"/>
        <w:tblInd w:w="0" w:type="dxa"/>
        <w:tblLayout w:type="fixed"/>
        <w:tblCellMar>
          <w:top w:w="40" w:type="dxa"/>
          <w:start w:w="80" w:type="dxa"/>
          <w:bottom w:w="40" w:type="dxa"/>
          <w:end w:w="60" w:type="dxa"/>
        </w:tblCellMar>
        <w:tblLook w:val="0000" w:firstRow="0" w:noVBand="0" w:lastRow="0" w:firstColumn="0" w:lastColumn="0" w:noHBand="0"/>
      </w:tblPr>
      <w:tblGrid>
        <w:gridCol w:w="4860"/>
      </w:tblGrid>
      <w:tr>
        <w:trPr>
          <w:cantSplit/>
        </w:trPr>
        <w:tc>
          <w:tcPr>
            <w:tcW w:w="4860" w:type="dxa"/>
            <w:tcBorders>
              <w:top w:val="single" w:sz="6" w:space="0" w:color="000000"/>
              <w:start w:val="single" w:sz="6" w:space="0" w:color="000000"/>
              <w:bottom w:val="single" w:sz="6" w:space="0" w:color="000000"/>
              <w:end w:val="single" w:sz="6" w:space="0" w:color="000000"/>
            </w:tcBorders>
          </w:tcPr>
          <w:p>
            <w:pPr>
              <w:pStyle w:val="Normal"/>
              <w:rPr/>
            </w:pPr>
            <w:r>
              <w:rPr>
                <w:rFonts w:eastAsia="Courier New" w:cs="Courier New" w:ascii="Courier New" w:hAnsi="Courier New"/>
                <w:sz w:val="13"/>
                <w:szCs w:val="13"/>
              </w:rPr>
              <w:t xml:space="preserve"> </w:t>
            </w:r>
            <w:r>
              <w:rPr>
                <w:rFonts w:eastAsia="Courier New" w:cs="Courier New" w:ascii="Courier New" w:hAnsi="Courier New"/>
                <w:sz w:val="13"/>
                <w:szCs w:val="13"/>
              </w:rPr>
              <w:t>1 idle &lt;- {r : cpu(r) &lt; 20 and mem(r) &lt; 20}</w:t>
            </w:r>
          </w:p>
          <w:p>
            <w:pPr>
              <w:pStyle w:val="Normal"/>
              <w:rPr/>
            </w:pPr>
            <w:r>
              <w:rPr>
                <w:rFonts w:eastAsia="Courier New" w:cs="Courier New" w:ascii="Courier New" w:hAnsi="Courier New"/>
                <w:sz w:val="13"/>
                <w:szCs w:val="13"/>
              </w:rPr>
              <w:t xml:space="preserve"> </w:t>
            </w:r>
            <w:r>
              <w:rPr>
                <w:rFonts w:eastAsia="Courier New" w:cs="Courier New" w:ascii="Courier New" w:hAnsi="Courier New"/>
                <w:sz w:val="13"/>
                <w:szCs w:val="13"/>
              </w:rPr>
              <w:t>2 s &lt;- cost(idle) / cost(all)</w:t>
            </w:r>
          </w:p>
          <w:p>
            <w:pPr>
              <w:pStyle w:val="Normal"/>
              <w:rPr/>
            </w:pPr>
            <w:r>
              <w:rPr>
                <w:rFonts w:eastAsia="Courier New" w:cs="Courier New" w:ascii="Courier New" w:hAnsi="Courier New"/>
                <w:sz w:val="13"/>
                <w:szCs w:val="13"/>
              </w:rPr>
              <w:t xml:space="preserve"> </w:t>
            </w:r>
            <w:r>
              <w:rPr>
                <w:rFonts w:eastAsia="Courier New" w:cs="Courier New" w:ascii="Courier New" w:hAnsi="Courier New"/>
                <w:sz w:val="13"/>
                <w:szCs w:val="13"/>
              </w:rPr>
              <w:t>3 for f in {0, 0.5, 1}:</w:t>
            </w:r>
          </w:p>
          <w:p>
            <w:pPr>
              <w:pStyle w:val="Normal"/>
              <w:rPr/>
            </w:pPr>
            <w:r>
              <w:rPr>
                <w:rFonts w:eastAsia="Courier New" w:cs="Courier New" w:ascii="Courier New" w:hAnsi="Courier New"/>
                <w:sz w:val="13"/>
                <w:szCs w:val="13"/>
              </w:rPr>
              <w:t xml:space="preserve"> </w:t>
            </w:r>
            <w:r>
              <w:rPr>
                <w:rFonts w:eastAsia="Courier New" w:cs="Courier New" w:ascii="Courier New" w:hAnsi="Courier New"/>
                <w:sz w:val="13"/>
                <w:szCs w:val="13"/>
              </w:rPr>
              <w:t>4   savings[f] &lt;- f * s * S_med</w:t>
            </w:r>
          </w:p>
          <w:p>
            <w:pPr>
              <w:pStyle w:val="Normal"/>
              <w:rPr/>
            </w:pPr>
            <w:r>
              <w:rPr>
                <w:rFonts w:eastAsia="Courier New" w:cs="Courier New" w:ascii="Courier New" w:hAnsi="Courier New"/>
                <w:sz w:val="13"/>
                <w:szCs w:val="13"/>
              </w:rPr>
              <w:t xml:space="preserve"> </w:t>
            </w:r>
            <w:r>
              <w:rPr>
                <w:rFonts w:eastAsia="Courier New" w:cs="Courier New" w:ascii="Courier New" w:hAnsi="Courier New"/>
                <w:sz w:val="13"/>
                <w:szCs w:val="13"/>
              </w:rPr>
              <w:t>5 return savings</w:t>
            </w:r>
          </w:p>
        </w:tc>
      </w:tr>
    </w:tbl>
    <w:p>
      <w:pPr>
        <w:pStyle w:val="Normal"/>
        <w:spacing w:before="0" w:after="60"/>
        <w:rPr/>
      </w:pPr>
      <w:r>
        <w:rPr/>
      </w:r>
    </w:p>
    <w:p>
      <w:pPr>
        <w:pStyle w:val="Heading1"/>
        <w:rPr/>
      </w:pPr>
      <w:r>
        <w:rPr/>
        <w:t>VII. EXPERIMENTAL SETUP</w:t>
      </w:r>
    </w:p>
    <w:p>
      <w:pPr>
        <w:pStyle w:val="Heading2"/>
        <w:rPr/>
      </w:pPr>
      <w:r>
        <w:rPr/>
        <w:t>A. Convergence and Model Checking</w:t>
      </w:r>
    </w:p>
    <w:p>
      <w:pPr>
        <w:pStyle w:val="Normal"/>
        <w:spacing w:lineRule="auto" w:line="228" w:before="0" w:after="50"/>
        <w:ind w:firstLine="240"/>
        <w:jc w:val="both"/>
        <w:rPr/>
      </w:pPr>
      <w:r>
        <w:rPr/>
        <w:t>Sampling quality is judged by the rank-normalised R-hat [15] (target &lt; 1.01), the bulk and tail effective sample size, ESS (target &gt; 400), the number of divergent transitions (target 0) and the Bayesian fraction of missing information, BFMI (target &gt; 0.3 per chain). The fit is checked by comparing posterior predictive samples with the observed data.</w:t>
      </w:r>
    </w:p>
    <w:p>
      <w:pPr>
        <w:pStyle w:val="Heading2"/>
        <w:rPr/>
      </w:pPr>
      <w:r>
        <w:rPr/>
        <w:t>B. Held-Out Evaluation</w:t>
      </w:r>
    </w:p>
    <w:p>
      <w:pPr>
        <w:pStyle w:val="Normal"/>
        <w:spacing w:lineRule="auto" w:line="228" w:before="0" w:after="50"/>
        <w:ind w:firstLine="240"/>
        <w:jc w:val="both"/>
        <w:rPr/>
      </w:pPr>
      <w:r>
        <w:rPr/>
        <w:t>To compare forecasting accuracy, the same 59-day daily series was split chronologically 80/20 (Table VIII): the first 47 days are used for training and the final 12 days are the test period. The Bayesian model in this comparison has the same structure as Model 1 (Student-t likelihood, linear trend, day-of-week effects) but was estimated on the training days only. The full-data posterior used for the 30-day forecast was not used to compute the held-out metrics, so the test days did not leak into the estimation.</w:t>
      </w:r>
    </w:p>
    <w:p>
      <w:pPr>
        <w:pStyle w:val="Normal"/>
        <w:keepNext w:val="true"/>
        <w:spacing w:before="100" w:after="0"/>
        <w:jc w:val="center"/>
        <w:rPr/>
      </w:pPr>
      <w:r>
        <w:rPr>
          <w:sz w:val="16"/>
          <w:szCs w:val="16"/>
        </w:rPr>
        <w:t>TABLE VIII</w:t>
      </w:r>
    </w:p>
    <w:p>
      <w:pPr>
        <w:pStyle w:val="Normal"/>
        <w:keepNext w:val="true"/>
        <w:spacing w:before="0" w:after="40"/>
        <w:jc w:val="center"/>
        <w:rPr/>
      </w:pPr>
      <w:r>
        <w:rPr>
          <w:sz w:val="16"/>
          <w:szCs w:val="16"/>
        </w:rPr>
        <w:t>CHRONOLOGICAL TRAIN/TEST SPLIT</w:t>
      </w:r>
    </w:p>
    <w:tbl>
      <w:tblPr>
        <w:tblW w:w="4860" w:type="dxa"/>
        <w:jc w:val="start"/>
        <w:tblInd w:w="0" w:type="dxa"/>
        <w:tblLayout w:type="fixed"/>
        <w:tblCellMar>
          <w:top w:w="18" w:type="dxa"/>
          <w:start w:w="45" w:type="dxa"/>
          <w:bottom w:w="18" w:type="dxa"/>
          <w:end w:w="45" w:type="dxa"/>
        </w:tblCellMar>
        <w:tblLook w:val="0000" w:firstRow="0" w:noVBand="0" w:lastRow="0" w:firstColumn="0" w:lastColumn="0" w:noHBand="0"/>
      </w:tblPr>
      <w:tblGrid>
        <w:gridCol w:w="1197"/>
        <w:gridCol w:w="800"/>
        <w:gridCol w:w="2863"/>
      </w:tblGrid>
      <w:tr>
        <w:trPr>
          <w:tblHeader w:val="true"/>
          <w:cantSplit/>
        </w:trPr>
        <w:tc>
          <w:tcPr>
            <w:tcW w:w="1197" w:type="dxa"/>
            <w:tcBorders>
              <w:top w:val="single" w:sz="8" w:space="0" w:color="000000"/>
              <w:bottom w:val="single" w:sz="4" w:space="0" w:color="000000"/>
            </w:tcBorders>
            <w:vAlign w:val="center"/>
          </w:tcPr>
          <w:p>
            <w:pPr>
              <w:pStyle w:val="Normal"/>
              <w:rPr/>
            </w:pPr>
            <w:r>
              <w:rPr>
                <w:b/>
                <w:bCs/>
                <w:sz w:val="15"/>
                <w:szCs w:val="15"/>
              </w:rPr>
              <w:t>Set</w:t>
            </w:r>
          </w:p>
        </w:tc>
        <w:tc>
          <w:tcPr>
            <w:tcW w:w="800" w:type="dxa"/>
            <w:tcBorders>
              <w:top w:val="single" w:sz="8" w:space="0" w:color="000000"/>
              <w:bottom w:val="single" w:sz="4" w:space="0" w:color="000000"/>
            </w:tcBorders>
            <w:vAlign w:val="center"/>
          </w:tcPr>
          <w:p>
            <w:pPr>
              <w:pStyle w:val="Normal"/>
              <w:jc w:val="center"/>
              <w:rPr/>
            </w:pPr>
            <w:r>
              <w:rPr>
                <w:b/>
                <w:bCs/>
                <w:sz w:val="15"/>
                <w:szCs w:val="15"/>
              </w:rPr>
              <w:t>Days</w:t>
            </w:r>
          </w:p>
        </w:tc>
        <w:tc>
          <w:tcPr>
            <w:tcW w:w="2863" w:type="dxa"/>
            <w:tcBorders>
              <w:top w:val="single" w:sz="8" w:space="0" w:color="000000"/>
              <w:bottom w:val="single" w:sz="4" w:space="0" w:color="000000"/>
            </w:tcBorders>
            <w:vAlign w:val="center"/>
          </w:tcPr>
          <w:p>
            <w:pPr>
              <w:pStyle w:val="Normal"/>
              <w:rPr/>
            </w:pPr>
            <w:r>
              <w:rPr>
                <w:b/>
                <w:bCs/>
                <w:sz w:val="15"/>
                <w:szCs w:val="15"/>
              </w:rPr>
              <w:t>Period</w:t>
            </w:r>
          </w:p>
        </w:tc>
      </w:tr>
      <w:tr>
        <w:trPr>
          <w:cantSplit/>
        </w:trPr>
        <w:tc>
          <w:tcPr>
            <w:tcW w:w="1197" w:type="dxa"/>
            <w:tcBorders/>
            <w:vAlign w:val="center"/>
          </w:tcPr>
          <w:p>
            <w:pPr>
              <w:pStyle w:val="Normal"/>
              <w:rPr/>
            </w:pPr>
            <w:r>
              <w:rPr>
                <w:sz w:val="15"/>
                <w:szCs w:val="15"/>
              </w:rPr>
              <w:t>Training (80%)</w:t>
            </w:r>
          </w:p>
        </w:tc>
        <w:tc>
          <w:tcPr>
            <w:tcW w:w="800" w:type="dxa"/>
            <w:tcBorders/>
            <w:vAlign w:val="center"/>
          </w:tcPr>
          <w:p>
            <w:pPr>
              <w:pStyle w:val="Normal"/>
              <w:jc w:val="end"/>
              <w:rPr/>
            </w:pPr>
            <w:r>
              <w:rPr>
                <w:sz w:val="15"/>
                <w:szCs w:val="15"/>
              </w:rPr>
              <w:t>47</w:t>
            </w:r>
          </w:p>
        </w:tc>
        <w:tc>
          <w:tcPr>
            <w:tcW w:w="2863" w:type="dxa"/>
            <w:tcBorders/>
            <w:vAlign w:val="center"/>
          </w:tcPr>
          <w:p>
            <w:pPr>
              <w:pStyle w:val="Normal"/>
              <w:rPr/>
            </w:pPr>
            <w:r>
              <w:rPr>
                <w:sz w:val="15"/>
                <w:szCs w:val="15"/>
              </w:rPr>
              <w:t>1 Jul – 16 Aug 2024</w:t>
            </w:r>
          </w:p>
        </w:tc>
      </w:tr>
      <w:tr>
        <w:trPr>
          <w:cantSplit/>
        </w:trPr>
        <w:tc>
          <w:tcPr>
            <w:tcW w:w="1197" w:type="dxa"/>
            <w:tcBorders>
              <w:bottom w:val="single" w:sz="8" w:space="0" w:color="000000"/>
            </w:tcBorders>
            <w:vAlign w:val="center"/>
          </w:tcPr>
          <w:p>
            <w:pPr>
              <w:pStyle w:val="Normal"/>
              <w:rPr/>
            </w:pPr>
            <w:r>
              <w:rPr>
                <w:sz w:val="15"/>
                <w:szCs w:val="15"/>
              </w:rPr>
              <w:t>Test (20%)</w:t>
            </w:r>
          </w:p>
        </w:tc>
        <w:tc>
          <w:tcPr>
            <w:tcW w:w="800" w:type="dxa"/>
            <w:tcBorders>
              <w:bottom w:val="single" w:sz="8" w:space="0" w:color="000000"/>
            </w:tcBorders>
            <w:vAlign w:val="center"/>
          </w:tcPr>
          <w:p>
            <w:pPr>
              <w:pStyle w:val="Normal"/>
              <w:jc w:val="end"/>
              <w:rPr/>
            </w:pPr>
            <w:r>
              <w:rPr>
                <w:sz w:val="15"/>
                <w:szCs w:val="15"/>
              </w:rPr>
              <w:t>12</w:t>
            </w:r>
          </w:p>
        </w:tc>
        <w:tc>
          <w:tcPr>
            <w:tcW w:w="2863" w:type="dxa"/>
            <w:tcBorders>
              <w:bottom w:val="single" w:sz="8" w:space="0" w:color="000000"/>
            </w:tcBorders>
            <w:vAlign w:val="center"/>
          </w:tcPr>
          <w:p>
            <w:pPr>
              <w:pStyle w:val="Normal"/>
              <w:rPr/>
            </w:pPr>
            <w:r>
              <w:rPr>
                <w:sz w:val="15"/>
                <w:szCs w:val="15"/>
              </w:rPr>
              <w:t>17 – 28 Aug 2024</w:t>
            </w:r>
          </w:p>
        </w:tc>
      </w:tr>
    </w:tbl>
    <w:p>
      <w:pPr>
        <w:pStyle w:val="Normal"/>
        <w:spacing w:before="0" w:after="60"/>
        <w:rPr/>
      </w:pPr>
      <w:r>
        <w:rPr/>
      </w:r>
    </w:p>
    <w:p>
      <w:pPr>
        <w:pStyle w:val="Heading2"/>
        <w:rPr/>
      </w:pPr>
      <w:r>
        <w:rPr/>
        <w:t>C. Baselines</w:t>
      </w:r>
    </w:p>
    <w:p>
      <w:pPr>
        <w:pStyle w:val="Normal"/>
        <w:spacing w:lineRule="auto" w:line="228" w:before="0" w:after="50"/>
        <w:ind w:firstLine="240"/>
        <w:jc w:val="both"/>
        <w:rPr/>
      </w:pPr>
      <w:r>
        <w:rPr/>
        <w:t>Two conventional baselines are used: ARIMA(1,1,3) [5] and a 7-day moving average. All three methods predict the same 12 held-out days.</w:t>
      </w:r>
    </w:p>
    <w:p>
      <w:pPr>
        <w:pStyle w:val="Heading2"/>
        <w:rPr/>
      </w:pPr>
      <w:r>
        <w:rPr/>
        <w:t>D. Evaluation Metrics</w:t>
      </w:r>
    </w:p>
    <w:p>
      <w:pPr>
        <w:pStyle w:val="Normal"/>
        <w:keepNext w:val="true"/>
        <w:spacing w:lineRule="auto" w:line="228" w:before="0" w:after="50"/>
        <w:ind w:firstLine="240"/>
        <w:jc w:val="both"/>
        <w:rPr/>
      </w:pPr>
      <w:r>
        <w:rPr/>
        <w:t>Accuracy is measured with the mean absolute error (MAE) and the root mean square error (RMSE) [16]:</w:t>
      </w:r>
    </w:p>
    <w:p>
      <w:pPr>
        <w:pStyle w:val="Normal"/>
        <w:keepLines/>
        <w:tabs>
          <w:tab w:val="clear" w:pos="720"/>
          <w:tab w:val="center" w:pos="2250" w:leader="none"/>
          <w:tab w:val="right" w:pos="4860" w:leader="none"/>
        </w:tabs>
        <w:spacing w:before="40" w:after="40"/>
        <w:rPr/>
      </w:pPr>
      <w:r>
        <w:rPr/>
        <w:tab/>
      </w:r>
      <w:r>
        <w:rPr/>
        <w:drawing>
          <wp:inline distT="0" distB="0" distL="0" distR="0">
            <wp:extent cx="1085850" cy="361950"/>
            <wp:effectExtent l="0" t="0" r="0" b="0"/>
            <wp:docPr id="26" name="Equation 15" descr="Equation 15" title="Equatio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Equation 15" descr="Equation 15" title="Equation 15"/>
                    <pic:cNvPicPr>
                      <a:picLocks noChangeAspect="1" noChangeArrowheads="1"/>
                    </pic:cNvPicPr>
                  </pic:nvPicPr>
                  <pic:blipFill>
                    <a:blip r:embed="rId27"/>
                    <a:stretch>
                      <a:fillRect/>
                    </a:stretch>
                  </pic:blipFill>
                  <pic:spPr bwMode="auto">
                    <a:xfrm>
                      <a:off x="0" y="0"/>
                      <a:ext cx="1085850" cy="361950"/>
                    </a:xfrm>
                    <a:prstGeom prst="rect">
                      <a:avLst/>
                    </a:prstGeom>
                    <a:noFill/>
                  </pic:spPr>
                </pic:pic>
              </a:graphicData>
            </a:graphic>
          </wp:inline>
        </w:drawing>
      </w:r>
      <w:r>
        <w:rPr/>
        <w:tab/>
        <w:t>(15)</w:t>
      </w:r>
    </w:p>
    <w:p>
      <w:pPr>
        <w:pStyle w:val="Normal"/>
        <w:keepLines/>
        <w:tabs>
          <w:tab w:val="clear" w:pos="720"/>
          <w:tab w:val="center" w:pos="2250" w:leader="none"/>
          <w:tab w:val="right" w:pos="4860" w:leader="none"/>
        </w:tabs>
        <w:spacing w:before="40" w:after="40"/>
        <w:rPr/>
      </w:pPr>
      <w:r>
        <w:rPr/>
        <w:tab/>
      </w:r>
      <w:r>
        <w:rPr/>
        <w:drawing>
          <wp:inline distT="0" distB="0" distL="0" distR="0">
            <wp:extent cx="1419225" cy="409575"/>
            <wp:effectExtent l="0" t="0" r="0" b="0"/>
            <wp:docPr id="27" name="Equation 16" descr="Equation 16" title="Equatio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quation 16" descr="Equation 16" title="Equation 16"/>
                    <pic:cNvPicPr>
                      <a:picLocks noChangeAspect="1" noChangeArrowheads="1"/>
                    </pic:cNvPicPr>
                  </pic:nvPicPr>
                  <pic:blipFill>
                    <a:blip r:embed="rId28"/>
                    <a:stretch>
                      <a:fillRect/>
                    </a:stretch>
                  </pic:blipFill>
                  <pic:spPr bwMode="auto">
                    <a:xfrm>
                      <a:off x="0" y="0"/>
                      <a:ext cx="1419225" cy="409575"/>
                    </a:xfrm>
                    <a:prstGeom prst="rect">
                      <a:avLst/>
                    </a:prstGeom>
                    <a:noFill/>
                  </pic:spPr>
                </pic:pic>
              </a:graphicData>
            </a:graphic>
          </wp:inline>
        </w:drawing>
      </w:r>
      <w:r>
        <w:rPr/>
        <w:tab/>
        <w:t>(16)</w:t>
      </w:r>
    </w:p>
    <w:p>
      <w:pPr>
        <w:pStyle w:val="Normal"/>
        <w:spacing w:lineRule="auto" w:line="228" w:before="0" w:after="50"/>
        <w:jc w:val="both"/>
        <w:rPr/>
      </w:pPr>
      <w:r>
        <w:rPr/>
        <w:t>where y</w:t>
      </w:r>
      <w:r>
        <w:rPr>
          <w:vertAlign w:val="subscript"/>
        </w:rPr>
        <w:t>t</w:t>
      </w:r>
      <w:r>
        <w:rPr/>
        <w:t xml:space="preserve"> is the actual and ŷ</w:t>
      </w:r>
      <w:r>
        <w:rPr>
          <w:vertAlign w:val="subscript"/>
        </w:rPr>
        <w:t>t</w:t>
      </w:r>
      <w:r>
        <w:rPr/>
        <w:t xml:space="preserve"> the predicted daily cost and n = 12. Both are in USD, and lower values indicate better accuracy. RMSE gives more weight to large errors. These point metrics do not assess the credible intervals and exceedance probabilities of the Bayesian model.</w:t>
      </w:r>
    </w:p>
    <w:p>
      <w:pPr>
        <w:pStyle w:val="Heading1"/>
        <w:rPr/>
      </w:pPr>
      <w:r>
        <w:rPr/>
        <w:t>VIII. RESULTS AND DISCUSSION</w:t>
      </w:r>
    </w:p>
    <w:p>
      <w:pPr>
        <w:pStyle w:val="Heading2"/>
        <w:rPr/>
      </w:pPr>
      <w:r>
        <w:rPr/>
        <w:t>A. Model 1: Daily Cost Trend</w:t>
      </w:r>
    </w:p>
    <w:p>
      <w:pPr>
        <w:pStyle w:val="Normal"/>
        <w:spacing w:lineRule="auto" w:line="228" w:before="0" w:after="50"/>
        <w:ind w:firstLine="240"/>
        <w:jc w:val="both"/>
        <w:rPr/>
      </w:pPr>
      <w:r>
        <w:rPr/>
        <w:t>Table IX gives the posterior summary on the standardised scale (94% equal-tailed intervals, 4 chains × 1,000 draws), and Fig. 11 shows the posterior distributions. The posterior of β lies almost entirely below zero, with P(β &gt; 0 | Data) = 0.01. In dollars, the implied change in daily cost over the 59-day window has a median of about −$11.6k (94% interval −$21.1k to −$2.2k): within this dataset daily spend was falling, not rising. The noise scale σ ≈ 0.92 shows that a large amount of day-to-day variation remains after accounting for trend and weekday. The posterior mean of ν is 23.5 with a wide interval (5.9 to 56); values above about 30 make a Student-t practically Normal, so the data do not demand heavy tails, which is consistent with the nearly equal Normal and Student-t log-likelihoods.</w:t>
      </w:r>
    </w:p>
    <w:p>
      <w:pPr>
        <w:pStyle w:val="Normal"/>
        <w:keepNext w:val="true"/>
        <w:spacing w:before="100" w:after="0"/>
        <w:jc w:val="center"/>
        <w:rPr/>
      </w:pPr>
      <w:r>
        <w:rPr>
          <w:sz w:val="16"/>
          <w:szCs w:val="16"/>
        </w:rPr>
        <w:t>TABLE IX</w:t>
      </w:r>
    </w:p>
    <w:p>
      <w:pPr>
        <w:pStyle w:val="Normal"/>
        <w:keepNext w:val="true"/>
        <w:spacing w:before="0" w:after="40"/>
        <w:jc w:val="center"/>
        <w:rPr/>
      </w:pPr>
      <w:r>
        <w:rPr>
          <w:sz w:val="16"/>
          <w:szCs w:val="16"/>
        </w:rPr>
        <w:t>MODEL 1 POSTERIOR SUMMARY</w:t>
      </w:r>
    </w:p>
    <w:tbl>
      <w:tblPr>
        <w:tblW w:w="4860" w:type="dxa"/>
        <w:jc w:val="start"/>
        <w:tblInd w:w="0" w:type="dxa"/>
        <w:tblLayout w:type="fixed"/>
        <w:tblCellMar>
          <w:top w:w="18" w:type="dxa"/>
          <w:start w:w="45" w:type="dxa"/>
          <w:bottom w:w="18" w:type="dxa"/>
          <w:end w:w="45" w:type="dxa"/>
        </w:tblCellMar>
        <w:tblLook w:val="0000" w:firstRow="0" w:noVBand="0" w:lastRow="0" w:firstColumn="0" w:lastColumn="0" w:noHBand="0"/>
      </w:tblPr>
      <w:tblGrid>
        <w:gridCol w:w="1097"/>
        <w:gridCol w:w="621"/>
        <w:gridCol w:w="622"/>
        <w:gridCol w:w="1218"/>
        <w:gridCol w:w="642"/>
        <w:gridCol w:w="660"/>
      </w:tblGrid>
      <w:tr>
        <w:trPr>
          <w:tblHeader w:val="true"/>
          <w:cantSplit/>
        </w:trPr>
        <w:tc>
          <w:tcPr>
            <w:tcW w:w="1097" w:type="dxa"/>
            <w:tcBorders>
              <w:top w:val="single" w:sz="8" w:space="0" w:color="000000"/>
              <w:bottom w:val="single" w:sz="4" w:space="0" w:color="000000"/>
            </w:tcBorders>
            <w:vAlign w:val="center"/>
          </w:tcPr>
          <w:p>
            <w:pPr>
              <w:pStyle w:val="Normal"/>
              <w:rPr/>
            </w:pPr>
            <w:r>
              <w:rPr>
                <w:b/>
                <w:bCs/>
                <w:sz w:val="15"/>
                <w:szCs w:val="15"/>
              </w:rPr>
              <w:t>Parameter</w:t>
            </w:r>
          </w:p>
        </w:tc>
        <w:tc>
          <w:tcPr>
            <w:tcW w:w="621" w:type="dxa"/>
            <w:tcBorders>
              <w:top w:val="single" w:sz="8" w:space="0" w:color="000000"/>
              <w:bottom w:val="single" w:sz="4" w:space="0" w:color="000000"/>
            </w:tcBorders>
            <w:vAlign w:val="center"/>
          </w:tcPr>
          <w:p>
            <w:pPr>
              <w:pStyle w:val="Normal"/>
              <w:jc w:val="center"/>
              <w:rPr/>
            </w:pPr>
            <w:r>
              <w:rPr>
                <w:b/>
                <w:bCs/>
                <w:sz w:val="15"/>
                <w:szCs w:val="15"/>
              </w:rPr>
              <w:t>Mean</w:t>
            </w:r>
          </w:p>
        </w:tc>
        <w:tc>
          <w:tcPr>
            <w:tcW w:w="622" w:type="dxa"/>
            <w:tcBorders>
              <w:top w:val="single" w:sz="8" w:space="0" w:color="000000"/>
              <w:bottom w:val="single" w:sz="4" w:space="0" w:color="000000"/>
            </w:tcBorders>
            <w:vAlign w:val="center"/>
          </w:tcPr>
          <w:p>
            <w:pPr>
              <w:pStyle w:val="Normal"/>
              <w:jc w:val="center"/>
              <w:rPr/>
            </w:pPr>
            <w:r>
              <w:rPr>
                <w:b/>
                <w:bCs/>
                <w:sz w:val="15"/>
                <w:szCs w:val="15"/>
              </w:rPr>
              <w:t>SD</w:t>
            </w:r>
          </w:p>
        </w:tc>
        <w:tc>
          <w:tcPr>
            <w:tcW w:w="1218" w:type="dxa"/>
            <w:tcBorders>
              <w:top w:val="single" w:sz="8" w:space="0" w:color="000000"/>
              <w:bottom w:val="single" w:sz="4" w:space="0" w:color="000000"/>
            </w:tcBorders>
            <w:vAlign w:val="center"/>
          </w:tcPr>
          <w:p>
            <w:pPr>
              <w:pStyle w:val="Normal"/>
              <w:jc w:val="center"/>
              <w:rPr/>
            </w:pPr>
            <w:r>
              <w:rPr>
                <w:b/>
                <w:bCs/>
                <w:sz w:val="15"/>
                <w:szCs w:val="15"/>
              </w:rPr>
              <w:t>94% interval</w:t>
            </w:r>
          </w:p>
        </w:tc>
        <w:tc>
          <w:tcPr>
            <w:tcW w:w="642" w:type="dxa"/>
            <w:tcBorders>
              <w:top w:val="single" w:sz="8" w:space="0" w:color="000000"/>
              <w:bottom w:val="single" w:sz="4" w:space="0" w:color="000000"/>
            </w:tcBorders>
            <w:vAlign w:val="center"/>
          </w:tcPr>
          <w:p>
            <w:pPr>
              <w:pStyle w:val="Normal"/>
              <w:jc w:val="center"/>
              <w:rPr/>
            </w:pPr>
            <w:r>
              <w:rPr>
                <w:b/>
                <w:bCs/>
                <w:sz w:val="15"/>
                <w:szCs w:val="15"/>
              </w:rPr>
              <w:t>R-hat</w:t>
            </w:r>
          </w:p>
        </w:tc>
        <w:tc>
          <w:tcPr>
            <w:tcW w:w="660" w:type="dxa"/>
            <w:tcBorders>
              <w:top w:val="single" w:sz="8" w:space="0" w:color="000000"/>
              <w:bottom w:val="single" w:sz="4" w:space="0" w:color="000000"/>
            </w:tcBorders>
            <w:vAlign w:val="center"/>
          </w:tcPr>
          <w:p>
            <w:pPr>
              <w:pStyle w:val="Normal"/>
              <w:jc w:val="center"/>
              <w:rPr/>
            </w:pPr>
            <w:r>
              <w:rPr>
                <w:b/>
                <w:bCs/>
                <w:sz w:val="15"/>
                <w:szCs w:val="15"/>
              </w:rPr>
              <w:t>ESS</w:t>
            </w:r>
          </w:p>
        </w:tc>
      </w:tr>
      <w:tr>
        <w:trPr>
          <w:cantSplit/>
        </w:trPr>
        <w:tc>
          <w:tcPr>
            <w:tcW w:w="1097" w:type="dxa"/>
            <w:tcBorders/>
            <w:vAlign w:val="center"/>
          </w:tcPr>
          <w:p>
            <w:pPr>
              <w:pStyle w:val="Normal"/>
              <w:rPr/>
            </w:pPr>
            <w:r>
              <w:rPr>
                <w:sz w:val="15"/>
                <w:szCs w:val="15"/>
              </w:rPr>
              <w:t>α (baseline)</w:t>
            </w:r>
          </w:p>
        </w:tc>
        <w:tc>
          <w:tcPr>
            <w:tcW w:w="621" w:type="dxa"/>
            <w:tcBorders/>
            <w:vAlign w:val="center"/>
          </w:tcPr>
          <w:p>
            <w:pPr>
              <w:pStyle w:val="Normal"/>
              <w:jc w:val="end"/>
              <w:rPr/>
            </w:pPr>
            <w:r>
              <w:rPr>
                <w:sz w:val="15"/>
                <w:szCs w:val="15"/>
              </w:rPr>
              <w:t>0.42</w:t>
            </w:r>
          </w:p>
        </w:tc>
        <w:tc>
          <w:tcPr>
            <w:tcW w:w="622" w:type="dxa"/>
            <w:tcBorders/>
            <w:vAlign w:val="center"/>
          </w:tcPr>
          <w:p>
            <w:pPr>
              <w:pStyle w:val="Normal"/>
              <w:jc w:val="end"/>
              <w:rPr/>
            </w:pPr>
            <w:r>
              <w:rPr>
                <w:sz w:val="15"/>
                <w:szCs w:val="15"/>
              </w:rPr>
              <w:t>0.243</w:t>
            </w:r>
          </w:p>
        </w:tc>
        <w:tc>
          <w:tcPr>
            <w:tcW w:w="1218" w:type="dxa"/>
            <w:tcBorders/>
            <w:vAlign w:val="center"/>
          </w:tcPr>
          <w:p>
            <w:pPr>
              <w:pStyle w:val="Normal"/>
              <w:jc w:val="center"/>
              <w:rPr/>
            </w:pPr>
            <w:r>
              <w:rPr>
                <w:sz w:val="15"/>
                <w:szCs w:val="15"/>
              </w:rPr>
              <w:t>[−0.041, 0.88]</w:t>
            </w:r>
          </w:p>
        </w:tc>
        <w:tc>
          <w:tcPr>
            <w:tcW w:w="642" w:type="dxa"/>
            <w:tcBorders/>
            <w:vAlign w:val="center"/>
          </w:tcPr>
          <w:p>
            <w:pPr>
              <w:pStyle w:val="Normal"/>
              <w:jc w:val="end"/>
              <w:rPr/>
            </w:pPr>
            <w:r>
              <w:rPr>
                <w:sz w:val="15"/>
                <w:szCs w:val="15"/>
              </w:rPr>
              <w:t>1.00</w:t>
            </w:r>
          </w:p>
        </w:tc>
        <w:tc>
          <w:tcPr>
            <w:tcW w:w="660" w:type="dxa"/>
            <w:tcBorders/>
            <w:vAlign w:val="center"/>
          </w:tcPr>
          <w:p>
            <w:pPr>
              <w:pStyle w:val="Normal"/>
              <w:jc w:val="end"/>
              <w:rPr/>
            </w:pPr>
            <w:r>
              <w:rPr>
                <w:sz w:val="15"/>
                <w:szCs w:val="15"/>
              </w:rPr>
              <w:t>1,789</w:t>
            </w:r>
          </w:p>
        </w:tc>
      </w:tr>
      <w:tr>
        <w:trPr>
          <w:cantSplit/>
        </w:trPr>
        <w:tc>
          <w:tcPr>
            <w:tcW w:w="1097" w:type="dxa"/>
            <w:tcBorders/>
            <w:vAlign w:val="center"/>
          </w:tcPr>
          <w:p>
            <w:pPr>
              <w:pStyle w:val="Normal"/>
              <w:rPr/>
            </w:pPr>
            <w:r>
              <w:rPr>
                <w:sz w:val="15"/>
                <w:szCs w:val="15"/>
              </w:rPr>
              <w:t>β (trend)</w:t>
            </w:r>
          </w:p>
        </w:tc>
        <w:tc>
          <w:tcPr>
            <w:tcW w:w="621" w:type="dxa"/>
            <w:tcBorders/>
            <w:vAlign w:val="center"/>
          </w:tcPr>
          <w:p>
            <w:pPr>
              <w:pStyle w:val="Normal"/>
              <w:jc w:val="end"/>
              <w:rPr/>
            </w:pPr>
            <w:r>
              <w:rPr>
                <w:sz w:val="15"/>
                <w:szCs w:val="15"/>
              </w:rPr>
              <w:t>−</w:t>
            </w:r>
            <w:r>
              <w:rPr>
                <w:sz w:val="15"/>
                <w:szCs w:val="15"/>
              </w:rPr>
              <w:t>0.91</w:t>
            </w:r>
          </w:p>
        </w:tc>
        <w:tc>
          <w:tcPr>
            <w:tcW w:w="622" w:type="dxa"/>
            <w:tcBorders/>
            <w:vAlign w:val="center"/>
          </w:tcPr>
          <w:p>
            <w:pPr>
              <w:pStyle w:val="Normal"/>
              <w:jc w:val="end"/>
              <w:rPr/>
            </w:pPr>
            <w:r>
              <w:rPr>
                <w:sz w:val="15"/>
                <w:szCs w:val="15"/>
              </w:rPr>
              <w:t>0.39</w:t>
            </w:r>
          </w:p>
        </w:tc>
        <w:tc>
          <w:tcPr>
            <w:tcW w:w="1218" w:type="dxa"/>
            <w:tcBorders/>
            <w:vAlign w:val="center"/>
          </w:tcPr>
          <w:p>
            <w:pPr>
              <w:pStyle w:val="Normal"/>
              <w:jc w:val="center"/>
              <w:rPr/>
            </w:pPr>
            <w:r>
              <w:rPr>
                <w:sz w:val="15"/>
                <w:szCs w:val="15"/>
              </w:rPr>
              <w:t>[−1.6, −0.17]</w:t>
            </w:r>
          </w:p>
        </w:tc>
        <w:tc>
          <w:tcPr>
            <w:tcW w:w="642" w:type="dxa"/>
            <w:tcBorders/>
            <w:vAlign w:val="center"/>
          </w:tcPr>
          <w:p>
            <w:pPr>
              <w:pStyle w:val="Normal"/>
              <w:jc w:val="end"/>
              <w:rPr/>
            </w:pPr>
            <w:r>
              <w:rPr>
                <w:sz w:val="15"/>
                <w:szCs w:val="15"/>
              </w:rPr>
              <w:t>1.00</w:t>
            </w:r>
          </w:p>
        </w:tc>
        <w:tc>
          <w:tcPr>
            <w:tcW w:w="660" w:type="dxa"/>
            <w:tcBorders/>
            <w:vAlign w:val="center"/>
          </w:tcPr>
          <w:p>
            <w:pPr>
              <w:pStyle w:val="Normal"/>
              <w:jc w:val="end"/>
              <w:rPr/>
            </w:pPr>
            <w:r>
              <w:rPr>
                <w:sz w:val="15"/>
                <w:szCs w:val="15"/>
              </w:rPr>
              <w:t>2,057</w:t>
            </w:r>
          </w:p>
        </w:tc>
      </w:tr>
      <w:tr>
        <w:trPr>
          <w:cantSplit/>
        </w:trPr>
        <w:tc>
          <w:tcPr>
            <w:tcW w:w="1097" w:type="dxa"/>
            <w:tcBorders/>
            <w:vAlign w:val="center"/>
          </w:tcPr>
          <w:p>
            <w:pPr>
              <w:pStyle w:val="Normal"/>
              <w:rPr/>
            </w:pPr>
            <w:r>
              <w:rPr>
                <w:sz w:val="15"/>
                <w:szCs w:val="15"/>
              </w:rPr>
              <w:t>σ (scale)</w:t>
            </w:r>
          </w:p>
        </w:tc>
        <w:tc>
          <w:tcPr>
            <w:tcW w:w="621" w:type="dxa"/>
            <w:tcBorders/>
            <w:vAlign w:val="center"/>
          </w:tcPr>
          <w:p>
            <w:pPr>
              <w:pStyle w:val="Normal"/>
              <w:jc w:val="end"/>
              <w:rPr/>
            </w:pPr>
            <w:r>
              <w:rPr>
                <w:sz w:val="15"/>
                <w:szCs w:val="15"/>
              </w:rPr>
              <w:t>0.92</w:t>
            </w:r>
          </w:p>
        </w:tc>
        <w:tc>
          <w:tcPr>
            <w:tcW w:w="622" w:type="dxa"/>
            <w:tcBorders/>
            <w:vAlign w:val="center"/>
          </w:tcPr>
          <w:p>
            <w:pPr>
              <w:pStyle w:val="Normal"/>
              <w:jc w:val="end"/>
              <w:rPr/>
            </w:pPr>
            <w:r>
              <w:rPr>
                <w:sz w:val="15"/>
                <w:szCs w:val="15"/>
              </w:rPr>
              <w:t>0.099</w:t>
            </w:r>
          </w:p>
        </w:tc>
        <w:tc>
          <w:tcPr>
            <w:tcW w:w="1218" w:type="dxa"/>
            <w:tcBorders/>
            <w:vAlign w:val="center"/>
          </w:tcPr>
          <w:p>
            <w:pPr>
              <w:pStyle w:val="Normal"/>
              <w:jc w:val="center"/>
              <w:rPr/>
            </w:pPr>
            <w:r>
              <w:rPr>
                <w:sz w:val="15"/>
                <w:szCs w:val="15"/>
              </w:rPr>
              <w:t>[0.75, 1.1]</w:t>
            </w:r>
          </w:p>
        </w:tc>
        <w:tc>
          <w:tcPr>
            <w:tcW w:w="642" w:type="dxa"/>
            <w:tcBorders/>
            <w:vAlign w:val="center"/>
          </w:tcPr>
          <w:p>
            <w:pPr>
              <w:pStyle w:val="Normal"/>
              <w:jc w:val="end"/>
              <w:rPr/>
            </w:pPr>
            <w:r>
              <w:rPr>
                <w:sz w:val="15"/>
                <w:szCs w:val="15"/>
              </w:rPr>
              <w:t>1.00</w:t>
            </w:r>
          </w:p>
        </w:tc>
        <w:tc>
          <w:tcPr>
            <w:tcW w:w="660" w:type="dxa"/>
            <w:tcBorders/>
            <w:vAlign w:val="center"/>
          </w:tcPr>
          <w:p>
            <w:pPr>
              <w:pStyle w:val="Normal"/>
              <w:jc w:val="end"/>
              <w:rPr/>
            </w:pPr>
            <w:r>
              <w:rPr>
                <w:sz w:val="15"/>
                <w:szCs w:val="15"/>
              </w:rPr>
              <w:t>3,709</w:t>
            </w:r>
          </w:p>
        </w:tc>
      </w:tr>
      <w:tr>
        <w:trPr>
          <w:cantSplit/>
        </w:trPr>
        <w:tc>
          <w:tcPr>
            <w:tcW w:w="1097" w:type="dxa"/>
            <w:tcBorders/>
            <w:vAlign w:val="center"/>
          </w:tcPr>
          <w:p>
            <w:pPr>
              <w:pStyle w:val="Normal"/>
              <w:rPr/>
            </w:pPr>
            <w:r>
              <w:rPr>
                <w:sz w:val="15"/>
                <w:szCs w:val="15"/>
              </w:rPr>
              <w:t>ν (d.o.f.)</w:t>
            </w:r>
          </w:p>
        </w:tc>
        <w:tc>
          <w:tcPr>
            <w:tcW w:w="621" w:type="dxa"/>
            <w:tcBorders/>
            <w:vAlign w:val="center"/>
          </w:tcPr>
          <w:p>
            <w:pPr>
              <w:pStyle w:val="Normal"/>
              <w:jc w:val="end"/>
              <w:rPr/>
            </w:pPr>
            <w:r>
              <w:rPr>
                <w:sz w:val="15"/>
                <w:szCs w:val="15"/>
              </w:rPr>
              <w:t>23.5</w:t>
            </w:r>
          </w:p>
        </w:tc>
        <w:tc>
          <w:tcPr>
            <w:tcW w:w="622" w:type="dxa"/>
            <w:tcBorders/>
            <w:vAlign w:val="center"/>
          </w:tcPr>
          <w:p>
            <w:pPr>
              <w:pStyle w:val="Normal"/>
              <w:jc w:val="end"/>
              <w:rPr/>
            </w:pPr>
            <w:r>
              <w:rPr>
                <w:sz w:val="15"/>
                <w:szCs w:val="15"/>
              </w:rPr>
              <w:t>14</w:t>
            </w:r>
          </w:p>
        </w:tc>
        <w:tc>
          <w:tcPr>
            <w:tcW w:w="1218" w:type="dxa"/>
            <w:tcBorders/>
            <w:vAlign w:val="center"/>
          </w:tcPr>
          <w:p>
            <w:pPr>
              <w:pStyle w:val="Normal"/>
              <w:jc w:val="center"/>
              <w:rPr/>
            </w:pPr>
            <w:r>
              <w:rPr>
                <w:sz w:val="15"/>
                <w:szCs w:val="15"/>
              </w:rPr>
              <w:t>[5.9, 56]</w:t>
            </w:r>
          </w:p>
        </w:tc>
        <w:tc>
          <w:tcPr>
            <w:tcW w:w="642" w:type="dxa"/>
            <w:tcBorders/>
            <w:vAlign w:val="center"/>
          </w:tcPr>
          <w:p>
            <w:pPr>
              <w:pStyle w:val="Normal"/>
              <w:jc w:val="end"/>
              <w:rPr/>
            </w:pPr>
            <w:r>
              <w:rPr>
                <w:sz w:val="15"/>
                <w:szCs w:val="15"/>
              </w:rPr>
              <w:t>1.00</w:t>
            </w:r>
          </w:p>
        </w:tc>
        <w:tc>
          <w:tcPr>
            <w:tcW w:w="660" w:type="dxa"/>
            <w:tcBorders/>
            <w:vAlign w:val="center"/>
          </w:tcPr>
          <w:p>
            <w:pPr>
              <w:pStyle w:val="Normal"/>
              <w:jc w:val="end"/>
              <w:rPr/>
            </w:pPr>
            <w:r>
              <w:rPr>
                <w:sz w:val="15"/>
                <w:szCs w:val="15"/>
              </w:rPr>
              <w:t>3,714</w:t>
            </w:r>
          </w:p>
        </w:tc>
      </w:tr>
      <w:tr>
        <w:trPr>
          <w:cantSplit/>
        </w:trPr>
        <w:tc>
          <w:tcPr>
            <w:tcW w:w="1097" w:type="dxa"/>
            <w:tcBorders>
              <w:bottom w:val="single" w:sz="8" w:space="0" w:color="000000"/>
            </w:tcBorders>
            <w:vAlign w:val="center"/>
          </w:tcPr>
          <w:p>
            <w:pPr>
              <w:pStyle w:val="Normal"/>
              <w:rPr/>
            </w:pPr>
            <w:r>
              <w:rPr>
                <w:sz w:val="15"/>
                <w:szCs w:val="15"/>
              </w:rPr>
              <w:t>τ</w:t>
            </w:r>
            <w:r>
              <w:rPr>
                <w:sz w:val="15"/>
                <w:szCs w:val="15"/>
                <w:vertAlign w:val="subscript"/>
              </w:rPr>
              <w:t>dow</w:t>
            </w:r>
          </w:p>
        </w:tc>
        <w:tc>
          <w:tcPr>
            <w:tcW w:w="621" w:type="dxa"/>
            <w:tcBorders>
              <w:bottom w:val="single" w:sz="8" w:space="0" w:color="000000"/>
            </w:tcBorders>
            <w:vAlign w:val="center"/>
          </w:tcPr>
          <w:p>
            <w:pPr>
              <w:pStyle w:val="Normal"/>
              <w:jc w:val="end"/>
              <w:rPr/>
            </w:pPr>
            <w:r>
              <w:rPr>
                <w:sz w:val="15"/>
                <w:szCs w:val="15"/>
              </w:rPr>
              <w:t>0.198</w:t>
            </w:r>
          </w:p>
        </w:tc>
        <w:tc>
          <w:tcPr>
            <w:tcW w:w="622" w:type="dxa"/>
            <w:tcBorders>
              <w:bottom w:val="single" w:sz="8" w:space="0" w:color="000000"/>
            </w:tcBorders>
            <w:vAlign w:val="center"/>
          </w:tcPr>
          <w:p>
            <w:pPr>
              <w:pStyle w:val="Normal"/>
              <w:jc w:val="end"/>
              <w:rPr/>
            </w:pPr>
            <w:r>
              <w:rPr>
                <w:sz w:val="15"/>
                <w:szCs w:val="15"/>
              </w:rPr>
              <w:t>0.158</w:t>
            </w:r>
          </w:p>
        </w:tc>
        <w:tc>
          <w:tcPr>
            <w:tcW w:w="1218" w:type="dxa"/>
            <w:tcBorders>
              <w:bottom w:val="single" w:sz="8" w:space="0" w:color="000000"/>
            </w:tcBorders>
            <w:vAlign w:val="center"/>
          </w:tcPr>
          <w:p>
            <w:pPr>
              <w:pStyle w:val="Normal"/>
              <w:jc w:val="center"/>
              <w:rPr/>
            </w:pPr>
            <w:r>
              <w:rPr>
                <w:sz w:val="15"/>
                <w:szCs w:val="15"/>
              </w:rPr>
              <w:t>[0.0095, 0.58]</w:t>
            </w:r>
          </w:p>
        </w:tc>
        <w:tc>
          <w:tcPr>
            <w:tcW w:w="642" w:type="dxa"/>
            <w:tcBorders>
              <w:bottom w:val="single" w:sz="8" w:space="0" w:color="000000"/>
            </w:tcBorders>
            <w:vAlign w:val="center"/>
          </w:tcPr>
          <w:p>
            <w:pPr>
              <w:pStyle w:val="Normal"/>
              <w:jc w:val="end"/>
              <w:rPr/>
            </w:pPr>
            <w:r>
              <w:rPr>
                <w:sz w:val="15"/>
                <w:szCs w:val="15"/>
              </w:rPr>
              <w:t>1.00</w:t>
            </w:r>
          </w:p>
        </w:tc>
        <w:tc>
          <w:tcPr>
            <w:tcW w:w="660" w:type="dxa"/>
            <w:tcBorders>
              <w:bottom w:val="single" w:sz="8" w:space="0" w:color="000000"/>
            </w:tcBorders>
            <w:vAlign w:val="center"/>
          </w:tcPr>
          <w:p>
            <w:pPr>
              <w:pStyle w:val="Normal"/>
              <w:jc w:val="end"/>
              <w:rPr/>
            </w:pPr>
            <w:r>
              <w:rPr>
                <w:sz w:val="15"/>
                <w:szCs w:val="15"/>
              </w:rPr>
              <w:t>1,337</w:t>
            </w:r>
          </w:p>
        </w:tc>
      </w:tr>
    </w:tbl>
    <w:p>
      <w:pPr>
        <w:pStyle w:val="Normal"/>
        <w:spacing w:before="0" w:after="60"/>
        <w:rPr/>
      </w:pPr>
      <w:r>
        <w:rPr/>
      </w:r>
    </w:p>
    <w:p>
      <w:pPr>
        <w:pStyle w:val="Normal"/>
        <w:keepNext w:val="true"/>
        <w:spacing w:before="60" w:after="0"/>
        <w:jc w:val="center"/>
        <w:rPr/>
      </w:pPr>
      <w:r>
        <w:rPr/>
        <w:drawing>
          <wp:inline distT="0" distB="0" distL="0" distR="0">
            <wp:extent cx="2377440" cy="1374775"/>
            <wp:effectExtent l="0" t="0" r="0" b="0"/>
            <wp:docPr id="28" name="Figure 11a" descr="Figure 11a" title="Figure 1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ure 11a" descr="Figure 11a" title="Figure 11a"/>
                    <pic:cNvPicPr>
                      <a:picLocks noChangeAspect="1" noChangeArrowheads="1"/>
                    </pic:cNvPicPr>
                  </pic:nvPicPr>
                  <pic:blipFill>
                    <a:blip r:embed="rId29"/>
                    <a:stretch>
                      <a:fillRect/>
                    </a:stretch>
                  </pic:blipFill>
                  <pic:spPr bwMode="auto">
                    <a:xfrm>
                      <a:off x="0" y="0"/>
                      <a:ext cx="2377440" cy="1374775"/>
                    </a:xfrm>
                    <a:prstGeom prst="rect">
                      <a:avLst/>
                    </a:prstGeom>
                    <a:noFill/>
                  </pic:spPr>
                </pic:pic>
              </a:graphicData>
            </a:graphic>
          </wp:inline>
        </w:drawing>
      </w:r>
    </w:p>
    <w:p>
      <w:pPr>
        <w:pStyle w:val="Normal"/>
        <w:keepNext w:val="true"/>
        <w:spacing w:before="60" w:after="0"/>
        <w:jc w:val="center"/>
        <w:rPr/>
      </w:pPr>
      <w:r>
        <w:rPr/>
        <w:drawing>
          <wp:inline distT="0" distB="0" distL="0" distR="0">
            <wp:extent cx="2377440" cy="1374775"/>
            <wp:effectExtent l="0" t="0" r="0" b="0"/>
            <wp:docPr id="29" name="Figure 11b" descr="Figure 11b" title="Figure 1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igure 11b" descr="Figure 11b" title="Figure 11b"/>
                    <pic:cNvPicPr>
                      <a:picLocks noChangeAspect="1" noChangeArrowheads="1"/>
                    </pic:cNvPicPr>
                  </pic:nvPicPr>
                  <pic:blipFill>
                    <a:blip r:embed="rId30"/>
                    <a:stretch>
                      <a:fillRect/>
                    </a:stretch>
                  </pic:blipFill>
                  <pic:spPr bwMode="auto">
                    <a:xfrm>
                      <a:off x="0" y="0"/>
                      <a:ext cx="2377440" cy="1374775"/>
                    </a:xfrm>
                    <a:prstGeom prst="rect">
                      <a:avLst/>
                    </a:prstGeom>
                    <a:noFill/>
                  </pic:spPr>
                </pic:pic>
              </a:graphicData>
            </a:graphic>
          </wp:inline>
        </w:drawing>
      </w:r>
    </w:p>
    <w:p>
      <w:pPr>
        <w:pStyle w:val="Normal"/>
        <w:keepNext w:val="true"/>
        <w:spacing w:before="60" w:after="0"/>
        <w:jc w:val="center"/>
        <w:rPr/>
      </w:pPr>
      <w:r>
        <w:rPr/>
        <w:drawing>
          <wp:inline distT="0" distB="0" distL="0" distR="0">
            <wp:extent cx="2377440" cy="1374775"/>
            <wp:effectExtent l="0" t="0" r="0" b="0"/>
            <wp:docPr id="30" name="Figure 11c" descr="Figure 11c" title="Figure 1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igure 11c" descr="Figure 11c" title="Figure 11c"/>
                    <pic:cNvPicPr>
                      <a:picLocks noChangeAspect="1" noChangeArrowheads="1"/>
                    </pic:cNvPicPr>
                  </pic:nvPicPr>
                  <pic:blipFill>
                    <a:blip r:embed="rId31"/>
                    <a:stretch>
                      <a:fillRect/>
                    </a:stretch>
                  </pic:blipFill>
                  <pic:spPr bwMode="auto">
                    <a:xfrm>
                      <a:off x="0" y="0"/>
                      <a:ext cx="2377440" cy="1374775"/>
                    </a:xfrm>
                    <a:prstGeom prst="rect">
                      <a:avLst/>
                    </a:prstGeom>
                    <a:noFill/>
                  </pic:spPr>
                </pic:pic>
              </a:graphicData>
            </a:graphic>
          </wp:inline>
        </w:drawing>
      </w:r>
    </w:p>
    <w:p>
      <w:pPr>
        <w:pStyle w:val="Normal"/>
        <w:spacing w:before="60" w:after="0"/>
        <w:jc w:val="center"/>
        <w:rPr/>
      </w:pPr>
      <w:r>
        <w:rPr/>
        <w:drawing>
          <wp:inline distT="0" distB="0" distL="0" distR="0">
            <wp:extent cx="2377440" cy="1374775"/>
            <wp:effectExtent l="0" t="0" r="0" b="0"/>
            <wp:docPr id="31" name="Figure 11d" descr="Figure 11d" title="Figure 1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igure 11d" descr="Figure 11d" title="Figure 11d"/>
                    <pic:cNvPicPr>
                      <a:picLocks noChangeAspect="1" noChangeArrowheads="1"/>
                    </pic:cNvPicPr>
                  </pic:nvPicPr>
                  <pic:blipFill>
                    <a:blip r:embed="rId32"/>
                    <a:stretch>
                      <a:fillRect/>
                    </a:stretch>
                  </pic:blipFill>
                  <pic:spPr bwMode="auto">
                    <a:xfrm>
                      <a:off x="0" y="0"/>
                      <a:ext cx="2377440" cy="1374775"/>
                    </a:xfrm>
                    <a:prstGeom prst="rect">
                      <a:avLst/>
                    </a:prstGeom>
                    <a:noFill/>
                  </pic:spPr>
                </pic:pic>
              </a:graphicData>
            </a:graphic>
          </wp:inline>
        </w:drawing>
      </w:r>
    </w:p>
    <w:p>
      <w:pPr>
        <w:pStyle w:val="Normal"/>
        <w:spacing w:before="20" w:after="100"/>
        <w:jc w:val="both"/>
        <w:rPr/>
      </w:pPr>
      <w:r>
        <w:rPr>
          <w:sz w:val="16"/>
          <w:szCs w:val="16"/>
        </w:rPr>
        <w:t>Fig. 11. Posterior distributions of α, β, σ and ν for Model 1.</w:t>
      </w:r>
    </w:p>
    <w:p>
      <w:pPr>
        <w:pStyle w:val="Normal"/>
        <w:spacing w:lineRule="auto" w:line="228" w:before="0" w:after="50"/>
        <w:ind w:firstLine="240"/>
        <w:jc w:val="both"/>
        <w:rPr/>
      </w:pPr>
      <w:r>
        <w:rPr/>
        <w:t>All seven day-of-week effects have 94% intervals that include zero (Table X). Saturday is slightly lowest (−0.128) and Wednesday slightly highest (0.131), but both are well within the uncertainty, so there is no convincing evidence of a weekly cycle in this data.</w:t>
      </w:r>
    </w:p>
    <w:p>
      <w:pPr>
        <w:pStyle w:val="Normal"/>
        <w:keepNext w:val="true"/>
        <w:spacing w:before="100" w:after="0"/>
        <w:jc w:val="center"/>
        <w:rPr/>
      </w:pPr>
      <w:r>
        <w:rPr>
          <w:sz w:val="16"/>
          <w:szCs w:val="16"/>
        </w:rPr>
        <w:t>TABLE X</w:t>
      </w:r>
    </w:p>
    <w:p>
      <w:pPr>
        <w:pStyle w:val="Normal"/>
        <w:keepNext w:val="true"/>
        <w:spacing w:before="0" w:after="40"/>
        <w:jc w:val="center"/>
        <w:rPr/>
      </w:pPr>
      <w:r>
        <w:rPr>
          <w:sz w:val="16"/>
          <w:szCs w:val="16"/>
        </w:rPr>
        <w:t>DAY-OF-WEEK EFFECTS (STANDARDISED)</w:t>
      </w:r>
    </w:p>
    <w:tbl>
      <w:tblPr>
        <w:tblW w:w="4860" w:type="dxa"/>
        <w:jc w:val="start"/>
        <w:tblInd w:w="0" w:type="dxa"/>
        <w:tblLayout w:type="fixed"/>
        <w:tblCellMar>
          <w:top w:w="18" w:type="dxa"/>
          <w:start w:w="45" w:type="dxa"/>
          <w:bottom w:w="18" w:type="dxa"/>
          <w:end w:w="45" w:type="dxa"/>
        </w:tblCellMar>
        <w:tblLook w:val="0000" w:firstRow="0" w:noVBand="0" w:lastRow="0" w:firstColumn="0" w:lastColumn="0" w:noHBand="0"/>
      </w:tblPr>
      <w:tblGrid>
        <w:gridCol w:w="600"/>
        <w:gridCol w:w="649"/>
        <w:gridCol w:w="1181"/>
        <w:gridCol w:w="600"/>
        <w:gridCol w:w="649"/>
        <w:gridCol w:w="1181"/>
      </w:tblGrid>
      <w:tr>
        <w:trPr>
          <w:tblHeader w:val="true"/>
          <w:cantSplit/>
        </w:trPr>
        <w:tc>
          <w:tcPr>
            <w:tcW w:w="600" w:type="dxa"/>
            <w:tcBorders>
              <w:top w:val="single" w:sz="8" w:space="0" w:color="000000"/>
              <w:bottom w:val="single" w:sz="4" w:space="0" w:color="000000"/>
            </w:tcBorders>
            <w:vAlign w:val="center"/>
          </w:tcPr>
          <w:p>
            <w:pPr>
              <w:pStyle w:val="Normal"/>
              <w:rPr/>
            </w:pPr>
            <w:r>
              <w:rPr>
                <w:b/>
                <w:bCs/>
                <w:sz w:val="15"/>
                <w:szCs w:val="15"/>
              </w:rPr>
              <w:t>Day</w:t>
            </w:r>
          </w:p>
        </w:tc>
        <w:tc>
          <w:tcPr>
            <w:tcW w:w="649" w:type="dxa"/>
            <w:tcBorders>
              <w:top w:val="single" w:sz="8" w:space="0" w:color="000000"/>
              <w:bottom w:val="single" w:sz="4" w:space="0" w:color="000000"/>
            </w:tcBorders>
            <w:vAlign w:val="center"/>
          </w:tcPr>
          <w:p>
            <w:pPr>
              <w:pStyle w:val="Normal"/>
              <w:jc w:val="center"/>
              <w:rPr/>
            </w:pPr>
            <w:r>
              <w:rPr>
                <w:b/>
                <w:bCs/>
                <w:sz w:val="15"/>
                <w:szCs w:val="15"/>
              </w:rPr>
              <w:t>Mean</w:t>
            </w:r>
          </w:p>
        </w:tc>
        <w:tc>
          <w:tcPr>
            <w:tcW w:w="1181" w:type="dxa"/>
            <w:tcBorders>
              <w:top w:val="single" w:sz="8" w:space="0" w:color="000000"/>
              <w:bottom w:val="single" w:sz="4" w:space="0" w:color="000000"/>
            </w:tcBorders>
            <w:vAlign w:val="center"/>
          </w:tcPr>
          <w:p>
            <w:pPr>
              <w:pStyle w:val="Normal"/>
              <w:jc w:val="center"/>
              <w:rPr/>
            </w:pPr>
            <w:r>
              <w:rPr>
                <w:b/>
                <w:bCs/>
                <w:sz w:val="15"/>
                <w:szCs w:val="15"/>
              </w:rPr>
              <w:t>94% interval</w:t>
            </w:r>
          </w:p>
        </w:tc>
        <w:tc>
          <w:tcPr>
            <w:tcW w:w="600" w:type="dxa"/>
            <w:tcBorders>
              <w:top w:val="single" w:sz="8" w:space="0" w:color="000000"/>
              <w:bottom w:val="single" w:sz="4" w:space="0" w:color="000000"/>
            </w:tcBorders>
            <w:vAlign w:val="center"/>
          </w:tcPr>
          <w:p>
            <w:pPr>
              <w:pStyle w:val="Normal"/>
              <w:rPr/>
            </w:pPr>
            <w:r>
              <w:rPr>
                <w:b/>
                <w:bCs/>
                <w:sz w:val="15"/>
                <w:szCs w:val="15"/>
              </w:rPr>
              <w:t>Day</w:t>
            </w:r>
          </w:p>
        </w:tc>
        <w:tc>
          <w:tcPr>
            <w:tcW w:w="649" w:type="dxa"/>
            <w:tcBorders>
              <w:top w:val="single" w:sz="8" w:space="0" w:color="000000"/>
              <w:bottom w:val="single" w:sz="4" w:space="0" w:color="000000"/>
            </w:tcBorders>
            <w:vAlign w:val="center"/>
          </w:tcPr>
          <w:p>
            <w:pPr>
              <w:pStyle w:val="Normal"/>
              <w:jc w:val="center"/>
              <w:rPr/>
            </w:pPr>
            <w:r>
              <w:rPr>
                <w:b/>
                <w:bCs/>
                <w:sz w:val="15"/>
                <w:szCs w:val="15"/>
              </w:rPr>
              <w:t>Mean</w:t>
            </w:r>
          </w:p>
        </w:tc>
        <w:tc>
          <w:tcPr>
            <w:tcW w:w="1181" w:type="dxa"/>
            <w:tcBorders>
              <w:top w:val="single" w:sz="8" w:space="0" w:color="000000"/>
              <w:bottom w:val="single" w:sz="4" w:space="0" w:color="000000"/>
            </w:tcBorders>
            <w:vAlign w:val="center"/>
          </w:tcPr>
          <w:p>
            <w:pPr>
              <w:pStyle w:val="Normal"/>
              <w:jc w:val="center"/>
              <w:rPr/>
            </w:pPr>
            <w:r>
              <w:rPr>
                <w:b/>
                <w:bCs/>
                <w:sz w:val="15"/>
                <w:szCs w:val="15"/>
              </w:rPr>
              <w:t>94% interval</w:t>
            </w:r>
          </w:p>
        </w:tc>
      </w:tr>
      <w:tr>
        <w:trPr>
          <w:cantSplit/>
        </w:trPr>
        <w:tc>
          <w:tcPr>
            <w:tcW w:w="600" w:type="dxa"/>
            <w:tcBorders/>
            <w:vAlign w:val="center"/>
          </w:tcPr>
          <w:p>
            <w:pPr>
              <w:pStyle w:val="Normal"/>
              <w:rPr/>
            </w:pPr>
            <w:r>
              <w:rPr>
                <w:sz w:val="15"/>
                <w:szCs w:val="15"/>
              </w:rPr>
              <w:t>Mon</w:t>
            </w:r>
          </w:p>
        </w:tc>
        <w:tc>
          <w:tcPr>
            <w:tcW w:w="649" w:type="dxa"/>
            <w:tcBorders/>
            <w:vAlign w:val="center"/>
          </w:tcPr>
          <w:p>
            <w:pPr>
              <w:pStyle w:val="Normal"/>
              <w:jc w:val="end"/>
              <w:rPr/>
            </w:pPr>
            <w:r>
              <w:rPr>
                <w:sz w:val="15"/>
                <w:szCs w:val="15"/>
              </w:rPr>
              <w:t>0.003</w:t>
            </w:r>
          </w:p>
        </w:tc>
        <w:tc>
          <w:tcPr>
            <w:tcW w:w="1181" w:type="dxa"/>
            <w:tcBorders/>
            <w:vAlign w:val="center"/>
          </w:tcPr>
          <w:p>
            <w:pPr>
              <w:pStyle w:val="Normal"/>
              <w:jc w:val="center"/>
              <w:rPr/>
            </w:pPr>
            <w:r>
              <w:rPr>
                <w:sz w:val="15"/>
                <w:szCs w:val="15"/>
              </w:rPr>
              <w:t>[−0.35, 0.40]</w:t>
            </w:r>
          </w:p>
        </w:tc>
        <w:tc>
          <w:tcPr>
            <w:tcW w:w="600" w:type="dxa"/>
            <w:tcBorders/>
            <w:vAlign w:val="center"/>
          </w:tcPr>
          <w:p>
            <w:pPr>
              <w:pStyle w:val="Normal"/>
              <w:rPr/>
            </w:pPr>
            <w:r>
              <w:rPr>
                <w:sz w:val="15"/>
                <w:szCs w:val="15"/>
              </w:rPr>
              <w:t>Thu</w:t>
            </w:r>
          </w:p>
        </w:tc>
        <w:tc>
          <w:tcPr>
            <w:tcW w:w="649" w:type="dxa"/>
            <w:tcBorders/>
            <w:vAlign w:val="center"/>
          </w:tcPr>
          <w:p>
            <w:pPr>
              <w:pStyle w:val="Normal"/>
              <w:jc w:val="end"/>
              <w:rPr/>
            </w:pPr>
            <w:r>
              <w:rPr>
                <w:sz w:val="15"/>
                <w:szCs w:val="15"/>
              </w:rPr>
              <w:t>0.047</w:t>
            </w:r>
          </w:p>
        </w:tc>
        <w:tc>
          <w:tcPr>
            <w:tcW w:w="1181" w:type="dxa"/>
            <w:tcBorders/>
            <w:vAlign w:val="center"/>
          </w:tcPr>
          <w:p>
            <w:pPr>
              <w:pStyle w:val="Normal"/>
              <w:jc w:val="center"/>
              <w:rPr/>
            </w:pPr>
            <w:r>
              <w:rPr>
                <w:sz w:val="15"/>
                <w:szCs w:val="15"/>
              </w:rPr>
              <w:t>[−0.28, 0.46]</w:t>
            </w:r>
          </w:p>
        </w:tc>
      </w:tr>
      <w:tr>
        <w:trPr>
          <w:cantSplit/>
        </w:trPr>
        <w:tc>
          <w:tcPr>
            <w:tcW w:w="600" w:type="dxa"/>
            <w:tcBorders/>
            <w:vAlign w:val="center"/>
          </w:tcPr>
          <w:p>
            <w:pPr>
              <w:pStyle w:val="Normal"/>
              <w:rPr/>
            </w:pPr>
            <w:r>
              <w:rPr>
                <w:sz w:val="15"/>
                <w:szCs w:val="15"/>
              </w:rPr>
              <w:t>Tue</w:t>
            </w:r>
          </w:p>
        </w:tc>
        <w:tc>
          <w:tcPr>
            <w:tcW w:w="649" w:type="dxa"/>
            <w:tcBorders/>
            <w:vAlign w:val="center"/>
          </w:tcPr>
          <w:p>
            <w:pPr>
              <w:pStyle w:val="Normal"/>
              <w:jc w:val="end"/>
              <w:rPr/>
            </w:pPr>
            <w:r>
              <w:rPr>
                <w:sz w:val="15"/>
                <w:szCs w:val="15"/>
              </w:rPr>
              <w:t>−</w:t>
            </w:r>
            <w:r>
              <w:rPr>
                <w:sz w:val="15"/>
                <w:szCs w:val="15"/>
              </w:rPr>
              <w:t>0.063</w:t>
            </w:r>
          </w:p>
        </w:tc>
        <w:tc>
          <w:tcPr>
            <w:tcW w:w="1181" w:type="dxa"/>
            <w:tcBorders/>
            <w:vAlign w:val="center"/>
          </w:tcPr>
          <w:p>
            <w:pPr>
              <w:pStyle w:val="Normal"/>
              <w:jc w:val="center"/>
              <w:rPr/>
            </w:pPr>
            <w:r>
              <w:rPr>
                <w:sz w:val="15"/>
                <w:szCs w:val="15"/>
              </w:rPr>
              <w:t>[−0.49, 0.26]</w:t>
            </w:r>
          </w:p>
        </w:tc>
        <w:tc>
          <w:tcPr>
            <w:tcW w:w="600" w:type="dxa"/>
            <w:tcBorders/>
            <w:vAlign w:val="center"/>
          </w:tcPr>
          <w:p>
            <w:pPr>
              <w:pStyle w:val="Normal"/>
              <w:rPr/>
            </w:pPr>
            <w:r>
              <w:rPr>
                <w:sz w:val="15"/>
                <w:szCs w:val="15"/>
              </w:rPr>
              <w:t>Fri</w:t>
            </w:r>
          </w:p>
        </w:tc>
        <w:tc>
          <w:tcPr>
            <w:tcW w:w="649" w:type="dxa"/>
            <w:tcBorders/>
            <w:vAlign w:val="center"/>
          </w:tcPr>
          <w:p>
            <w:pPr>
              <w:pStyle w:val="Normal"/>
              <w:jc w:val="end"/>
              <w:rPr/>
            </w:pPr>
            <w:r>
              <w:rPr>
                <w:sz w:val="15"/>
                <w:szCs w:val="15"/>
              </w:rPr>
              <w:t>0.055</w:t>
            </w:r>
          </w:p>
        </w:tc>
        <w:tc>
          <w:tcPr>
            <w:tcW w:w="1181" w:type="dxa"/>
            <w:tcBorders/>
            <w:vAlign w:val="center"/>
          </w:tcPr>
          <w:p>
            <w:pPr>
              <w:pStyle w:val="Normal"/>
              <w:jc w:val="center"/>
              <w:rPr/>
            </w:pPr>
            <w:r>
              <w:rPr>
                <w:sz w:val="15"/>
                <w:szCs w:val="15"/>
              </w:rPr>
              <w:t>[−0.27, 0.47]</w:t>
            </w:r>
          </w:p>
        </w:tc>
      </w:tr>
      <w:tr>
        <w:trPr>
          <w:cantSplit/>
        </w:trPr>
        <w:tc>
          <w:tcPr>
            <w:tcW w:w="600" w:type="dxa"/>
            <w:tcBorders/>
            <w:vAlign w:val="center"/>
          </w:tcPr>
          <w:p>
            <w:pPr>
              <w:pStyle w:val="Normal"/>
              <w:rPr/>
            </w:pPr>
            <w:r>
              <w:rPr>
                <w:sz w:val="15"/>
                <w:szCs w:val="15"/>
              </w:rPr>
              <w:t>Wed</w:t>
            </w:r>
          </w:p>
        </w:tc>
        <w:tc>
          <w:tcPr>
            <w:tcW w:w="649" w:type="dxa"/>
            <w:tcBorders/>
            <w:vAlign w:val="center"/>
          </w:tcPr>
          <w:p>
            <w:pPr>
              <w:pStyle w:val="Normal"/>
              <w:jc w:val="end"/>
              <w:rPr/>
            </w:pPr>
            <w:r>
              <w:rPr>
                <w:sz w:val="15"/>
                <w:szCs w:val="15"/>
              </w:rPr>
              <w:t>0.131</w:t>
            </w:r>
          </w:p>
        </w:tc>
        <w:tc>
          <w:tcPr>
            <w:tcW w:w="1181" w:type="dxa"/>
            <w:tcBorders/>
            <w:vAlign w:val="center"/>
          </w:tcPr>
          <w:p>
            <w:pPr>
              <w:pStyle w:val="Normal"/>
              <w:jc w:val="center"/>
              <w:rPr/>
            </w:pPr>
            <w:r>
              <w:rPr>
                <w:sz w:val="15"/>
                <w:szCs w:val="15"/>
              </w:rPr>
              <w:t>[−0.16, 0.66]</w:t>
            </w:r>
          </w:p>
        </w:tc>
        <w:tc>
          <w:tcPr>
            <w:tcW w:w="600" w:type="dxa"/>
            <w:tcBorders/>
            <w:vAlign w:val="center"/>
          </w:tcPr>
          <w:p>
            <w:pPr>
              <w:pStyle w:val="Normal"/>
              <w:rPr/>
            </w:pPr>
            <w:r>
              <w:rPr>
                <w:sz w:val="15"/>
                <w:szCs w:val="15"/>
              </w:rPr>
              <w:t>Sat</w:t>
            </w:r>
          </w:p>
        </w:tc>
        <w:tc>
          <w:tcPr>
            <w:tcW w:w="649" w:type="dxa"/>
            <w:tcBorders/>
            <w:vAlign w:val="center"/>
          </w:tcPr>
          <w:p>
            <w:pPr>
              <w:pStyle w:val="Normal"/>
              <w:jc w:val="end"/>
              <w:rPr/>
            </w:pPr>
            <w:r>
              <w:rPr>
                <w:sz w:val="15"/>
                <w:szCs w:val="15"/>
              </w:rPr>
              <w:t>−</w:t>
            </w:r>
            <w:r>
              <w:rPr>
                <w:sz w:val="15"/>
                <w:szCs w:val="15"/>
              </w:rPr>
              <w:t>0.128</w:t>
            </w:r>
          </w:p>
        </w:tc>
        <w:tc>
          <w:tcPr>
            <w:tcW w:w="1181" w:type="dxa"/>
            <w:tcBorders/>
            <w:vAlign w:val="center"/>
          </w:tcPr>
          <w:p>
            <w:pPr>
              <w:pStyle w:val="Normal"/>
              <w:jc w:val="center"/>
              <w:rPr/>
            </w:pPr>
            <w:r>
              <w:rPr>
                <w:sz w:val="15"/>
                <w:szCs w:val="15"/>
              </w:rPr>
              <w:t>[−0.62, 0.16]</w:t>
            </w:r>
          </w:p>
        </w:tc>
      </w:tr>
      <w:tr>
        <w:trPr>
          <w:cantSplit/>
        </w:trPr>
        <w:tc>
          <w:tcPr>
            <w:tcW w:w="600" w:type="dxa"/>
            <w:tcBorders>
              <w:bottom w:val="single" w:sz="8" w:space="0" w:color="000000"/>
            </w:tcBorders>
            <w:vAlign w:val="center"/>
          </w:tcPr>
          <w:p>
            <w:pPr>
              <w:pStyle w:val="Normal"/>
              <w:rPr/>
            </w:pPr>
            <w:r>
              <w:rPr>
                <w:sz w:val="15"/>
                <w:szCs w:val="15"/>
              </w:rPr>
              <w:t>Sun</w:t>
            </w:r>
          </w:p>
        </w:tc>
        <w:tc>
          <w:tcPr>
            <w:tcW w:w="649" w:type="dxa"/>
            <w:tcBorders>
              <w:bottom w:val="single" w:sz="8" w:space="0" w:color="000000"/>
            </w:tcBorders>
            <w:vAlign w:val="center"/>
          </w:tcPr>
          <w:p>
            <w:pPr>
              <w:pStyle w:val="Normal"/>
              <w:jc w:val="end"/>
              <w:rPr/>
            </w:pPr>
            <w:r>
              <w:rPr>
                <w:sz w:val="15"/>
                <w:szCs w:val="15"/>
              </w:rPr>
              <w:t>−</w:t>
            </w:r>
            <w:r>
              <w:rPr>
                <w:sz w:val="15"/>
                <w:szCs w:val="15"/>
              </w:rPr>
              <w:t>0.017</w:t>
            </w:r>
          </w:p>
        </w:tc>
        <w:tc>
          <w:tcPr>
            <w:tcW w:w="1181" w:type="dxa"/>
            <w:tcBorders>
              <w:bottom w:val="single" w:sz="8" w:space="0" w:color="000000"/>
            </w:tcBorders>
            <w:vAlign w:val="center"/>
          </w:tcPr>
          <w:p>
            <w:pPr>
              <w:pStyle w:val="Normal"/>
              <w:jc w:val="center"/>
              <w:rPr/>
            </w:pPr>
            <w:r>
              <w:rPr>
                <w:sz w:val="15"/>
                <w:szCs w:val="15"/>
              </w:rPr>
              <w:t>[−0.38, 0.35]</w:t>
            </w:r>
          </w:p>
        </w:tc>
        <w:tc>
          <w:tcPr>
            <w:tcW w:w="600" w:type="dxa"/>
            <w:tcBorders>
              <w:bottom w:val="single" w:sz="8" w:space="0" w:color="000000"/>
            </w:tcBorders>
            <w:vAlign w:val="center"/>
          </w:tcPr>
          <w:p>
            <w:pPr>
              <w:pStyle w:val="Normal"/>
              <w:rPr/>
            </w:pPr>
            <w:r>
              <w:rPr/>
            </w:r>
          </w:p>
        </w:tc>
        <w:tc>
          <w:tcPr>
            <w:tcW w:w="649" w:type="dxa"/>
            <w:tcBorders>
              <w:bottom w:val="single" w:sz="8" w:space="0" w:color="000000"/>
            </w:tcBorders>
            <w:vAlign w:val="center"/>
          </w:tcPr>
          <w:p>
            <w:pPr>
              <w:pStyle w:val="Normal"/>
              <w:jc w:val="end"/>
              <w:rPr/>
            </w:pPr>
            <w:r>
              <w:rPr/>
            </w:r>
          </w:p>
        </w:tc>
        <w:tc>
          <w:tcPr>
            <w:tcW w:w="1181" w:type="dxa"/>
            <w:tcBorders>
              <w:bottom w:val="single" w:sz="8" w:space="0" w:color="000000"/>
            </w:tcBorders>
            <w:vAlign w:val="center"/>
          </w:tcPr>
          <w:p>
            <w:pPr>
              <w:pStyle w:val="Normal"/>
              <w:jc w:val="center"/>
              <w:rPr/>
            </w:pPr>
            <w:r>
              <w:rPr/>
            </w:r>
          </w:p>
        </w:tc>
      </w:tr>
    </w:tbl>
    <w:p>
      <w:pPr>
        <w:pStyle w:val="Normal"/>
        <w:spacing w:before="0" w:after="60"/>
        <w:rPr/>
      </w:pPr>
      <w:r>
        <w:rPr/>
      </w:r>
    </w:p>
    <w:p>
      <w:pPr>
        <w:pStyle w:val="Heading2"/>
        <w:rPr/>
      </w:pPr>
      <w:r>
        <w:rPr/>
        <w:t>B. Model 2: Service-Level Cost</w:t>
      </w:r>
    </w:p>
    <w:p>
      <w:pPr>
        <w:pStyle w:val="Normal"/>
        <w:spacing w:lineRule="auto" w:line="228" w:before="0" w:after="50"/>
        <w:ind w:firstLine="240"/>
        <w:jc w:val="both"/>
        <w:rPr/>
      </w:pPr>
      <w:r>
        <w:rPr/>
        <w:t>Table XI summarises Model 2. The between-service SD τ ≈ 0.72 is large relative to the within-service SD σ ≈ 1.0, so service identity explains a meaningful part of the cost variation. Table XII lists the five services with the highest cost per record, with the posterior mean, interval, raw observed mean and probability of being in the top five (Fig. 12). Cloud NAT is very likely (0.84) but not certain to be a top-five driver, and the wide intervals show that neighbouring services at the top are not statistically separable.</w:t>
      </w:r>
    </w:p>
    <w:p>
      <w:pPr>
        <w:pStyle w:val="Normal"/>
        <w:keepNext w:val="true"/>
        <w:spacing w:before="100" w:after="0"/>
        <w:jc w:val="center"/>
        <w:rPr/>
      </w:pPr>
      <w:r>
        <w:rPr>
          <w:sz w:val="16"/>
          <w:szCs w:val="16"/>
        </w:rPr>
        <w:t>TABLE XI</w:t>
      </w:r>
    </w:p>
    <w:p>
      <w:pPr>
        <w:pStyle w:val="Normal"/>
        <w:keepNext w:val="true"/>
        <w:spacing w:before="0" w:after="40"/>
        <w:jc w:val="center"/>
        <w:rPr/>
      </w:pPr>
      <w:r>
        <w:rPr>
          <w:sz w:val="16"/>
          <w:szCs w:val="16"/>
        </w:rPr>
        <w:t>MODEL 2 POSTERIOR SUMMARY</w:t>
      </w:r>
    </w:p>
    <w:tbl>
      <w:tblPr>
        <w:tblW w:w="4860" w:type="dxa"/>
        <w:jc w:val="start"/>
        <w:tblInd w:w="0" w:type="dxa"/>
        <w:tblLayout w:type="fixed"/>
        <w:tblCellMar>
          <w:top w:w="18" w:type="dxa"/>
          <w:start w:w="45" w:type="dxa"/>
          <w:bottom w:w="18" w:type="dxa"/>
          <w:end w:w="45" w:type="dxa"/>
        </w:tblCellMar>
        <w:tblLook w:val="0000" w:firstRow="0" w:noVBand="0" w:lastRow="0" w:firstColumn="0" w:lastColumn="0" w:noHBand="0"/>
      </w:tblPr>
      <w:tblGrid>
        <w:gridCol w:w="1497"/>
        <w:gridCol w:w="603"/>
        <w:gridCol w:w="647"/>
        <w:gridCol w:w="1103"/>
        <w:gridCol w:w="500"/>
        <w:gridCol w:w="510"/>
      </w:tblGrid>
      <w:tr>
        <w:trPr>
          <w:tblHeader w:val="true"/>
          <w:cantSplit/>
        </w:trPr>
        <w:tc>
          <w:tcPr>
            <w:tcW w:w="1497" w:type="dxa"/>
            <w:tcBorders>
              <w:top w:val="single" w:sz="8" w:space="0" w:color="000000"/>
              <w:bottom w:val="single" w:sz="4" w:space="0" w:color="000000"/>
            </w:tcBorders>
            <w:vAlign w:val="center"/>
          </w:tcPr>
          <w:p>
            <w:pPr>
              <w:pStyle w:val="Normal"/>
              <w:rPr/>
            </w:pPr>
            <w:r>
              <w:rPr>
                <w:b/>
                <w:bCs/>
                <w:sz w:val="15"/>
                <w:szCs w:val="15"/>
              </w:rPr>
              <w:t>Parameter</w:t>
            </w:r>
          </w:p>
        </w:tc>
        <w:tc>
          <w:tcPr>
            <w:tcW w:w="603" w:type="dxa"/>
            <w:tcBorders>
              <w:top w:val="single" w:sz="8" w:space="0" w:color="000000"/>
              <w:bottom w:val="single" w:sz="4" w:space="0" w:color="000000"/>
            </w:tcBorders>
            <w:vAlign w:val="center"/>
          </w:tcPr>
          <w:p>
            <w:pPr>
              <w:pStyle w:val="Normal"/>
              <w:jc w:val="center"/>
              <w:rPr/>
            </w:pPr>
            <w:r>
              <w:rPr>
                <w:b/>
                <w:bCs/>
                <w:sz w:val="15"/>
                <w:szCs w:val="15"/>
              </w:rPr>
              <w:t>Mean</w:t>
            </w:r>
          </w:p>
        </w:tc>
        <w:tc>
          <w:tcPr>
            <w:tcW w:w="647" w:type="dxa"/>
            <w:tcBorders>
              <w:top w:val="single" w:sz="8" w:space="0" w:color="000000"/>
              <w:bottom w:val="single" w:sz="4" w:space="0" w:color="000000"/>
            </w:tcBorders>
            <w:vAlign w:val="center"/>
          </w:tcPr>
          <w:p>
            <w:pPr>
              <w:pStyle w:val="Normal"/>
              <w:jc w:val="center"/>
              <w:rPr/>
            </w:pPr>
            <w:r>
              <w:rPr>
                <w:b/>
                <w:bCs/>
                <w:sz w:val="15"/>
                <w:szCs w:val="15"/>
              </w:rPr>
              <w:t>SD</w:t>
            </w:r>
          </w:p>
        </w:tc>
        <w:tc>
          <w:tcPr>
            <w:tcW w:w="1103" w:type="dxa"/>
            <w:tcBorders>
              <w:top w:val="single" w:sz="8" w:space="0" w:color="000000"/>
              <w:bottom w:val="single" w:sz="4" w:space="0" w:color="000000"/>
            </w:tcBorders>
            <w:vAlign w:val="center"/>
          </w:tcPr>
          <w:p>
            <w:pPr>
              <w:pStyle w:val="Normal"/>
              <w:jc w:val="center"/>
              <w:rPr/>
            </w:pPr>
            <w:r>
              <w:rPr>
                <w:b/>
                <w:bCs/>
                <w:sz w:val="15"/>
                <w:szCs w:val="15"/>
              </w:rPr>
              <w:t>94% interval</w:t>
            </w:r>
          </w:p>
        </w:tc>
        <w:tc>
          <w:tcPr>
            <w:tcW w:w="500" w:type="dxa"/>
            <w:tcBorders>
              <w:top w:val="single" w:sz="8" w:space="0" w:color="000000"/>
              <w:bottom w:val="single" w:sz="4" w:space="0" w:color="000000"/>
            </w:tcBorders>
            <w:vAlign w:val="center"/>
          </w:tcPr>
          <w:p>
            <w:pPr>
              <w:pStyle w:val="Normal"/>
              <w:jc w:val="center"/>
              <w:rPr/>
            </w:pPr>
            <w:r>
              <w:rPr>
                <w:b/>
                <w:bCs/>
                <w:sz w:val="15"/>
                <w:szCs w:val="15"/>
              </w:rPr>
              <w:t>R-hat</w:t>
            </w:r>
          </w:p>
        </w:tc>
        <w:tc>
          <w:tcPr>
            <w:tcW w:w="510" w:type="dxa"/>
            <w:tcBorders>
              <w:top w:val="single" w:sz="8" w:space="0" w:color="000000"/>
              <w:bottom w:val="single" w:sz="4" w:space="0" w:color="000000"/>
            </w:tcBorders>
            <w:vAlign w:val="center"/>
          </w:tcPr>
          <w:p>
            <w:pPr>
              <w:pStyle w:val="Normal"/>
              <w:jc w:val="center"/>
              <w:rPr/>
            </w:pPr>
            <w:r>
              <w:rPr>
                <w:b/>
                <w:bCs/>
                <w:sz w:val="15"/>
                <w:szCs w:val="15"/>
              </w:rPr>
              <w:t>ESS</w:t>
            </w:r>
          </w:p>
        </w:tc>
      </w:tr>
      <w:tr>
        <w:trPr>
          <w:cantSplit/>
        </w:trPr>
        <w:tc>
          <w:tcPr>
            <w:tcW w:w="1497" w:type="dxa"/>
            <w:tcBorders/>
            <w:vAlign w:val="center"/>
          </w:tcPr>
          <w:p>
            <w:pPr>
              <w:pStyle w:val="Normal"/>
              <w:rPr/>
            </w:pPr>
            <w:r>
              <w:rPr>
                <w:sz w:val="15"/>
                <w:szCs w:val="15"/>
              </w:rPr>
              <w:t>μ</w:t>
            </w:r>
            <w:r>
              <w:rPr>
                <w:sz w:val="15"/>
                <w:szCs w:val="15"/>
                <w:vertAlign w:val="subscript"/>
              </w:rPr>
              <w:t>g</w:t>
            </w:r>
            <w:r>
              <w:rPr>
                <w:sz w:val="15"/>
                <w:szCs w:val="15"/>
              </w:rPr>
              <w:t xml:space="preserve"> (mean log cost)</w:t>
            </w:r>
          </w:p>
        </w:tc>
        <w:tc>
          <w:tcPr>
            <w:tcW w:w="603" w:type="dxa"/>
            <w:tcBorders/>
            <w:vAlign w:val="center"/>
          </w:tcPr>
          <w:p>
            <w:pPr>
              <w:pStyle w:val="Normal"/>
              <w:jc w:val="end"/>
              <w:rPr/>
            </w:pPr>
            <w:r>
              <w:rPr>
                <w:sz w:val="15"/>
                <w:szCs w:val="15"/>
              </w:rPr>
              <w:t>7.1</w:t>
            </w:r>
          </w:p>
        </w:tc>
        <w:tc>
          <w:tcPr>
            <w:tcW w:w="647" w:type="dxa"/>
            <w:tcBorders/>
            <w:vAlign w:val="center"/>
          </w:tcPr>
          <w:p>
            <w:pPr>
              <w:pStyle w:val="Normal"/>
              <w:jc w:val="end"/>
              <w:rPr/>
            </w:pPr>
            <w:r>
              <w:rPr>
                <w:sz w:val="15"/>
                <w:szCs w:val="15"/>
              </w:rPr>
              <w:t>0.144</w:t>
            </w:r>
          </w:p>
        </w:tc>
        <w:tc>
          <w:tcPr>
            <w:tcW w:w="1103" w:type="dxa"/>
            <w:tcBorders/>
            <w:vAlign w:val="center"/>
          </w:tcPr>
          <w:p>
            <w:pPr>
              <w:pStyle w:val="Normal"/>
              <w:jc w:val="center"/>
              <w:rPr/>
            </w:pPr>
            <w:r>
              <w:rPr>
                <w:sz w:val="15"/>
                <w:szCs w:val="15"/>
              </w:rPr>
              <w:t>[6.8, 7.4]</w:t>
            </w:r>
          </w:p>
        </w:tc>
        <w:tc>
          <w:tcPr>
            <w:tcW w:w="500" w:type="dxa"/>
            <w:tcBorders/>
            <w:vAlign w:val="center"/>
          </w:tcPr>
          <w:p>
            <w:pPr>
              <w:pStyle w:val="Normal"/>
              <w:jc w:val="end"/>
              <w:rPr/>
            </w:pPr>
            <w:r>
              <w:rPr>
                <w:sz w:val="15"/>
                <w:szCs w:val="15"/>
              </w:rPr>
              <w:t>1.02</w:t>
            </w:r>
          </w:p>
        </w:tc>
        <w:tc>
          <w:tcPr>
            <w:tcW w:w="510" w:type="dxa"/>
            <w:tcBorders/>
            <w:vAlign w:val="center"/>
          </w:tcPr>
          <w:p>
            <w:pPr>
              <w:pStyle w:val="Normal"/>
              <w:jc w:val="end"/>
              <w:rPr/>
            </w:pPr>
            <w:r>
              <w:rPr>
                <w:sz w:val="15"/>
                <w:szCs w:val="15"/>
              </w:rPr>
              <w:t>318</w:t>
            </w:r>
          </w:p>
        </w:tc>
      </w:tr>
      <w:tr>
        <w:trPr>
          <w:cantSplit/>
        </w:trPr>
        <w:tc>
          <w:tcPr>
            <w:tcW w:w="1497" w:type="dxa"/>
            <w:tcBorders/>
            <w:vAlign w:val="center"/>
          </w:tcPr>
          <w:p>
            <w:pPr>
              <w:pStyle w:val="Normal"/>
              <w:rPr/>
            </w:pPr>
            <w:r>
              <w:rPr>
                <w:sz w:val="15"/>
                <w:szCs w:val="15"/>
              </w:rPr>
              <w:t>τ (between-service SD)</w:t>
            </w:r>
          </w:p>
        </w:tc>
        <w:tc>
          <w:tcPr>
            <w:tcW w:w="603" w:type="dxa"/>
            <w:tcBorders/>
            <w:vAlign w:val="center"/>
          </w:tcPr>
          <w:p>
            <w:pPr>
              <w:pStyle w:val="Normal"/>
              <w:jc w:val="end"/>
              <w:rPr/>
            </w:pPr>
            <w:r>
              <w:rPr>
                <w:sz w:val="15"/>
                <w:szCs w:val="15"/>
              </w:rPr>
              <w:t>0.72</w:t>
            </w:r>
          </w:p>
        </w:tc>
        <w:tc>
          <w:tcPr>
            <w:tcW w:w="647" w:type="dxa"/>
            <w:tcBorders/>
            <w:vAlign w:val="center"/>
          </w:tcPr>
          <w:p>
            <w:pPr>
              <w:pStyle w:val="Normal"/>
              <w:jc w:val="end"/>
              <w:rPr/>
            </w:pPr>
            <w:r>
              <w:rPr>
                <w:sz w:val="15"/>
                <w:szCs w:val="15"/>
              </w:rPr>
              <w:t>0.113</w:t>
            </w:r>
          </w:p>
        </w:tc>
        <w:tc>
          <w:tcPr>
            <w:tcW w:w="1103" w:type="dxa"/>
            <w:tcBorders/>
            <w:vAlign w:val="center"/>
          </w:tcPr>
          <w:p>
            <w:pPr>
              <w:pStyle w:val="Normal"/>
              <w:jc w:val="center"/>
              <w:rPr/>
            </w:pPr>
            <w:r>
              <w:rPr>
                <w:sz w:val="15"/>
                <w:szCs w:val="15"/>
              </w:rPr>
              <w:t>[0.54, 0.96]</w:t>
            </w:r>
          </w:p>
        </w:tc>
        <w:tc>
          <w:tcPr>
            <w:tcW w:w="500" w:type="dxa"/>
            <w:tcBorders/>
            <w:vAlign w:val="center"/>
          </w:tcPr>
          <w:p>
            <w:pPr>
              <w:pStyle w:val="Normal"/>
              <w:jc w:val="end"/>
              <w:rPr/>
            </w:pPr>
            <w:r>
              <w:rPr>
                <w:sz w:val="15"/>
                <w:szCs w:val="15"/>
              </w:rPr>
              <w:t>1.01</w:t>
            </w:r>
          </w:p>
        </w:tc>
        <w:tc>
          <w:tcPr>
            <w:tcW w:w="510" w:type="dxa"/>
            <w:tcBorders/>
            <w:vAlign w:val="center"/>
          </w:tcPr>
          <w:p>
            <w:pPr>
              <w:pStyle w:val="Normal"/>
              <w:jc w:val="end"/>
              <w:rPr/>
            </w:pPr>
            <w:r>
              <w:rPr>
                <w:sz w:val="15"/>
                <w:szCs w:val="15"/>
              </w:rPr>
              <w:t>437</w:t>
            </w:r>
          </w:p>
        </w:tc>
      </w:tr>
      <w:tr>
        <w:trPr>
          <w:cantSplit/>
        </w:trPr>
        <w:tc>
          <w:tcPr>
            <w:tcW w:w="1497" w:type="dxa"/>
            <w:tcBorders>
              <w:bottom w:val="single" w:sz="8" w:space="0" w:color="000000"/>
            </w:tcBorders>
            <w:vAlign w:val="center"/>
          </w:tcPr>
          <w:p>
            <w:pPr>
              <w:pStyle w:val="Normal"/>
              <w:rPr/>
            </w:pPr>
            <w:r>
              <w:rPr>
                <w:sz w:val="15"/>
                <w:szCs w:val="15"/>
              </w:rPr>
              <w:t>σ (within-service SD)</w:t>
            </w:r>
          </w:p>
        </w:tc>
        <w:tc>
          <w:tcPr>
            <w:tcW w:w="603" w:type="dxa"/>
            <w:tcBorders>
              <w:bottom w:val="single" w:sz="8" w:space="0" w:color="000000"/>
            </w:tcBorders>
            <w:vAlign w:val="center"/>
          </w:tcPr>
          <w:p>
            <w:pPr>
              <w:pStyle w:val="Normal"/>
              <w:jc w:val="end"/>
              <w:rPr/>
            </w:pPr>
            <w:r>
              <w:rPr>
                <w:sz w:val="15"/>
                <w:szCs w:val="15"/>
              </w:rPr>
              <w:t>1.015</w:t>
            </w:r>
          </w:p>
        </w:tc>
        <w:tc>
          <w:tcPr>
            <w:tcW w:w="647" w:type="dxa"/>
            <w:tcBorders>
              <w:bottom w:val="single" w:sz="8" w:space="0" w:color="000000"/>
            </w:tcBorders>
            <w:vAlign w:val="center"/>
          </w:tcPr>
          <w:p>
            <w:pPr>
              <w:pStyle w:val="Normal"/>
              <w:jc w:val="end"/>
              <w:rPr/>
            </w:pPr>
            <w:r>
              <w:rPr>
                <w:sz w:val="15"/>
                <w:szCs w:val="15"/>
              </w:rPr>
              <w:t>0.0235</w:t>
            </w:r>
          </w:p>
        </w:tc>
        <w:tc>
          <w:tcPr>
            <w:tcW w:w="1103" w:type="dxa"/>
            <w:tcBorders>
              <w:bottom w:val="single" w:sz="8" w:space="0" w:color="000000"/>
            </w:tcBorders>
            <w:vAlign w:val="center"/>
          </w:tcPr>
          <w:p>
            <w:pPr>
              <w:pStyle w:val="Normal"/>
              <w:jc w:val="center"/>
              <w:rPr/>
            </w:pPr>
            <w:r>
              <w:rPr>
                <w:sz w:val="15"/>
                <w:szCs w:val="15"/>
              </w:rPr>
              <w:t>[0.97, 1.1]</w:t>
            </w:r>
          </w:p>
        </w:tc>
        <w:tc>
          <w:tcPr>
            <w:tcW w:w="500" w:type="dxa"/>
            <w:tcBorders>
              <w:bottom w:val="single" w:sz="8" w:space="0" w:color="000000"/>
            </w:tcBorders>
            <w:vAlign w:val="center"/>
          </w:tcPr>
          <w:p>
            <w:pPr>
              <w:pStyle w:val="Normal"/>
              <w:jc w:val="end"/>
              <w:rPr/>
            </w:pPr>
            <w:r>
              <w:rPr>
                <w:sz w:val="15"/>
                <w:szCs w:val="15"/>
              </w:rPr>
              <w:t>1.00</w:t>
            </w:r>
          </w:p>
        </w:tc>
        <w:tc>
          <w:tcPr>
            <w:tcW w:w="510" w:type="dxa"/>
            <w:tcBorders>
              <w:bottom w:val="single" w:sz="8" w:space="0" w:color="000000"/>
            </w:tcBorders>
            <w:vAlign w:val="center"/>
          </w:tcPr>
          <w:p>
            <w:pPr>
              <w:pStyle w:val="Normal"/>
              <w:jc w:val="end"/>
              <w:rPr/>
            </w:pPr>
            <w:r>
              <w:rPr>
                <w:sz w:val="15"/>
                <w:szCs w:val="15"/>
              </w:rPr>
              <w:t>4,668</w:t>
            </w:r>
          </w:p>
        </w:tc>
      </w:tr>
    </w:tbl>
    <w:p>
      <w:pPr>
        <w:pStyle w:val="Normal"/>
        <w:spacing w:before="0" w:after="60"/>
        <w:rPr/>
      </w:pPr>
      <w:r>
        <w:rPr/>
      </w:r>
    </w:p>
    <w:p>
      <w:pPr>
        <w:pStyle w:val="Normal"/>
        <w:keepNext w:val="true"/>
        <w:spacing w:before="100" w:after="0"/>
        <w:jc w:val="center"/>
        <w:rPr/>
      </w:pPr>
      <w:r>
        <w:rPr>
          <w:sz w:val="16"/>
          <w:szCs w:val="16"/>
        </w:rPr>
        <w:t>TABLE XII</w:t>
      </w:r>
    </w:p>
    <w:p>
      <w:pPr>
        <w:pStyle w:val="Normal"/>
        <w:keepNext w:val="true"/>
        <w:spacing w:before="0" w:after="40"/>
        <w:jc w:val="center"/>
        <w:rPr/>
      </w:pPr>
      <w:r>
        <w:rPr>
          <w:sz w:val="16"/>
          <w:szCs w:val="16"/>
        </w:rPr>
        <w:t>SERVICES WITH THE HIGHEST COST PER RECORD</w:t>
      </w:r>
    </w:p>
    <w:tbl>
      <w:tblPr>
        <w:tblW w:w="4860" w:type="dxa"/>
        <w:jc w:val="start"/>
        <w:tblInd w:w="0" w:type="dxa"/>
        <w:tblLayout w:type="fixed"/>
        <w:tblCellMar>
          <w:top w:w="18" w:type="dxa"/>
          <w:start w:w="45" w:type="dxa"/>
          <w:bottom w:w="18" w:type="dxa"/>
          <w:end w:w="45" w:type="dxa"/>
        </w:tblCellMar>
        <w:tblLook w:val="0000" w:firstRow="0" w:noVBand="0" w:lastRow="0" w:firstColumn="0" w:lastColumn="0" w:noHBand="0"/>
      </w:tblPr>
      <w:tblGrid>
        <w:gridCol w:w="1300"/>
        <w:gridCol w:w="760"/>
        <w:gridCol w:w="1200"/>
        <w:gridCol w:w="800"/>
        <w:gridCol w:w="800"/>
      </w:tblGrid>
      <w:tr>
        <w:trPr>
          <w:tblHeader w:val="true"/>
          <w:cantSplit/>
        </w:trPr>
        <w:tc>
          <w:tcPr>
            <w:tcW w:w="1300" w:type="dxa"/>
            <w:tcBorders>
              <w:top w:val="single" w:sz="8" w:space="0" w:color="000000"/>
              <w:bottom w:val="single" w:sz="4" w:space="0" w:color="000000"/>
            </w:tcBorders>
            <w:vAlign w:val="center"/>
          </w:tcPr>
          <w:p>
            <w:pPr>
              <w:pStyle w:val="Normal"/>
              <w:rPr/>
            </w:pPr>
            <w:r>
              <w:rPr>
                <w:b/>
                <w:bCs/>
                <w:sz w:val="15"/>
                <w:szCs w:val="15"/>
              </w:rPr>
              <w:t>Service</w:t>
            </w:r>
          </w:p>
        </w:tc>
        <w:tc>
          <w:tcPr>
            <w:tcW w:w="760" w:type="dxa"/>
            <w:tcBorders>
              <w:top w:val="single" w:sz="8" w:space="0" w:color="000000"/>
              <w:bottom w:val="single" w:sz="4" w:space="0" w:color="000000"/>
            </w:tcBorders>
            <w:vAlign w:val="center"/>
          </w:tcPr>
          <w:p>
            <w:pPr>
              <w:pStyle w:val="Normal"/>
              <w:jc w:val="center"/>
              <w:rPr/>
            </w:pPr>
            <w:r>
              <w:rPr>
                <w:b/>
                <w:bCs/>
                <w:sz w:val="15"/>
                <w:szCs w:val="15"/>
              </w:rPr>
              <w:t>Post. mean ($)</w:t>
            </w:r>
          </w:p>
        </w:tc>
        <w:tc>
          <w:tcPr>
            <w:tcW w:w="1200" w:type="dxa"/>
            <w:tcBorders>
              <w:top w:val="single" w:sz="8" w:space="0" w:color="000000"/>
              <w:bottom w:val="single" w:sz="4" w:space="0" w:color="000000"/>
            </w:tcBorders>
            <w:vAlign w:val="center"/>
          </w:tcPr>
          <w:p>
            <w:pPr>
              <w:pStyle w:val="Normal"/>
              <w:jc w:val="center"/>
              <w:rPr/>
            </w:pPr>
            <w:r>
              <w:rPr>
                <w:b/>
                <w:bCs/>
                <w:sz w:val="15"/>
                <w:szCs w:val="15"/>
              </w:rPr>
              <w:t>94% interval ($)</w:t>
            </w:r>
          </w:p>
        </w:tc>
        <w:tc>
          <w:tcPr>
            <w:tcW w:w="800" w:type="dxa"/>
            <w:tcBorders>
              <w:top w:val="single" w:sz="8" w:space="0" w:color="000000"/>
              <w:bottom w:val="single" w:sz="4" w:space="0" w:color="000000"/>
            </w:tcBorders>
            <w:vAlign w:val="center"/>
          </w:tcPr>
          <w:p>
            <w:pPr>
              <w:pStyle w:val="Normal"/>
              <w:jc w:val="center"/>
              <w:rPr/>
            </w:pPr>
            <w:r>
              <w:rPr>
                <w:b/>
                <w:bCs/>
                <w:sz w:val="15"/>
                <w:szCs w:val="15"/>
              </w:rPr>
              <w:t>Raw mean ($)</w:t>
            </w:r>
          </w:p>
        </w:tc>
        <w:tc>
          <w:tcPr>
            <w:tcW w:w="800" w:type="dxa"/>
            <w:tcBorders>
              <w:top w:val="single" w:sz="8" w:space="0" w:color="000000"/>
              <w:bottom w:val="single" w:sz="4" w:space="0" w:color="000000"/>
            </w:tcBorders>
            <w:vAlign w:val="center"/>
          </w:tcPr>
          <w:p>
            <w:pPr>
              <w:pStyle w:val="Normal"/>
              <w:jc w:val="center"/>
              <w:rPr/>
            </w:pPr>
            <w:r>
              <w:rPr>
                <w:b/>
                <w:bCs/>
                <w:sz w:val="15"/>
                <w:szCs w:val="15"/>
              </w:rPr>
              <w:t>P(top 5)</w:t>
            </w:r>
          </w:p>
        </w:tc>
      </w:tr>
      <w:tr>
        <w:trPr>
          <w:cantSplit/>
        </w:trPr>
        <w:tc>
          <w:tcPr>
            <w:tcW w:w="1300" w:type="dxa"/>
            <w:tcBorders/>
            <w:vAlign w:val="center"/>
          </w:tcPr>
          <w:p>
            <w:pPr>
              <w:pStyle w:val="Normal"/>
              <w:rPr/>
            </w:pPr>
            <w:r>
              <w:rPr>
                <w:sz w:val="15"/>
                <w:szCs w:val="15"/>
              </w:rPr>
              <w:t>Cloud NAT</w:t>
            </w:r>
          </w:p>
        </w:tc>
        <w:tc>
          <w:tcPr>
            <w:tcW w:w="760" w:type="dxa"/>
            <w:tcBorders/>
            <w:vAlign w:val="center"/>
          </w:tcPr>
          <w:p>
            <w:pPr>
              <w:pStyle w:val="Normal"/>
              <w:jc w:val="end"/>
              <w:rPr/>
            </w:pPr>
            <w:r>
              <w:rPr>
                <w:sz w:val="15"/>
                <w:szCs w:val="15"/>
              </w:rPr>
              <w:t>4,011</w:t>
            </w:r>
          </w:p>
        </w:tc>
        <w:tc>
          <w:tcPr>
            <w:tcW w:w="1200" w:type="dxa"/>
            <w:tcBorders/>
            <w:vAlign w:val="center"/>
          </w:tcPr>
          <w:p>
            <w:pPr>
              <w:pStyle w:val="Normal"/>
              <w:jc w:val="center"/>
              <w:rPr/>
            </w:pPr>
            <w:r>
              <w:rPr>
                <w:sz w:val="15"/>
                <w:szCs w:val="15"/>
              </w:rPr>
              <w:t>[2,849, 5,445]</w:t>
            </w:r>
          </w:p>
        </w:tc>
        <w:tc>
          <w:tcPr>
            <w:tcW w:w="800" w:type="dxa"/>
            <w:tcBorders/>
            <w:vAlign w:val="center"/>
          </w:tcPr>
          <w:p>
            <w:pPr>
              <w:pStyle w:val="Normal"/>
              <w:jc w:val="end"/>
              <w:rPr/>
            </w:pPr>
            <w:r>
              <w:rPr>
                <w:sz w:val="15"/>
                <w:szCs w:val="15"/>
              </w:rPr>
              <w:t>3,389</w:t>
            </w:r>
          </w:p>
        </w:tc>
        <w:tc>
          <w:tcPr>
            <w:tcW w:w="800" w:type="dxa"/>
            <w:tcBorders/>
            <w:vAlign w:val="center"/>
          </w:tcPr>
          <w:p>
            <w:pPr>
              <w:pStyle w:val="Normal"/>
              <w:jc w:val="end"/>
              <w:rPr/>
            </w:pPr>
            <w:r>
              <w:rPr>
                <w:sz w:val="15"/>
                <w:szCs w:val="15"/>
              </w:rPr>
              <w:t>0.84</w:t>
            </w:r>
          </w:p>
        </w:tc>
      </w:tr>
      <w:tr>
        <w:trPr>
          <w:cantSplit/>
        </w:trPr>
        <w:tc>
          <w:tcPr>
            <w:tcW w:w="1300" w:type="dxa"/>
            <w:tcBorders/>
            <w:vAlign w:val="center"/>
          </w:tcPr>
          <w:p>
            <w:pPr>
              <w:pStyle w:val="Normal"/>
              <w:rPr/>
            </w:pPr>
            <w:r>
              <w:rPr>
                <w:sz w:val="15"/>
                <w:szCs w:val="15"/>
              </w:rPr>
              <w:t>Cloud Data Fusion</w:t>
            </w:r>
          </w:p>
        </w:tc>
        <w:tc>
          <w:tcPr>
            <w:tcW w:w="760" w:type="dxa"/>
            <w:tcBorders/>
            <w:vAlign w:val="center"/>
          </w:tcPr>
          <w:p>
            <w:pPr>
              <w:pStyle w:val="Normal"/>
              <w:jc w:val="end"/>
              <w:rPr/>
            </w:pPr>
            <w:r>
              <w:rPr>
                <w:sz w:val="15"/>
                <w:szCs w:val="15"/>
              </w:rPr>
              <w:t>3,793</w:t>
            </w:r>
          </w:p>
        </w:tc>
        <w:tc>
          <w:tcPr>
            <w:tcW w:w="1200" w:type="dxa"/>
            <w:tcBorders/>
            <w:vAlign w:val="center"/>
          </w:tcPr>
          <w:p>
            <w:pPr>
              <w:pStyle w:val="Normal"/>
              <w:jc w:val="center"/>
              <w:rPr/>
            </w:pPr>
            <w:r>
              <w:rPr>
                <w:sz w:val="15"/>
                <w:szCs w:val="15"/>
              </w:rPr>
              <w:t>[2,573, 5,404]</w:t>
            </w:r>
          </w:p>
        </w:tc>
        <w:tc>
          <w:tcPr>
            <w:tcW w:w="800" w:type="dxa"/>
            <w:tcBorders/>
            <w:vAlign w:val="center"/>
          </w:tcPr>
          <w:p>
            <w:pPr>
              <w:pStyle w:val="Normal"/>
              <w:jc w:val="end"/>
              <w:rPr/>
            </w:pPr>
            <w:r>
              <w:rPr>
                <w:sz w:val="15"/>
                <w:szCs w:val="15"/>
              </w:rPr>
              <w:t>3,351</w:t>
            </w:r>
          </w:p>
        </w:tc>
        <w:tc>
          <w:tcPr>
            <w:tcW w:w="800" w:type="dxa"/>
            <w:tcBorders/>
            <w:vAlign w:val="center"/>
          </w:tcPr>
          <w:p>
            <w:pPr>
              <w:pStyle w:val="Normal"/>
              <w:jc w:val="end"/>
              <w:rPr/>
            </w:pPr>
            <w:r>
              <w:rPr>
                <w:sz w:val="15"/>
                <w:szCs w:val="15"/>
              </w:rPr>
              <w:t>0.71</w:t>
            </w:r>
          </w:p>
        </w:tc>
      </w:tr>
      <w:tr>
        <w:trPr>
          <w:cantSplit/>
        </w:trPr>
        <w:tc>
          <w:tcPr>
            <w:tcW w:w="1300" w:type="dxa"/>
            <w:tcBorders/>
            <w:vAlign w:val="center"/>
          </w:tcPr>
          <w:p>
            <w:pPr>
              <w:pStyle w:val="Normal"/>
              <w:rPr/>
            </w:pPr>
            <w:r>
              <w:rPr>
                <w:sz w:val="15"/>
                <w:szCs w:val="15"/>
              </w:rPr>
              <w:t>Cloud Load Balancing</w:t>
            </w:r>
          </w:p>
        </w:tc>
        <w:tc>
          <w:tcPr>
            <w:tcW w:w="760" w:type="dxa"/>
            <w:tcBorders/>
            <w:vAlign w:val="center"/>
          </w:tcPr>
          <w:p>
            <w:pPr>
              <w:pStyle w:val="Normal"/>
              <w:jc w:val="end"/>
              <w:rPr/>
            </w:pPr>
            <w:r>
              <w:rPr>
                <w:sz w:val="15"/>
                <w:szCs w:val="15"/>
              </w:rPr>
              <w:t>3,534</w:t>
            </w:r>
          </w:p>
        </w:tc>
        <w:tc>
          <w:tcPr>
            <w:tcW w:w="1200" w:type="dxa"/>
            <w:tcBorders/>
            <w:vAlign w:val="center"/>
          </w:tcPr>
          <w:p>
            <w:pPr>
              <w:pStyle w:val="Normal"/>
              <w:jc w:val="center"/>
              <w:rPr/>
            </w:pPr>
            <w:r>
              <w:rPr>
                <w:sz w:val="15"/>
                <w:szCs w:val="15"/>
              </w:rPr>
              <w:t>[2,479, 4,946]</w:t>
            </w:r>
          </w:p>
        </w:tc>
        <w:tc>
          <w:tcPr>
            <w:tcW w:w="800" w:type="dxa"/>
            <w:tcBorders/>
            <w:vAlign w:val="center"/>
          </w:tcPr>
          <w:p>
            <w:pPr>
              <w:pStyle w:val="Normal"/>
              <w:jc w:val="end"/>
              <w:rPr/>
            </w:pPr>
            <w:r>
              <w:rPr>
                <w:sz w:val="15"/>
                <w:szCs w:val="15"/>
              </w:rPr>
              <w:t>3,089</w:t>
            </w:r>
          </w:p>
        </w:tc>
        <w:tc>
          <w:tcPr>
            <w:tcW w:w="800" w:type="dxa"/>
            <w:tcBorders/>
            <w:vAlign w:val="center"/>
          </w:tcPr>
          <w:p>
            <w:pPr>
              <w:pStyle w:val="Normal"/>
              <w:jc w:val="end"/>
              <w:rPr/>
            </w:pPr>
            <w:r>
              <w:rPr>
                <w:sz w:val="15"/>
                <w:szCs w:val="15"/>
              </w:rPr>
              <w:t>0.58</w:t>
            </w:r>
          </w:p>
        </w:tc>
      </w:tr>
      <w:tr>
        <w:trPr>
          <w:cantSplit/>
        </w:trPr>
        <w:tc>
          <w:tcPr>
            <w:tcW w:w="1300" w:type="dxa"/>
            <w:tcBorders/>
            <w:vAlign w:val="center"/>
          </w:tcPr>
          <w:p>
            <w:pPr>
              <w:pStyle w:val="Normal"/>
              <w:rPr/>
            </w:pPr>
            <w:r>
              <w:rPr>
                <w:sz w:val="15"/>
                <w:szCs w:val="15"/>
              </w:rPr>
              <w:t>Container Registry</w:t>
            </w:r>
          </w:p>
        </w:tc>
        <w:tc>
          <w:tcPr>
            <w:tcW w:w="760" w:type="dxa"/>
            <w:tcBorders/>
            <w:vAlign w:val="center"/>
          </w:tcPr>
          <w:p>
            <w:pPr>
              <w:pStyle w:val="Normal"/>
              <w:jc w:val="end"/>
              <w:rPr/>
            </w:pPr>
            <w:r>
              <w:rPr>
                <w:sz w:val="15"/>
                <w:szCs w:val="15"/>
              </w:rPr>
              <w:t>3,402</w:t>
            </w:r>
          </w:p>
        </w:tc>
        <w:tc>
          <w:tcPr>
            <w:tcW w:w="1200" w:type="dxa"/>
            <w:tcBorders/>
            <w:vAlign w:val="center"/>
          </w:tcPr>
          <w:p>
            <w:pPr>
              <w:pStyle w:val="Normal"/>
              <w:jc w:val="center"/>
              <w:rPr/>
            </w:pPr>
            <w:r>
              <w:rPr>
                <w:sz w:val="15"/>
                <w:szCs w:val="15"/>
              </w:rPr>
              <w:t>[2,398, 4,707]</w:t>
            </w:r>
          </w:p>
        </w:tc>
        <w:tc>
          <w:tcPr>
            <w:tcW w:w="800" w:type="dxa"/>
            <w:tcBorders/>
            <w:vAlign w:val="center"/>
          </w:tcPr>
          <w:p>
            <w:pPr>
              <w:pStyle w:val="Normal"/>
              <w:jc w:val="end"/>
              <w:rPr/>
            </w:pPr>
            <w:r>
              <w:rPr>
                <w:sz w:val="15"/>
                <w:szCs w:val="15"/>
              </w:rPr>
              <w:t>2,846</w:t>
            </w:r>
          </w:p>
        </w:tc>
        <w:tc>
          <w:tcPr>
            <w:tcW w:w="800" w:type="dxa"/>
            <w:tcBorders/>
            <w:vAlign w:val="center"/>
          </w:tcPr>
          <w:p>
            <w:pPr>
              <w:pStyle w:val="Normal"/>
              <w:jc w:val="end"/>
              <w:rPr/>
            </w:pPr>
            <w:r>
              <w:rPr>
                <w:sz w:val="15"/>
                <w:szCs w:val="15"/>
              </w:rPr>
              <w:t>0.49</w:t>
            </w:r>
          </w:p>
        </w:tc>
      </w:tr>
      <w:tr>
        <w:trPr>
          <w:cantSplit/>
        </w:trPr>
        <w:tc>
          <w:tcPr>
            <w:tcW w:w="1300" w:type="dxa"/>
            <w:tcBorders>
              <w:bottom w:val="single" w:sz="8" w:space="0" w:color="000000"/>
            </w:tcBorders>
            <w:vAlign w:val="center"/>
          </w:tcPr>
          <w:p>
            <w:pPr>
              <w:pStyle w:val="Normal"/>
              <w:rPr/>
            </w:pPr>
            <w:r>
              <w:rPr>
                <w:sz w:val="15"/>
                <w:szCs w:val="15"/>
              </w:rPr>
              <w:t>Cloud CDN</w:t>
            </w:r>
          </w:p>
        </w:tc>
        <w:tc>
          <w:tcPr>
            <w:tcW w:w="760" w:type="dxa"/>
            <w:tcBorders>
              <w:bottom w:val="single" w:sz="8" w:space="0" w:color="000000"/>
            </w:tcBorders>
            <w:vAlign w:val="center"/>
          </w:tcPr>
          <w:p>
            <w:pPr>
              <w:pStyle w:val="Normal"/>
              <w:jc w:val="end"/>
              <w:rPr/>
            </w:pPr>
            <w:r>
              <w:rPr>
                <w:sz w:val="15"/>
                <w:szCs w:val="15"/>
              </w:rPr>
              <w:t>3,341</w:t>
            </w:r>
          </w:p>
        </w:tc>
        <w:tc>
          <w:tcPr>
            <w:tcW w:w="1200" w:type="dxa"/>
            <w:tcBorders>
              <w:bottom w:val="single" w:sz="8" w:space="0" w:color="000000"/>
            </w:tcBorders>
            <w:vAlign w:val="center"/>
          </w:tcPr>
          <w:p>
            <w:pPr>
              <w:pStyle w:val="Normal"/>
              <w:jc w:val="center"/>
              <w:rPr/>
            </w:pPr>
            <w:r>
              <w:rPr>
                <w:sz w:val="15"/>
                <w:szCs w:val="15"/>
              </w:rPr>
              <w:t>[2,542, 4,293]</w:t>
            </w:r>
          </w:p>
        </w:tc>
        <w:tc>
          <w:tcPr>
            <w:tcW w:w="800" w:type="dxa"/>
            <w:tcBorders>
              <w:bottom w:val="single" w:sz="8" w:space="0" w:color="000000"/>
            </w:tcBorders>
            <w:vAlign w:val="center"/>
          </w:tcPr>
          <w:p>
            <w:pPr>
              <w:pStyle w:val="Normal"/>
              <w:jc w:val="end"/>
              <w:rPr/>
            </w:pPr>
            <w:r>
              <w:rPr>
                <w:sz w:val="15"/>
                <w:szCs w:val="15"/>
              </w:rPr>
              <w:t>2,773</w:t>
            </w:r>
          </w:p>
        </w:tc>
        <w:tc>
          <w:tcPr>
            <w:tcW w:w="800" w:type="dxa"/>
            <w:tcBorders>
              <w:bottom w:val="single" w:sz="8" w:space="0" w:color="000000"/>
            </w:tcBorders>
            <w:vAlign w:val="center"/>
          </w:tcPr>
          <w:p>
            <w:pPr>
              <w:pStyle w:val="Normal"/>
              <w:jc w:val="end"/>
              <w:rPr/>
            </w:pPr>
            <w:r>
              <w:rPr>
                <w:sz w:val="15"/>
                <w:szCs w:val="15"/>
              </w:rPr>
              <w:t>0.46</w:t>
            </w:r>
          </w:p>
        </w:tc>
      </w:tr>
    </w:tbl>
    <w:p>
      <w:pPr>
        <w:pStyle w:val="Normal"/>
        <w:spacing w:before="0" w:after="60"/>
        <w:rPr/>
      </w:pPr>
      <w:r>
        <w:rPr/>
      </w:r>
    </w:p>
    <w:p>
      <w:pPr>
        <w:pStyle w:val="Normal"/>
        <w:spacing w:before="60" w:after="0"/>
        <w:jc w:val="center"/>
        <w:rPr/>
      </w:pPr>
      <w:r>
        <w:rPr/>
        <w:drawing>
          <wp:inline distT="0" distB="0" distL="0" distR="0">
            <wp:extent cx="2743200" cy="2601595"/>
            <wp:effectExtent l="0" t="0" r="0" b="0"/>
            <wp:docPr id="32" name="Figure 12" descr="Figure 12"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igure 12" descr="Figure 12" title="Figure 12"/>
                    <pic:cNvPicPr>
                      <a:picLocks noChangeAspect="1" noChangeArrowheads="1"/>
                    </pic:cNvPicPr>
                  </pic:nvPicPr>
                  <pic:blipFill>
                    <a:blip r:embed="rId33"/>
                    <a:stretch>
                      <a:fillRect/>
                    </a:stretch>
                  </pic:blipFill>
                  <pic:spPr bwMode="auto">
                    <a:xfrm>
                      <a:off x="0" y="0"/>
                      <a:ext cx="2743200" cy="2601595"/>
                    </a:xfrm>
                    <a:prstGeom prst="rect">
                      <a:avLst/>
                    </a:prstGeom>
                    <a:noFill/>
                  </pic:spPr>
                </pic:pic>
              </a:graphicData>
            </a:graphic>
          </wp:inline>
        </w:drawing>
      </w:r>
    </w:p>
    <w:p>
      <w:pPr>
        <w:pStyle w:val="Normal"/>
        <w:spacing w:before="20" w:after="100"/>
        <w:jc w:val="both"/>
        <w:rPr/>
      </w:pPr>
      <w:r>
        <w:rPr>
          <w:sz w:val="16"/>
          <w:szCs w:val="16"/>
        </w:rPr>
        <w:t>Fig. 12. Posterior mean and 94% interval of the cost per record of each service, compared with the observed mean.</w:t>
      </w:r>
    </w:p>
    <w:p>
      <w:pPr>
        <w:pStyle w:val="Normal"/>
        <w:spacing w:lineRule="auto" w:line="228" w:before="0" w:after="50"/>
        <w:ind w:firstLine="240"/>
        <w:jc w:val="both"/>
        <w:rPr/>
      </w:pPr>
      <w:r>
        <w:rPr/>
        <w:t>The six cheapest services (Cloud Run, Dataflow, Cloud Functions, AI Platform, Compute Engine and Kubernetes Engine) have posterior mean costs of about $595 to $764 per record, a clear gap to the other 19 services, whose means range from about $2,200 to $4,000. The model-implied means exceed the raw means for most services (for example Cloud NAT $4,011 against $3,389), because log cost retains some left skew (−0.48) and the lognormal form slightly overstates the mean. Model 2 is therefore best used to rank services and quantify relative differences rather than as an exact cost estimate. Note also that the ranking by cost per record differs from the ranking by total cost in Section IV: totals combine the number of records with the cost per record, so Cloud CDN has the highest total whereas Cloud NAT has the highest cost per record.</w:t>
      </w:r>
    </w:p>
    <w:p>
      <w:pPr>
        <w:pStyle w:val="Heading2"/>
        <w:rPr/>
      </w:pPr>
      <w:r>
        <w:rPr/>
        <w:t>C. Convergence and Model Checking</w:t>
      </w:r>
    </w:p>
    <w:p>
      <w:pPr>
        <w:pStyle w:val="Normal"/>
        <w:spacing w:lineRule="auto" w:line="228" w:before="0" w:after="50"/>
        <w:ind w:firstLine="240"/>
        <w:jc w:val="both"/>
        <w:rPr/>
      </w:pPr>
      <w:r>
        <w:rPr/>
        <w:t>Table XIII gives the convergence diagnostics, and Fig. 13 the trace plots. Model 1 converged cleanly on every criterion. Model 2 has no divergences and good energy, but its group-level parameters μ</w:t>
      </w:r>
      <w:r>
        <w:rPr>
          <w:vertAlign w:val="subscript"/>
        </w:rPr>
        <w:t>g</w:t>
      </w:r>
      <w:r>
        <w:rPr/>
        <w:t xml:space="preserve"> and τ mix more slowly (R-hat 1.02 for μ</w:t>
      </w:r>
      <w:r>
        <w:rPr>
          <w:vertAlign w:val="subscript"/>
        </w:rPr>
        <w:t>g</w:t>
      </w:r>
      <w:r>
        <w:rPr/>
        <w:t>, bulk ESS 318), which is common in hierarchical models because μ</w:t>
      </w:r>
      <w:r>
        <w:rPr>
          <w:vertAlign w:val="subscript"/>
        </w:rPr>
        <w:t>g</w:t>
      </w:r>
      <w:r>
        <w:rPr/>
        <w:t xml:space="preserve"> and the service effects trade off against each other. The service-level conclusions are not sensitive to this, but a final run with 2,000 tuning and 2,000 draws per chain is recommended so that all targets are met. The posterior predictive distributions of daily cost (Model 1) and of log record cost (Model 2) cover the observed data range and have the same general shape (Fig. 14).</w:t>
      </w:r>
    </w:p>
    <w:p>
      <w:pPr>
        <w:pStyle w:val="Normal"/>
        <w:keepNext w:val="true"/>
        <w:spacing w:before="100" w:after="0"/>
        <w:jc w:val="center"/>
        <w:rPr/>
      </w:pPr>
      <w:r>
        <w:rPr>
          <w:sz w:val="16"/>
          <w:szCs w:val="16"/>
        </w:rPr>
        <w:t>TABLE XIII</w:t>
      </w:r>
    </w:p>
    <w:p>
      <w:pPr>
        <w:pStyle w:val="Normal"/>
        <w:keepNext w:val="true"/>
        <w:spacing w:before="0" w:after="40"/>
        <w:jc w:val="center"/>
        <w:rPr/>
      </w:pPr>
      <w:r>
        <w:rPr>
          <w:sz w:val="16"/>
          <w:szCs w:val="16"/>
        </w:rPr>
        <w:t>CONVERGENCE DIAGNOSTICS</w:t>
      </w:r>
    </w:p>
    <w:tbl>
      <w:tblPr>
        <w:tblW w:w="4860" w:type="dxa"/>
        <w:jc w:val="start"/>
        <w:tblInd w:w="0" w:type="dxa"/>
        <w:tblLayout w:type="fixed"/>
        <w:tblCellMar>
          <w:top w:w="18" w:type="dxa"/>
          <w:start w:w="45" w:type="dxa"/>
          <w:bottom w:w="18" w:type="dxa"/>
          <w:end w:w="45" w:type="dxa"/>
        </w:tblCellMar>
        <w:tblLook w:val="0000" w:firstRow="0" w:noVBand="0" w:lastRow="0" w:firstColumn="0" w:lastColumn="0" w:noHBand="0"/>
      </w:tblPr>
      <w:tblGrid>
        <w:gridCol w:w="1400"/>
        <w:gridCol w:w="700"/>
        <w:gridCol w:w="1249"/>
        <w:gridCol w:w="1511"/>
      </w:tblGrid>
      <w:tr>
        <w:trPr>
          <w:tblHeader w:val="true"/>
          <w:cantSplit/>
        </w:trPr>
        <w:tc>
          <w:tcPr>
            <w:tcW w:w="1400" w:type="dxa"/>
            <w:tcBorders>
              <w:top w:val="single" w:sz="8" w:space="0" w:color="000000"/>
              <w:bottom w:val="single" w:sz="4" w:space="0" w:color="000000"/>
            </w:tcBorders>
            <w:vAlign w:val="center"/>
          </w:tcPr>
          <w:p>
            <w:pPr>
              <w:pStyle w:val="Normal"/>
              <w:rPr/>
            </w:pPr>
            <w:r>
              <w:rPr>
                <w:b/>
                <w:bCs/>
                <w:sz w:val="15"/>
                <w:szCs w:val="15"/>
              </w:rPr>
              <w:t>Diagnostic</w:t>
            </w:r>
          </w:p>
        </w:tc>
        <w:tc>
          <w:tcPr>
            <w:tcW w:w="700" w:type="dxa"/>
            <w:tcBorders>
              <w:top w:val="single" w:sz="8" w:space="0" w:color="000000"/>
              <w:bottom w:val="single" w:sz="4" w:space="0" w:color="000000"/>
            </w:tcBorders>
            <w:vAlign w:val="center"/>
          </w:tcPr>
          <w:p>
            <w:pPr>
              <w:pStyle w:val="Normal"/>
              <w:jc w:val="center"/>
              <w:rPr/>
            </w:pPr>
            <w:r>
              <w:rPr>
                <w:b/>
                <w:bCs/>
                <w:sz w:val="15"/>
                <w:szCs w:val="15"/>
              </w:rPr>
              <w:t>Target</w:t>
            </w:r>
          </w:p>
        </w:tc>
        <w:tc>
          <w:tcPr>
            <w:tcW w:w="1249" w:type="dxa"/>
            <w:tcBorders>
              <w:top w:val="single" w:sz="8" w:space="0" w:color="000000"/>
              <w:bottom w:val="single" w:sz="4" w:space="0" w:color="000000"/>
            </w:tcBorders>
            <w:vAlign w:val="center"/>
          </w:tcPr>
          <w:p>
            <w:pPr>
              <w:pStyle w:val="Normal"/>
              <w:jc w:val="center"/>
              <w:rPr/>
            </w:pPr>
            <w:r>
              <w:rPr>
                <w:b/>
                <w:bCs/>
                <w:sz w:val="15"/>
                <w:szCs w:val="15"/>
              </w:rPr>
              <w:t>Model 1</w:t>
            </w:r>
          </w:p>
        </w:tc>
        <w:tc>
          <w:tcPr>
            <w:tcW w:w="1511" w:type="dxa"/>
            <w:tcBorders>
              <w:top w:val="single" w:sz="8" w:space="0" w:color="000000"/>
              <w:bottom w:val="single" w:sz="4" w:space="0" w:color="000000"/>
            </w:tcBorders>
            <w:vAlign w:val="center"/>
          </w:tcPr>
          <w:p>
            <w:pPr>
              <w:pStyle w:val="Normal"/>
              <w:jc w:val="center"/>
              <w:rPr/>
            </w:pPr>
            <w:r>
              <w:rPr>
                <w:b/>
                <w:bCs/>
                <w:sz w:val="15"/>
                <w:szCs w:val="15"/>
              </w:rPr>
              <w:t>Model 2</w:t>
            </w:r>
          </w:p>
        </w:tc>
      </w:tr>
      <w:tr>
        <w:trPr>
          <w:cantSplit/>
        </w:trPr>
        <w:tc>
          <w:tcPr>
            <w:tcW w:w="1400" w:type="dxa"/>
            <w:tcBorders/>
            <w:vAlign w:val="center"/>
          </w:tcPr>
          <w:p>
            <w:pPr>
              <w:pStyle w:val="Normal"/>
              <w:rPr/>
            </w:pPr>
            <w:r>
              <w:rPr>
                <w:sz w:val="15"/>
                <w:szCs w:val="15"/>
              </w:rPr>
              <w:t>Max. R-hat</w:t>
            </w:r>
          </w:p>
        </w:tc>
        <w:tc>
          <w:tcPr>
            <w:tcW w:w="700" w:type="dxa"/>
            <w:tcBorders/>
            <w:vAlign w:val="center"/>
          </w:tcPr>
          <w:p>
            <w:pPr>
              <w:pStyle w:val="Normal"/>
              <w:jc w:val="center"/>
              <w:rPr/>
            </w:pPr>
            <w:r>
              <w:rPr>
                <w:sz w:val="15"/>
                <w:szCs w:val="15"/>
              </w:rPr>
              <w:t>&lt; 1.01</w:t>
            </w:r>
          </w:p>
        </w:tc>
        <w:tc>
          <w:tcPr>
            <w:tcW w:w="1249" w:type="dxa"/>
            <w:tcBorders/>
            <w:vAlign w:val="center"/>
          </w:tcPr>
          <w:p>
            <w:pPr>
              <w:pStyle w:val="Normal"/>
              <w:jc w:val="center"/>
              <w:rPr/>
            </w:pPr>
            <w:r>
              <w:rPr>
                <w:sz w:val="15"/>
                <w:szCs w:val="15"/>
              </w:rPr>
              <w:t>1.004 (met)</w:t>
            </w:r>
          </w:p>
        </w:tc>
        <w:tc>
          <w:tcPr>
            <w:tcW w:w="1511" w:type="dxa"/>
            <w:tcBorders/>
            <w:vAlign w:val="center"/>
          </w:tcPr>
          <w:p>
            <w:pPr>
              <w:pStyle w:val="Normal"/>
              <w:jc w:val="center"/>
              <w:rPr/>
            </w:pPr>
            <w:r>
              <w:rPr>
                <w:sz w:val="15"/>
                <w:szCs w:val="15"/>
              </w:rPr>
              <w:t>1.017 (slightly above)</w:t>
            </w:r>
          </w:p>
        </w:tc>
      </w:tr>
      <w:tr>
        <w:trPr>
          <w:cantSplit/>
        </w:trPr>
        <w:tc>
          <w:tcPr>
            <w:tcW w:w="1400" w:type="dxa"/>
            <w:tcBorders/>
            <w:vAlign w:val="center"/>
          </w:tcPr>
          <w:p>
            <w:pPr>
              <w:pStyle w:val="Normal"/>
              <w:rPr/>
            </w:pPr>
            <w:r>
              <w:rPr>
                <w:sz w:val="15"/>
                <w:szCs w:val="15"/>
              </w:rPr>
              <w:t>Min. bulk ESS</w:t>
            </w:r>
          </w:p>
        </w:tc>
        <w:tc>
          <w:tcPr>
            <w:tcW w:w="700" w:type="dxa"/>
            <w:tcBorders/>
            <w:vAlign w:val="center"/>
          </w:tcPr>
          <w:p>
            <w:pPr>
              <w:pStyle w:val="Normal"/>
              <w:jc w:val="center"/>
              <w:rPr/>
            </w:pPr>
            <w:r>
              <w:rPr>
                <w:sz w:val="15"/>
                <w:szCs w:val="15"/>
              </w:rPr>
              <w:t>&gt; 400</w:t>
            </w:r>
          </w:p>
        </w:tc>
        <w:tc>
          <w:tcPr>
            <w:tcW w:w="1249" w:type="dxa"/>
            <w:tcBorders/>
            <w:vAlign w:val="center"/>
          </w:tcPr>
          <w:p>
            <w:pPr>
              <w:pStyle w:val="Normal"/>
              <w:jc w:val="center"/>
              <w:rPr/>
            </w:pPr>
            <w:r>
              <w:rPr>
                <w:sz w:val="15"/>
                <w:szCs w:val="15"/>
              </w:rPr>
              <w:t>1,337 (met)</w:t>
            </w:r>
          </w:p>
        </w:tc>
        <w:tc>
          <w:tcPr>
            <w:tcW w:w="1511" w:type="dxa"/>
            <w:tcBorders/>
            <w:vAlign w:val="center"/>
          </w:tcPr>
          <w:p>
            <w:pPr>
              <w:pStyle w:val="Normal"/>
              <w:jc w:val="center"/>
              <w:rPr/>
            </w:pPr>
            <w:r>
              <w:rPr>
                <w:sz w:val="15"/>
                <w:szCs w:val="15"/>
              </w:rPr>
              <w:t>318 (slightly below)</w:t>
            </w:r>
          </w:p>
        </w:tc>
      </w:tr>
      <w:tr>
        <w:trPr>
          <w:cantSplit/>
        </w:trPr>
        <w:tc>
          <w:tcPr>
            <w:tcW w:w="1400" w:type="dxa"/>
            <w:tcBorders/>
            <w:vAlign w:val="center"/>
          </w:tcPr>
          <w:p>
            <w:pPr>
              <w:pStyle w:val="Normal"/>
              <w:rPr/>
            </w:pPr>
            <w:r>
              <w:rPr>
                <w:sz w:val="15"/>
                <w:szCs w:val="15"/>
              </w:rPr>
              <w:t>Min. tail ESS</w:t>
            </w:r>
          </w:p>
        </w:tc>
        <w:tc>
          <w:tcPr>
            <w:tcW w:w="700" w:type="dxa"/>
            <w:tcBorders/>
            <w:vAlign w:val="center"/>
          </w:tcPr>
          <w:p>
            <w:pPr>
              <w:pStyle w:val="Normal"/>
              <w:jc w:val="center"/>
              <w:rPr/>
            </w:pPr>
            <w:r>
              <w:rPr>
                <w:sz w:val="15"/>
                <w:szCs w:val="15"/>
              </w:rPr>
              <w:t>&gt; 400</w:t>
            </w:r>
          </w:p>
        </w:tc>
        <w:tc>
          <w:tcPr>
            <w:tcW w:w="1249" w:type="dxa"/>
            <w:tcBorders/>
            <w:vAlign w:val="center"/>
          </w:tcPr>
          <w:p>
            <w:pPr>
              <w:pStyle w:val="Normal"/>
              <w:jc w:val="center"/>
              <w:rPr/>
            </w:pPr>
            <w:r>
              <w:rPr>
                <w:sz w:val="15"/>
                <w:szCs w:val="15"/>
              </w:rPr>
              <w:t>1,350 (met)</w:t>
            </w:r>
          </w:p>
        </w:tc>
        <w:tc>
          <w:tcPr>
            <w:tcW w:w="1511" w:type="dxa"/>
            <w:tcBorders/>
            <w:vAlign w:val="center"/>
          </w:tcPr>
          <w:p>
            <w:pPr>
              <w:pStyle w:val="Normal"/>
              <w:jc w:val="center"/>
              <w:rPr/>
            </w:pPr>
            <w:r>
              <w:rPr>
                <w:sz w:val="15"/>
                <w:szCs w:val="15"/>
              </w:rPr>
              <w:t>575 (met)</w:t>
            </w:r>
          </w:p>
        </w:tc>
      </w:tr>
      <w:tr>
        <w:trPr>
          <w:cantSplit/>
        </w:trPr>
        <w:tc>
          <w:tcPr>
            <w:tcW w:w="1400" w:type="dxa"/>
            <w:tcBorders/>
            <w:vAlign w:val="center"/>
          </w:tcPr>
          <w:p>
            <w:pPr>
              <w:pStyle w:val="Normal"/>
              <w:rPr/>
            </w:pPr>
            <w:r>
              <w:rPr>
                <w:sz w:val="15"/>
                <w:szCs w:val="15"/>
              </w:rPr>
              <w:t>Divergences</w:t>
            </w:r>
          </w:p>
        </w:tc>
        <w:tc>
          <w:tcPr>
            <w:tcW w:w="700" w:type="dxa"/>
            <w:tcBorders/>
            <w:vAlign w:val="center"/>
          </w:tcPr>
          <w:p>
            <w:pPr>
              <w:pStyle w:val="Normal"/>
              <w:jc w:val="center"/>
              <w:rPr/>
            </w:pPr>
            <w:r>
              <w:rPr>
                <w:sz w:val="15"/>
                <w:szCs w:val="15"/>
              </w:rPr>
              <w:t>0</w:t>
            </w:r>
          </w:p>
        </w:tc>
        <w:tc>
          <w:tcPr>
            <w:tcW w:w="1249" w:type="dxa"/>
            <w:tcBorders/>
            <w:vAlign w:val="center"/>
          </w:tcPr>
          <w:p>
            <w:pPr>
              <w:pStyle w:val="Normal"/>
              <w:jc w:val="center"/>
              <w:rPr/>
            </w:pPr>
            <w:r>
              <w:rPr>
                <w:sz w:val="15"/>
                <w:szCs w:val="15"/>
              </w:rPr>
              <w:t>0 (met)</w:t>
            </w:r>
          </w:p>
        </w:tc>
        <w:tc>
          <w:tcPr>
            <w:tcW w:w="1511" w:type="dxa"/>
            <w:tcBorders/>
            <w:vAlign w:val="center"/>
          </w:tcPr>
          <w:p>
            <w:pPr>
              <w:pStyle w:val="Normal"/>
              <w:jc w:val="center"/>
              <w:rPr/>
            </w:pPr>
            <w:r>
              <w:rPr>
                <w:sz w:val="15"/>
                <w:szCs w:val="15"/>
              </w:rPr>
              <w:t>0 (met)</w:t>
            </w:r>
          </w:p>
        </w:tc>
      </w:tr>
      <w:tr>
        <w:trPr>
          <w:cantSplit/>
        </w:trPr>
        <w:tc>
          <w:tcPr>
            <w:tcW w:w="1400" w:type="dxa"/>
            <w:tcBorders>
              <w:bottom w:val="single" w:sz="8" w:space="0" w:color="000000"/>
            </w:tcBorders>
            <w:vAlign w:val="center"/>
          </w:tcPr>
          <w:p>
            <w:pPr>
              <w:pStyle w:val="Normal"/>
              <w:rPr/>
            </w:pPr>
            <w:r>
              <w:rPr>
                <w:sz w:val="15"/>
                <w:szCs w:val="15"/>
              </w:rPr>
              <w:t>BFMI per chain</w:t>
            </w:r>
          </w:p>
        </w:tc>
        <w:tc>
          <w:tcPr>
            <w:tcW w:w="700" w:type="dxa"/>
            <w:tcBorders>
              <w:bottom w:val="single" w:sz="8" w:space="0" w:color="000000"/>
            </w:tcBorders>
            <w:vAlign w:val="center"/>
          </w:tcPr>
          <w:p>
            <w:pPr>
              <w:pStyle w:val="Normal"/>
              <w:jc w:val="center"/>
              <w:rPr/>
            </w:pPr>
            <w:r>
              <w:rPr>
                <w:sz w:val="15"/>
                <w:szCs w:val="15"/>
              </w:rPr>
              <w:t>&gt; 0.3</w:t>
            </w:r>
          </w:p>
        </w:tc>
        <w:tc>
          <w:tcPr>
            <w:tcW w:w="1249" w:type="dxa"/>
            <w:tcBorders>
              <w:bottom w:val="single" w:sz="8" w:space="0" w:color="000000"/>
            </w:tcBorders>
            <w:vAlign w:val="center"/>
          </w:tcPr>
          <w:p>
            <w:pPr>
              <w:pStyle w:val="Normal"/>
              <w:jc w:val="center"/>
              <w:rPr/>
            </w:pPr>
            <w:r>
              <w:rPr>
                <w:sz w:val="15"/>
                <w:szCs w:val="15"/>
              </w:rPr>
              <w:t>0.85–0.93 (met)</w:t>
            </w:r>
          </w:p>
        </w:tc>
        <w:tc>
          <w:tcPr>
            <w:tcW w:w="1511" w:type="dxa"/>
            <w:tcBorders>
              <w:bottom w:val="single" w:sz="8" w:space="0" w:color="000000"/>
            </w:tcBorders>
            <w:vAlign w:val="center"/>
          </w:tcPr>
          <w:p>
            <w:pPr>
              <w:pStyle w:val="Normal"/>
              <w:jc w:val="center"/>
              <w:rPr/>
            </w:pPr>
            <w:r>
              <w:rPr>
                <w:sz w:val="15"/>
                <w:szCs w:val="15"/>
              </w:rPr>
              <w:t>0.70–0.73 (met)</w:t>
            </w:r>
          </w:p>
        </w:tc>
      </w:tr>
    </w:tbl>
    <w:p>
      <w:pPr>
        <w:pStyle w:val="Normal"/>
        <w:spacing w:before="0" w:after="60"/>
        <w:rPr/>
      </w:pPr>
      <w:r>
        <w:rPr/>
      </w:r>
    </w:p>
    <w:p>
      <w:pPr>
        <w:pStyle w:val="Normal"/>
        <w:keepNext w:val="true"/>
        <w:spacing w:before="60" w:after="0"/>
        <w:jc w:val="center"/>
        <w:rPr/>
      </w:pPr>
      <w:r>
        <w:rPr/>
        <w:drawing>
          <wp:inline distT="0" distB="0" distL="0" distR="0">
            <wp:extent cx="1508760" cy="613410"/>
            <wp:effectExtent l="0" t="0" r="0" b="0"/>
            <wp:docPr id="33" name="Figure 13a" descr="Figure 13a" title="Figure 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gure 13a" descr="Figure 13a" title="Figure 13a"/>
                    <pic:cNvPicPr>
                      <a:picLocks noChangeAspect="1" noChangeArrowheads="1"/>
                    </pic:cNvPicPr>
                  </pic:nvPicPr>
                  <pic:blipFill>
                    <a:blip r:embed="rId34"/>
                    <a:stretch>
                      <a:fillRect/>
                    </a:stretch>
                  </pic:blipFill>
                  <pic:spPr bwMode="auto">
                    <a:xfrm>
                      <a:off x="0" y="0"/>
                      <a:ext cx="1508760" cy="613410"/>
                    </a:xfrm>
                    <a:prstGeom prst="rect">
                      <a:avLst/>
                    </a:prstGeom>
                    <a:noFill/>
                  </pic:spPr>
                </pic:pic>
              </a:graphicData>
            </a:graphic>
          </wp:inline>
        </w:drawing>
      </w:r>
      <w:r>
        <w:rPr/>
        <w:drawing>
          <wp:inline distT="0" distB="0" distL="0" distR="0">
            <wp:extent cx="1508760" cy="613410"/>
            <wp:effectExtent l="0" t="0" r="0" b="0"/>
            <wp:docPr id="34" name="Figure 13b" descr="Figure 13b" title="Figure 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Figure 13b" descr="Figure 13b" title="Figure 13b"/>
                    <pic:cNvPicPr>
                      <a:picLocks noChangeAspect="1" noChangeArrowheads="1"/>
                    </pic:cNvPicPr>
                  </pic:nvPicPr>
                  <pic:blipFill>
                    <a:blip r:embed="rId35"/>
                    <a:stretch>
                      <a:fillRect/>
                    </a:stretch>
                  </pic:blipFill>
                  <pic:spPr bwMode="auto">
                    <a:xfrm>
                      <a:off x="0" y="0"/>
                      <a:ext cx="1508760" cy="613410"/>
                    </a:xfrm>
                    <a:prstGeom prst="rect">
                      <a:avLst/>
                    </a:prstGeom>
                    <a:noFill/>
                  </pic:spPr>
                </pic:pic>
              </a:graphicData>
            </a:graphic>
          </wp:inline>
        </w:drawing>
      </w:r>
    </w:p>
    <w:p>
      <w:pPr>
        <w:pStyle w:val="Normal"/>
        <w:keepNext w:val="true"/>
        <w:spacing w:before="60" w:after="0"/>
        <w:jc w:val="center"/>
        <w:rPr/>
      </w:pPr>
      <w:r>
        <w:rPr/>
        <w:drawing>
          <wp:inline distT="0" distB="0" distL="0" distR="0">
            <wp:extent cx="1508760" cy="613410"/>
            <wp:effectExtent l="0" t="0" r="0" b="0"/>
            <wp:docPr id="35" name="Figure 13c" descr="Figure 13c" title="Figure 1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igure 13c" descr="Figure 13c" title="Figure 13c"/>
                    <pic:cNvPicPr>
                      <a:picLocks noChangeAspect="1" noChangeArrowheads="1"/>
                    </pic:cNvPicPr>
                  </pic:nvPicPr>
                  <pic:blipFill>
                    <a:blip r:embed="rId36"/>
                    <a:stretch>
                      <a:fillRect/>
                    </a:stretch>
                  </pic:blipFill>
                  <pic:spPr bwMode="auto">
                    <a:xfrm>
                      <a:off x="0" y="0"/>
                      <a:ext cx="1508760" cy="613410"/>
                    </a:xfrm>
                    <a:prstGeom prst="rect">
                      <a:avLst/>
                    </a:prstGeom>
                    <a:noFill/>
                  </pic:spPr>
                </pic:pic>
              </a:graphicData>
            </a:graphic>
          </wp:inline>
        </w:drawing>
      </w:r>
      <w:r>
        <w:rPr/>
        <w:drawing>
          <wp:inline distT="0" distB="0" distL="0" distR="0">
            <wp:extent cx="1508760" cy="613410"/>
            <wp:effectExtent l="0" t="0" r="0" b="0"/>
            <wp:docPr id="36" name="Figure 13d" descr="Figure 13d" title="Figure 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igure 13d" descr="Figure 13d" title="Figure 13d"/>
                    <pic:cNvPicPr>
                      <a:picLocks noChangeAspect="1" noChangeArrowheads="1"/>
                    </pic:cNvPicPr>
                  </pic:nvPicPr>
                  <pic:blipFill>
                    <a:blip r:embed="rId37"/>
                    <a:stretch>
                      <a:fillRect/>
                    </a:stretch>
                  </pic:blipFill>
                  <pic:spPr bwMode="auto">
                    <a:xfrm>
                      <a:off x="0" y="0"/>
                      <a:ext cx="1508760" cy="613410"/>
                    </a:xfrm>
                    <a:prstGeom prst="rect">
                      <a:avLst/>
                    </a:prstGeom>
                    <a:noFill/>
                  </pic:spPr>
                </pic:pic>
              </a:graphicData>
            </a:graphic>
          </wp:inline>
        </w:drawing>
      </w:r>
    </w:p>
    <w:p>
      <w:pPr>
        <w:pStyle w:val="Normal"/>
        <w:keepNext w:val="true"/>
        <w:spacing w:before="60" w:after="0"/>
        <w:jc w:val="center"/>
        <w:rPr/>
      </w:pPr>
      <w:r>
        <w:rPr/>
        <w:drawing>
          <wp:inline distT="0" distB="0" distL="0" distR="0">
            <wp:extent cx="1508760" cy="872490"/>
            <wp:effectExtent l="0" t="0" r="0" b="0"/>
            <wp:docPr id="37" name="Figure 13e" descr="Figure 13e" title="Figure 1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Figure 13e" descr="Figure 13e" title="Figure 13e"/>
                    <pic:cNvPicPr>
                      <a:picLocks noChangeAspect="1" noChangeArrowheads="1"/>
                    </pic:cNvPicPr>
                  </pic:nvPicPr>
                  <pic:blipFill>
                    <a:blip r:embed="rId38"/>
                    <a:stretch>
                      <a:fillRect/>
                    </a:stretch>
                  </pic:blipFill>
                  <pic:spPr bwMode="auto">
                    <a:xfrm>
                      <a:off x="0" y="0"/>
                      <a:ext cx="1508760" cy="872490"/>
                    </a:xfrm>
                    <a:prstGeom prst="rect">
                      <a:avLst/>
                    </a:prstGeom>
                    <a:noFill/>
                  </pic:spPr>
                </pic:pic>
              </a:graphicData>
            </a:graphic>
          </wp:inline>
        </w:drawing>
      </w:r>
      <w:r>
        <w:rPr/>
        <w:drawing>
          <wp:inline distT="0" distB="0" distL="0" distR="0">
            <wp:extent cx="1508760" cy="872490"/>
            <wp:effectExtent l="0" t="0" r="0" b="0"/>
            <wp:docPr id="38" name="Figure 13f" descr="Figure 13f" title="Figure 1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Figure 13f" descr="Figure 13f" title="Figure 13f"/>
                    <pic:cNvPicPr>
                      <a:picLocks noChangeAspect="1" noChangeArrowheads="1"/>
                    </pic:cNvPicPr>
                  </pic:nvPicPr>
                  <pic:blipFill>
                    <a:blip r:embed="rId39"/>
                    <a:stretch>
                      <a:fillRect/>
                    </a:stretch>
                  </pic:blipFill>
                  <pic:spPr bwMode="auto">
                    <a:xfrm>
                      <a:off x="0" y="0"/>
                      <a:ext cx="1508760" cy="872490"/>
                    </a:xfrm>
                    <a:prstGeom prst="rect">
                      <a:avLst/>
                    </a:prstGeom>
                    <a:noFill/>
                  </pic:spPr>
                </pic:pic>
              </a:graphicData>
            </a:graphic>
          </wp:inline>
        </w:drawing>
      </w:r>
    </w:p>
    <w:p>
      <w:pPr>
        <w:pStyle w:val="Normal"/>
        <w:keepNext w:val="true"/>
        <w:spacing w:before="60" w:after="0"/>
        <w:jc w:val="center"/>
        <w:rPr/>
      </w:pPr>
      <w:r>
        <w:rPr/>
        <w:drawing>
          <wp:inline distT="0" distB="0" distL="0" distR="0">
            <wp:extent cx="1508760" cy="872490"/>
            <wp:effectExtent l="0" t="0" r="0" b="0"/>
            <wp:docPr id="39" name="Figure 13g" descr="Figure 13g" title="Figure 13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Figure 13g" descr="Figure 13g" title="Figure 13g"/>
                    <pic:cNvPicPr>
                      <a:picLocks noChangeAspect="1" noChangeArrowheads="1"/>
                    </pic:cNvPicPr>
                  </pic:nvPicPr>
                  <pic:blipFill>
                    <a:blip r:embed="rId40"/>
                    <a:stretch>
                      <a:fillRect/>
                    </a:stretch>
                  </pic:blipFill>
                  <pic:spPr bwMode="auto">
                    <a:xfrm>
                      <a:off x="0" y="0"/>
                      <a:ext cx="1508760" cy="872490"/>
                    </a:xfrm>
                    <a:prstGeom prst="rect">
                      <a:avLst/>
                    </a:prstGeom>
                    <a:noFill/>
                  </pic:spPr>
                </pic:pic>
              </a:graphicData>
            </a:graphic>
          </wp:inline>
        </w:drawing>
      </w:r>
      <w:r>
        <w:rPr/>
        <w:drawing>
          <wp:inline distT="0" distB="0" distL="0" distR="0">
            <wp:extent cx="1508760" cy="872490"/>
            <wp:effectExtent l="0" t="0" r="0" b="0"/>
            <wp:docPr id="40" name="Figure 13h" descr="Figure 13h" title="Figure 13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igure 13h" descr="Figure 13h" title="Figure 13h"/>
                    <pic:cNvPicPr>
                      <a:picLocks noChangeAspect="1" noChangeArrowheads="1"/>
                    </pic:cNvPicPr>
                  </pic:nvPicPr>
                  <pic:blipFill>
                    <a:blip r:embed="rId41"/>
                    <a:stretch>
                      <a:fillRect/>
                    </a:stretch>
                  </pic:blipFill>
                  <pic:spPr bwMode="auto">
                    <a:xfrm>
                      <a:off x="0" y="0"/>
                      <a:ext cx="1508760" cy="872490"/>
                    </a:xfrm>
                    <a:prstGeom prst="rect">
                      <a:avLst/>
                    </a:prstGeom>
                    <a:noFill/>
                  </pic:spPr>
                </pic:pic>
              </a:graphicData>
            </a:graphic>
          </wp:inline>
        </w:drawing>
      </w:r>
    </w:p>
    <w:p>
      <w:pPr>
        <w:pStyle w:val="Normal"/>
        <w:keepNext w:val="true"/>
        <w:spacing w:before="60" w:after="0"/>
        <w:jc w:val="center"/>
        <w:rPr/>
      </w:pPr>
      <w:r>
        <w:rPr/>
        <w:drawing>
          <wp:inline distT="0" distB="0" distL="0" distR="0">
            <wp:extent cx="1508760" cy="613410"/>
            <wp:effectExtent l="0" t="0" r="0" b="0"/>
            <wp:docPr id="41" name="Figure 13i" descr="Figure 13i" title="Figure 13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Figure 13i" descr="Figure 13i" title="Figure 13i"/>
                    <pic:cNvPicPr>
                      <a:picLocks noChangeAspect="1" noChangeArrowheads="1"/>
                    </pic:cNvPicPr>
                  </pic:nvPicPr>
                  <pic:blipFill>
                    <a:blip r:embed="rId42"/>
                    <a:stretch>
                      <a:fillRect/>
                    </a:stretch>
                  </pic:blipFill>
                  <pic:spPr bwMode="auto">
                    <a:xfrm>
                      <a:off x="0" y="0"/>
                      <a:ext cx="1508760" cy="613410"/>
                    </a:xfrm>
                    <a:prstGeom prst="rect">
                      <a:avLst/>
                    </a:prstGeom>
                    <a:noFill/>
                  </pic:spPr>
                </pic:pic>
              </a:graphicData>
            </a:graphic>
          </wp:inline>
        </w:drawing>
      </w:r>
      <w:r>
        <w:rPr/>
        <w:drawing>
          <wp:inline distT="0" distB="0" distL="0" distR="0">
            <wp:extent cx="1508760" cy="613410"/>
            <wp:effectExtent l="0" t="0" r="0" b="0"/>
            <wp:docPr id="42" name="Figure 13j" descr="Figure 13j" title="Figure 13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Figure 13j" descr="Figure 13j" title="Figure 13j"/>
                    <pic:cNvPicPr>
                      <a:picLocks noChangeAspect="1" noChangeArrowheads="1"/>
                    </pic:cNvPicPr>
                  </pic:nvPicPr>
                  <pic:blipFill>
                    <a:blip r:embed="rId43"/>
                    <a:stretch>
                      <a:fillRect/>
                    </a:stretch>
                  </pic:blipFill>
                  <pic:spPr bwMode="auto">
                    <a:xfrm>
                      <a:off x="0" y="0"/>
                      <a:ext cx="1508760" cy="613410"/>
                    </a:xfrm>
                    <a:prstGeom prst="rect">
                      <a:avLst/>
                    </a:prstGeom>
                    <a:noFill/>
                  </pic:spPr>
                </pic:pic>
              </a:graphicData>
            </a:graphic>
          </wp:inline>
        </w:drawing>
      </w:r>
    </w:p>
    <w:p>
      <w:pPr>
        <w:pStyle w:val="Normal"/>
        <w:spacing w:before="60" w:after="0"/>
        <w:jc w:val="center"/>
        <w:rPr/>
      </w:pPr>
      <w:r>
        <w:rPr/>
        <w:drawing>
          <wp:inline distT="0" distB="0" distL="0" distR="0">
            <wp:extent cx="1508760" cy="613410"/>
            <wp:effectExtent l="0" t="0" r="0" b="0"/>
            <wp:docPr id="43" name="Figure 13k" descr="Figure 13k" title="Figure 13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Figure 13k" descr="Figure 13k" title="Figure 13k"/>
                    <pic:cNvPicPr>
                      <a:picLocks noChangeAspect="1" noChangeArrowheads="1"/>
                    </pic:cNvPicPr>
                  </pic:nvPicPr>
                  <pic:blipFill>
                    <a:blip r:embed="rId44"/>
                    <a:stretch>
                      <a:fillRect/>
                    </a:stretch>
                  </pic:blipFill>
                  <pic:spPr bwMode="auto">
                    <a:xfrm>
                      <a:off x="0" y="0"/>
                      <a:ext cx="1508760" cy="613410"/>
                    </a:xfrm>
                    <a:prstGeom prst="rect">
                      <a:avLst/>
                    </a:prstGeom>
                    <a:noFill/>
                  </pic:spPr>
                </pic:pic>
              </a:graphicData>
            </a:graphic>
          </wp:inline>
        </w:drawing>
      </w:r>
    </w:p>
    <w:p>
      <w:pPr>
        <w:pStyle w:val="Normal"/>
        <w:spacing w:before="20" w:after="100"/>
        <w:jc w:val="both"/>
        <w:rPr/>
      </w:pPr>
      <w:r>
        <w:rPr>
          <w:sz w:val="16"/>
          <w:szCs w:val="16"/>
        </w:rPr>
        <w:t>Fig. 13. Trace plots of the main parameters of Models 1 and 2.</w:t>
      </w:r>
    </w:p>
    <w:p>
      <w:pPr>
        <w:pStyle w:val="Normal"/>
        <w:keepNext w:val="true"/>
        <w:spacing w:before="60" w:after="0"/>
        <w:jc w:val="center"/>
        <w:rPr/>
      </w:pPr>
      <w:r>
        <w:rPr/>
        <w:drawing>
          <wp:inline distT="0" distB="0" distL="0" distR="0">
            <wp:extent cx="2743200" cy="786765"/>
            <wp:effectExtent l="0" t="0" r="0" b="0"/>
            <wp:docPr id="44" name="Figure 14" descr="Figure 14"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Figure 14" descr="Figure 14" title="Figure 14"/>
                    <pic:cNvPicPr>
                      <a:picLocks noChangeAspect="1" noChangeArrowheads="1"/>
                    </pic:cNvPicPr>
                  </pic:nvPicPr>
                  <pic:blipFill>
                    <a:blip r:embed="rId45"/>
                    <a:stretch>
                      <a:fillRect/>
                    </a:stretch>
                  </pic:blipFill>
                  <pic:spPr bwMode="auto">
                    <a:xfrm>
                      <a:off x="0" y="0"/>
                      <a:ext cx="2743200" cy="786765"/>
                    </a:xfrm>
                    <a:prstGeom prst="rect">
                      <a:avLst/>
                    </a:prstGeom>
                    <a:noFill/>
                  </pic:spPr>
                </pic:pic>
              </a:graphicData>
            </a:graphic>
          </wp:inline>
        </w:drawing>
      </w:r>
    </w:p>
    <w:p>
      <w:pPr>
        <w:pStyle w:val="Normal"/>
        <w:spacing w:before="20" w:after="100"/>
        <w:jc w:val="both"/>
        <w:rPr/>
      </w:pPr>
      <w:r>
        <w:rPr>
          <w:sz w:val="16"/>
          <w:szCs w:val="16"/>
        </w:rPr>
        <w:t>Fig. 14. Posterior predictive checks: daily cost (Model 1, $ thousands) and log record cost (Model 2).</w:t>
      </w:r>
    </w:p>
    <w:p>
      <w:pPr>
        <w:pStyle w:val="Heading2"/>
        <w:rPr/>
      </w:pPr>
      <w:r>
        <w:rPr/>
        <w:t>D. 30-Day Forecast and Budget Risk</w:t>
      </w:r>
    </w:p>
    <w:p>
      <w:pPr>
        <w:pStyle w:val="Normal"/>
        <w:spacing w:lineRule="auto" w:line="228" w:before="0" w:after="50"/>
        <w:ind w:firstLine="240"/>
        <w:jc w:val="both"/>
        <w:rPr/>
      </w:pPr>
      <w:r>
        <w:rPr/>
        <w:t>Posterior samples of Model 1 were used to simulate 4,000 possible 30-day cost scenarios as described in Section V-G; Table XIV and Fig. 15 summarise the result. The median predicted cost for the next 30 days is $793,267.40, and the 94% predictive interval is approximately $518,123 to $1,077,778. The planning budget, the historical mean daily cost times 30 days, is $1,073,313.26, and the estimated probability of exceeding it is 3.17%. The median forecast lies well below the planning budget because the fitted trend is negative, so under the stated assumption the estimated probability of a budget overrun is relatively low. The forecast should be read as “if the observed trend continues”.</w:t>
      </w:r>
    </w:p>
    <w:p>
      <w:pPr>
        <w:pStyle w:val="Normal"/>
        <w:keepNext w:val="true"/>
        <w:spacing w:before="100" w:after="0"/>
        <w:jc w:val="center"/>
        <w:rPr/>
      </w:pPr>
      <w:r>
        <w:rPr>
          <w:sz w:val="16"/>
          <w:szCs w:val="16"/>
        </w:rPr>
        <w:t>TABLE XIV</w:t>
      </w:r>
    </w:p>
    <w:p>
      <w:pPr>
        <w:pStyle w:val="Normal"/>
        <w:keepNext w:val="true"/>
        <w:spacing w:before="0" w:after="40"/>
        <w:jc w:val="center"/>
        <w:rPr/>
      </w:pPr>
      <w:r>
        <w:rPr>
          <w:sz w:val="16"/>
          <w:szCs w:val="16"/>
        </w:rPr>
        <w:t>30-DAY BAYESIAN FORECAST AND BUDGET RISK</w:t>
      </w:r>
    </w:p>
    <w:tbl>
      <w:tblPr>
        <w:tblW w:w="4860" w:type="dxa"/>
        <w:jc w:val="start"/>
        <w:tblInd w:w="0" w:type="dxa"/>
        <w:tblLayout w:type="fixed"/>
        <w:tblCellMar>
          <w:top w:w="18" w:type="dxa"/>
          <w:start w:w="45" w:type="dxa"/>
          <w:bottom w:w="18" w:type="dxa"/>
          <w:end w:w="45" w:type="dxa"/>
        </w:tblCellMar>
        <w:tblLook w:val="0000" w:firstRow="0" w:noVBand="0" w:lastRow="0" w:firstColumn="0" w:lastColumn="0" w:noHBand="0"/>
      </w:tblPr>
      <w:tblGrid>
        <w:gridCol w:w="3000"/>
        <w:gridCol w:w="1860"/>
      </w:tblGrid>
      <w:tr>
        <w:trPr>
          <w:tblHeader w:val="true"/>
          <w:cantSplit/>
        </w:trPr>
        <w:tc>
          <w:tcPr>
            <w:tcW w:w="3000" w:type="dxa"/>
            <w:tcBorders>
              <w:top w:val="single" w:sz="8" w:space="0" w:color="000000"/>
              <w:bottom w:val="single" w:sz="4" w:space="0" w:color="000000"/>
            </w:tcBorders>
            <w:vAlign w:val="center"/>
          </w:tcPr>
          <w:p>
            <w:pPr>
              <w:pStyle w:val="Normal"/>
              <w:rPr/>
            </w:pPr>
            <w:r>
              <w:rPr>
                <w:b/>
                <w:bCs/>
                <w:sz w:val="15"/>
                <w:szCs w:val="15"/>
              </w:rPr>
              <w:t>Quantity</w:t>
            </w:r>
          </w:p>
        </w:tc>
        <w:tc>
          <w:tcPr>
            <w:tcW w:w="1860" w:type="dxa"/>
            <w:tcBorders>
              <w:top w:val="single" w:sz="8" w:space="0" w:color="000000"/>
              <w:bottom w:val="single" w:sz="4" w:space="0" w:color="000000"/>
            </w:tcBorders>
            <w:vAlign w:val="center"/>
          </w:tcPr>
          <w:p>
            <w:pPr>
              <w:pStyle w:val="Normal"/>
              <w:jc w:val="center"/>
              <w:rPr/>
            </w:pPr>
            <w:r>
              <w:rPr>
                <w:b/>
                <w:bCs/>
                <w:sz w:val="15"/>
                <w:szCs w:val="15"/>
              </w:rPr>
              <w:t>Value</w:t>
            </w:r>
          </w:p>
        </w:tc>
      </w:tr>
      <w:tr>
        <w:trPr>
          <w:cantSplit/>
        </w:trPr>
        <w:tc>
          <w:tcPr>
            <w:tcW w:w="3000" w:type="dxa"/>
            <w:tcBorders/>
            <w:vAlign w:val="center"/>
          </w:tcPr>
          <w:p>
            <w:pPr>
              <w:pStyle w:val="Normal"/>
              <w:rPr/>
            </w:pPr>
            <w:r>
              <w:rPr>
                <w:sz w:val="15"/>
                <w:szCs w:val="15"/>
              </w:rPr>
              <w:t>Median 30-day cost</w:t>
            </w:r>
          </w:p>
        </w:tc>
        <w:tc>
          <w:tcPr>
            <w:tcW w:w="1860" w:type="dxa"/>
            <w:tcBorders/>
            <w:vAlign w:val="center"/>
          </w:tcPr>
          <w:p>
            <w:pPr>
              <w:pStyle w:val="Normal"/>
              <w:jc w:val="end"/>
              <w:rPr/>
            </w:pPr>
            <w:r>
              <w:rPr>
                <w:sz w:val="15"/>
                <w:szCs w:val="15"/>
              </w:rPr>
              <w:t>$793,267.40</w:t>
            </w:r>
          </w:p>
        </w:tc>
      </w:tr>
      <w:tr>
        <w:trPr>
          <w:cantSplit/>
        </w:trPr>
        <w:tc>
          <w:tcPr>
            <w:tcW w:w="3000" w:type="dxa"/>
            <w:tcBorders/>
            <w:vAlign w:val="center"/>
          </w:tcPr>
          <w:p>
            <w:pPr>
              <w:pStyle w:val="Normal"/>
              <w:rPr/>
            </w:pPr>
            <w:r>
              <w:rPr>
                <w:sz w:val="15"/>
                <w:szCs w:val="15"/>
              </w:rPr>
              <w:t>94% predictive interval</w:t>
            </w:r>
          </w:p>
        </w:tc>
        <w:tc>
          <w:tcPr>
            <w:tcW w:w="1860" w:type="dxa"/>
            <w:tcBorders/>
            <w:vAlign w:val="center"/>
          </w:tcPr>
          <w:p>
            <w:pPr>
              <w:pStyle w:val="Normal"/>
              <w:jc w:val="end"/>
              <w:rPr/>
            </w:pPr>
            <w:r>
              <w:rPr>
                <w:sz w:val="15"/>
                <w:szCs w:val="15"/>
              </w:rPr>
              <w:t>$518,123-$1,077,778</w:t>
            </w:r>
          </w:p>
        </w:tc>
      </w:tr>
      <w:tr>
        <w:trPr>
          <w:cantSplit/>
        </w:trPr>
        <w:tc>
          <w:tcPr>
            <w:tcW w:w="3000" w:type="dxa"/>
            <w:tcBorders/>
            <w:vAlign w:val="center"/>
          </w:tcPr>
          <w:p>
            <w:pPr>
              <w:pStyle w:val="Normal"/>
              <w:rPr/>
            </w:pPr>
            <w:r>
              <w:rPr>
                <w:sz w:val="15"/>
                <w:szCs w:val="15"/>
              </w:rPr>
              <w:t>Planning budget (30 × mean daily cost)</w:t>
            </w:r>
          </w:p>
        </w:tc>
        <w:tc>
          <w:tcPr>
            <w:tcW w:w="1860" w:type="dxa"/>
            <w:tcBorders/>
            <w:vAlign w:val="center"/>
          </w:tcPr>
          <w:p>
            <w:pPr>
              <w:pStyle w:val="Normal"/>
              <w:jc w:val="end"/>
              <w:rPr/>
            </w:pPr>
            <w:r>
              <w:rPr>
                <w:sz w:val="15"/>
                <w:szCs w:val="15"/>
              </w:rPr>
              <w:t>$1,073,313.26</w:t>
            </w:r>
          </w:p>
        </w:tc>
      </w:tr>
      <w:tr>
        <w:trPr>
          <w:cantSplit/>
        </w:trPr>
        <w:tc>
          <w:tcPr>
            <w:tcW w:w="3000" w:type="dxa"/>
            <w:tcBorders/>
            <w:vAlign w:val="center"/>
          </w:tcPr>
          <w:p>
            <w:pPr>
              <w:pStyle w:val="Normal"/>
              <w:rPr/>
            </w:pPr>
            <w:r>
              <w:rPr>
                <w:sz w:val="15"/>
                <w:szCs w:val="15"/>
              </w:rPr>
              <w:t>P(30-day cost &gt; planning budget)</w:t>
            </w:r>
          </w:p>
        </w:tc>
        <w:tc>
          <w:tcPr>
            <w:tcW w:w="1860" w:type="dxa"/>
            <w:tcBorders/>
            <w:vAlign w:val="center"/>
          </w:tcPr>
          <w:p>
            <w:pPr>
              <w:pStyle w:val="Normal"/>
              <w:jc w:val="end"/>
              <w:rPr/>
            </w:pPr>
            <w:r>
              <w:rPr>
                <w:sz w:val="15"/>
                <w:szCs w:val="15"/>
              </w:rPr>
              <w:t>3.17%</w:t>
            </w:r>
          </w:p>
        </w:tc>
      </w:tr>
      <w:tr>
        <w:trPr>
          <w:cantSplit/>
        </w:trPr>
        <w:tc>
          <w:tcPr>
            <w:tcW w:w="3000" w:type="dxa"/>
            <w:tcBorders>
              <w:bottom w:val="single" w:sz="8" w:space="0" w:color="000000"/>
            </w:tcBorders>
            <w:vAlign w:val="center"/>
          </w:tcPr>
          <w:p>
            <w:pPr>
              <w:pStyle w:val="Normal"/>
              <w:rPr/>
            </w:pPr>
            <w:r>
              <w:rPr>
                <w:sz w:val="15"/>
                <w:szCs w:val="15"/>
              </w:rPr>
              <w:t>Simulated scenarios</w:t>
            </w:r>
          </w:p>
        </w:tc>
        <w:tc>
          <w:tcPr>
            <w:tcW w:w="1860" w:type="dxa"/>
            <w:tcBorders>
              <w:bottom w:val="single" w:sz="8" w:space="0" w:color="000000"/>
            </w:tcBorders>
            <w:vAlign w:val="center"/>
          </w:tcPr>
          <w:p>
            <w:pPr>
              <w:pStyle w:val="Normal"/>
              <w:jc w:val="end"/>
              <w:rPr/>
            </w:pPr>
            <w:r>
              <w:rPr>
                <w:sz w:val="15"/>
                <w:szCs w:val="15"/>
              </w:rPr>
              <w:t>4,000</w:t>
            </w:r>
          </w:p>
        </w:tc>
      </w:tr>
    </w:tbl>
    <w:p>
      <w:pPr>
        <w:pStyle w:val="Normal"/>
        <w:spacing w:before="0" w:after="60"/>
        <w:rPr/>
      </w:pPr>
      <w:r>
        <w:rPr/>
      </w:r>
    </w:p>
    <w:p>
      <w:pPr>
        <w:pStyle w:val="Normal"/>
        <w:keepNext w:val="true"/>
        <w:spacing w:before="60" w:after="0"/>
        <w:rPr/>
      </w:pPr>
      <w:r>
        <w:rPr/>
        <w:drawing>
          <wp:anchor distT="0" distB="0" distL="0" distR="0" simplePos="0" relativeHeight="48" behindDoc="0" locked="0" layoutInCell="0" allowOverlap="1">
            <wp:simplePos x="0" y="0"/>
            <wp:positionH relativeFrom="column">
              <wp:posOffset>158750</wp:posOffset>
            </wp:positionH>
            <wp:positionV relativeFrom="paragraph">
              <wp:posOffset>87630</wp:posOffset>
            </wp:positionV>
            <wp:extent cx="2988945" cy="1210945"/>
            <wp:effectExtent l="0" t="0" r="0" b="0"/>
            <wp:wrapSquare wrapText="largest"/>
            <wp:docPr id="4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
                    <pic:cNvPicPr>
                      <a:picLocks noChangeAspect="1" noChangeArrowheads="1"/>
                    </pic:cNvPicPr>
                  </pic:nvPicPr>
                  <pic:blipFill>
                    <a:blip r:embed="rId46"/>
                    <a:srcRect l="1563" t="3265" r="1582" b="5174"/>
                    <a:stretch>
                      <a:fillRect/>
                    </a:stretch>
                  </pic:blipFill>
                  <pic:spPr bwMode="auto">
                    <a:xfrm>
                      <a:off x="0" y="0"/>
                      <a:ext cx="2988945" cy="1210945"/>
                    </a:xfrm>
                    <a:prstGeom prst="rect">
                      <a:avLst/>
                    </a:prstGeom>
                    <a:noFill/>
                  </pic:spPr>
                </pic:pic>
              </a:graphicData>
            </a:graphic>
          </wp:anchor>
        </w:drawing>
      </w:r>
    </w:p>
    <w:p>
      <w:pPr>
        <w:pStyle w:val="Normal"/>
        <w:spacing w:before="20" w:after="100"/>
        <w:jc w:val="both"/>
        <w:rPr/>
      </w:pPr>
      <w:r>
        <w:rPr>
          <w:sz w:val="16"/>
          <w:szCs w:val="16"/>
        </w:rPr>
        <w:t>Fig. 15. Distribution of simulated 30-day total cost with the median, 94% interval and planning budget.</w:t>
      </w:r>
    </w:p>
    <w:p>
      <w:pPr>
        <w:pStyle w:val="Heading2"/>
        <w:rPr/>
      </w:pPr>
      <w:r>
        <w:rPr/>
        <w:t>E. Idle Resources and Optimization</w:t>
      </w:r>
    </w:p>
    <w:p>
      <w:pPr>
        <w:pStyle w:val="Normal"/>
        <w:spacing w:lineRule="auto" w:line="228" w:before="0" w:after="50"/>
        <w:ind w:firstLine="240"/>
        <w:jc w:val="both"/>
        <w:rPr/>
      </w:pPr>
      <w:r>
        <w:rPr/>
        <w:t>Of the 1,000 resources, 26 (2.6%) have both CPU and memory utilization below 20%. The posterior mean of the idle fraction is 0.027 (94% interval 0.018 to 0.037 under a uniform prior). Their mean cost is $2,423 per resource, compared with $2,135 for all resources, and their historical cost is $63,003.67, which is 2.95% of the total. A small but measurable part of expenditure is therefore associated with under-utilized resources. Table XV gives two what-if scenarios based on the historical idle-resource cost share: eliminating half of the idle cost lowers the median 30-day cost to $781,563.95 (saving $11,703.45), and eliminating all of it to $769,860.51 (saving $23,406.90). These are scenario estimates, not guaranteed savings.</w:t>
      </w:r>
    </w:p>
    <w:p>
      <w:pPr>
        <w:pStyle w:val="Normal"/>
        <w:keepNext w:val="true"/>
        <w:spacing w:before="100" w:after="0"/>
        <w:jc w:val="center"/>
        <w:rPr/>
      </w:pPr>
      <w:r>
        <w:rPr>
          <w:sz w:val="16"/>
          <w:szCs w:val="16"/>
        </w:rPr>
        <w:t>TABLE XV</w:t>
      </w:r>
    </w:p>
    <w:p>
      <w:pPr>
        <w:pStyle w:val="Normal"/>
        <w:keepNext w:val="true"/>
        <w:spacing w:before="0" w:after="40"/>
        <w:jc w:val="center"/>
        <w:rPr/>
      </w:pPr>
      <w:r>
        <w:rPr>
          <w:sz w:val="16"/>
          <w:szCs w:val="16"/>
        </w:rPr>
        <w:t>OPTIMIZATION SCENARIOS</w:t>
      </w:r>
    </w:p>
    <w:tbl>
      <w:tblPr>
        <w:tblW w:w="4860" w:type="dxa"/>
        <w:jc w:val="start"/>
        <w:tblInd w:w="0" w:type="dxa"/>
        <w:tblLayout w:type="fixed"/>
        <w:tblCellMar>
          <w:top w:w="18" w:type="dxa"/>
          <w:start w:w="45" w:type="dxa"/>
          <w:bottom w:w="18" w:type="dxa"/>
          <w:end w:w="45" w:type="dxa"/>
        </w:tblCellMar>
        <w:tblLook w:val="0000" w:firstRow="0" w:noVBand="0" w:lastRow="0" w:firstColumn="0" w:lastColumn="0" w:noHBand="0"/>
      </w:tblPr>
      <w:tblGrid>
        <w:gridCol w:w="1997"/>
        <w:gridCol w:w="1503"/>
        <w:gridCol w:w="1360"/>
      </w:tblGrid>
      <w:tr>
        <w:trPr>
          <w:tblHeader w:val="true"/>
          <w:cantSplit/>
        </w:trPr>
        <w:tc>
          <w:tcPr>
            <w:tcW w:w="1997" w:type="dxa"/>
            <w:tcBorders>
              <w:top w:val="single" w:sz="8" w:space="0" w:color="000000"/>
              <w:bottom w:val="single" w:sz="4" w:space="0" w:color="000000"/>
            </w:tcBorders>
            <w:vAlign w:val="center"/>
          </w:tcPr>
          <w:p>
            <w:pPr>
              <w:pStyle w:val="Normal"/>
              <w:rPr/>
            </w:pPr>
            <w:r>
              <w:rPr>
                <w:b/>
                <w:bCs/>
                <w:sz w:val="15"/>
                <w:szCs w:val="15"/>
              </w:rPr>
              <w:t>Scenario</w:t>
            </w:r>
          </w:p>
        </w:tc>
        <w:tc>
          <w:tcPr>
            <w:tcW w:w="1503" w:type="dxa"/>
            <w:tcBorders>
              <w:top w:val="single" w:sz="8" w:space="0" w:color="000000"/>
              <w:bottom w:val="single" w:sz="4" w:space="0" w:color="000000"/>
            </w:tcBorders>
            <w:vAlign w:val="center"/>
          </w:tcPr>
          <w:p>
            <w:pPr>
              <w:pStyle w:val="Normal"/>
              <w:jc w:val="center"/>
              <w:rPr/>
            </w:pPr>
            <w:r>
              <w:rPr>
                <w:b/>
                <w:bCs/>
                <w:sz w:val="15"/>
                <w:szCs w:val="15"/>
              </w:rPr>
              <w:t>Median 30-day cost</w:t>
            </w:r>
          </w:p>
        </w:tc>
        <w:tc>
          <w:tcPr>
            <w:tcW w:w="1360" w:type="dxa"/>
            <w:tcBorders>
              <w:top w:val="single" w:sz="8" w:space="0" w:color="000000"/>
              <w:bottom w:val="single" w:sz="4" w:space="0" w:color="000000"/>
            </w:tcBorders>
            <w:vAlign w:val="center"/>
          </w:tcPr>
          <w:p>
            <w:pPr>
              <w:pStyle w:val="Normal"/>
              <w:jc w:val="center"/>
              <w:rPr/>
            </w:pPr>
            <w:r>
              <w:rPr>
                <w:b/>
                <w:bCs/>
                <w:sz w:val="15"/>
                <w:szCs w:val="15"/>
              </w:rPr>
              <w:t>Potential savings</w:t>
            </w:r>
          </w:p>
        </w:tc>
      </w:tr>
      <w:tr>
        <w:trPr>
          <w:cantSplit/>
        </w:trPr>
        <w:tc>
          <w:tcPr>
            <w:tcW w:w="1997" w:type="dxa"/>
            <w:tcBorders/>
            <w:vAlign w:val="center"/>
          </w:tcPr>
          <w:p>
            <w:pPr>
              <w:pStyle w:val="Normal"/>
              <w:rPr/>
            </w:pPr>
            <w:r>
              <w:rPr>
                <w:sz w:val="15"/>
                <w:szCs w:val="15"/>
              </w:rPr>
              <w:t>No optimization</w:t>
            </w:r>
          </w:p>
        </w:tc>
        <w:tc>
          <w:tcPr>
            <w:tcW w:w="1503" w:type="dxa"/>
            <w:tcBorders/>
            <w:vAlign w:val="center"/>
          </w:tcPr>
          <w:p>
            <w:pPr>
              <w:pStyle w:val="Normal"/>
              <w:jc w:val="end"/>
              <w:rPr/>
            </w:pPr>
            <w:r>
              <w:rPr>
                <w:sz w:val="15"/>
                <w:szCs w:val="15"/>
              </w:rPr>
              <w:t>$793,267.40</w:t>
            </w:r>
          </w:p>
        </w:tc>
        <w:tc>
          <w:tcPr>
            <w:tcW w:w="1360" w:type="dxa"/>
            <w:tcBorders/>
            <w:vAlign w:val="center"/>
          </w:tcPr>
          <w:p>
            <w:pPr>
              <w:pStyle w:val="Normal"/>
              <w:jc w:val="end"/>
              <w:rPr/>
            </w:pPr>
            <w:r>
              <w:rPr>
                <w:sz w:val="15"/>
                <w:szCs w:val="15"/>
              </w:rPr>
              <w:t>—</w:t>
            </w:r>
          </w:p>
        </w:tc>
      </w:tr>
      <w:tr>
        <w:trPr>
          <w:cantSplit/>
        </w:trPr>
        <w:tc>
          <w:tcPr>
            <w:tcW w:w="1997" w:type="dxa"/>
            <w:tcBorders/>
            <w:vAlign w:val="center"/>
          </w:tcPr>
          <w:p>
            <w:pPr>
              <w:pStyle w:val="Normal"/>
              <w:rPr/>
            </w:pPr>
            <w:r>
              <w:rPr>
                <w:sz w:val="15"/>
                <w:szCs w:val="15"/>
              </w:rPr>
              <w:t>50% idle-resource optimization</w:t>
            </w:r>
          </w:p>
        </w:tc>
        <w:tc>
          <w:tcPr>
            <w:tcW w:w="1503" w:type="dxa"/>
            <w:tcBorders/>
            <w:vAlign w:val="center"/>
          </w:tcPr>
          <w:p>
            <w:pPr>
              <w:pStyle w:val="Normal"/>
              <w:jc w:val="end"/>
              <w:rPr/>
            </w:pPr>
            <w:r>
              <w:rPr>
                <w:sz w:val="15"/>
                <w:szCs w:val="15"/>
              </w:rPr>
              <w:t>$781,563.95</w:t>
            </w:r>
          </w:p>
        </w:tc>
        <w:tc>
          <w:tcPr>
            <w:tcW w:w="1360" w:type="dxa"/>
            <w:tcBorders/>
            <w:vAlign w:val="center"/>
          </w:tcPr>
          <w:p>
            <w:pPr>
              <w:pStyle w:val="Normal"/>
              <w:jc w:val="end"/>
              <w:rPr/>
            </w:pPr>
            <w:r>
              <w:rPr>
                <w:sz w:val="15"/>
                <w:szCs w:val="15"/>
              </w:rPr>
              <w:t>$11,703.45</w:t>
            </w:r>
          </w:p>
        </w:tc>
      </w:tr>
      <w:tr>
        <w:trPr>
          <w:cantSplit/>
        </w:trPr>
        <w:tc>
          <w:tcPr>
            <w:tcW w:w="1997" w:type="dxa"/>
            <w:tcBorders>
              <w:bottom w:val="single" w:sz="8" w:space="0" w:color="000000"/>
            </w:tcBorders>
            <w:vAlign w:val="center"/>
          </w:tcPr>
          <w:p>
            <w:pPr>
              <w:pStyle w:val="Normal"/>
              <w:rPr/>
            </w:pPr>
            <w:r>
              <w:rPr>
                <w:sz w:val="15"/>
                <w:szCs w:val="15"/>
              </w:rPr>
              <w:t>100% idle-resource optimization</w:t>
            </w:r>
          </w:p>
        </w:tc>
        <w:tc>
          <w:tcPr>
            <w:tcW w:w="1503" w:type="dxa"/>
            <w:tcBorders>
              <w:bottom w:val="single" w:sz="8" w:space="0" w:color="000000"/>
            </w:tcBorders>
            <w:vAlign w:val="center"/>
          </w:tcPr>
          <w:p>
            <w:pPr>
              <w:pStyle w:val="Normal"/>
              <w:jc w:val="end"/>
              <w:rPr/>
            </w:pPr>
            <w:r>
              <w:rPr>
                <w:sz w:val="15"/>
                <w:szCs w:val="15"/>
              </w:rPr>
              <w:t>$769,860.51</w:t>
            </w:r>
          </w:p>
        </w:tc>
        <w:tc>
          <w:tcPr>
            <w:tcW w:w="1360" w:type="dxa"/>
            <w:tcBorders>
              <w:bottom w:val="single" w:sz="8" w:space="0" w:color="000000"/>
            </w:tcBorders>
            <w:vAlign w:val="center"/>
          </w:tcPr>
          <w:p>
            <w:pPr>
              <w:pStyle w:val="Normal"/>
              <w:jc w:val="end"/>
              <w:rPr/>
            </w:pPr>
            <w:r>
              <w:rPr>
                <w:sz w:val="15"/>
                <w:szCs w:val="15"/>
              </w:rPr>
              <w:t>$23,406.90</w:t>
            </w:r>
          </w:p>
        </w:tc>
      </w:tr>
    </w:tbl>
    <w:p>
      <w:pPr>
        <w:pStyle w:val="Normal"/>
        <w:spacing w:before="0" w:after="60"/>
        <w:rPr/>
      </w:pPr>
      <w:r>
        <w:rPr/>
      </w:r>
    </w:p>
    <w:p>
      <w:pPr>
        <w:pStyle w:val="Normal"/>
        <w:spacing w:lineRule="auto" w:line="228" w:before="0" w:after="50"/>
        <w:ind w:firstLine="240"/>
        <w:jc w:val="both"/>
        <w:rPr/>
      </w:pPr>
      <w:r>
        <w:rPr/>
        <w:t>Five practical recommendations follow. First, monitor the high-cost services first, particularly Cloud NAT, Cloud Data Fusion, Cloud Load Balancing, Container Registry and Cloud CDN. Second, investigate the 26 potentially idle resources and consider rightsizing, scheduling or decommissioning where appropriate. Third, use the predictive interval rather than the median alone when setting a financial buffer. Fourth, use the exceedance probability of 3.17% as a quantitative measure of budget risk under the assumed planning budget. Fifth, re-run the forecast regularly, because the model rests on a limited history.</w:t>
      </w:r>
    </w:p>
    <w:p>
      <w:pPr>
        <w:pStyle w:val="Heading2"/>
        <w:rPr/>
      </w:pPr>
      <w:r>
        <w:rPr/>
        <w:t>F. Comparison with ARIMA and Moving Average</w:t>
      </w:r>
    </w:p>
    <w:p>
      <w:pPr>
        <w:pStyle w:val="Normal"/>
        <w:spacing w:lineRule="auto" w:line="228" w:before="0" w:after="50"/>
        <w:ind w:firstLine="240"/>
        <w:jc w:val="both"/>
        <w:rPr/>
      </w:pPr>
      <w:r>
        <w:rPr/>
        <w:t>Table XVI lists the predictions for the 12 held-out days, and Table XVII and Fig. 16 compare the three methods. The Bayesian model has the lowest MAE ($10,247.52) and RMSE ($11,956.49), followed by ARIMA(1,1,3) ($12,221.39 and $13,658.38) and the 7-day moving average ($15,528.27 and $17,622.79). Relative to ARIMA, the Bayesian model reduces MAE by about 16.2% and RMSE by about 12.5%; relative to the moving average, by about 34.0% and 32.1%. The ranking is the same on both metrics.</w:t>
      </w:r>
    </w:p>
    <w:p>
      <w:pPr>
        <w:pStyle w:val="Normal"/>
        <w:keepNext w:val="true"/>
        <w:spacing w:before="100" w:after="0"/>
        <w:jc w:val="center"/>
        <w:rPr/>
      </w:pPr>
      <w:r>
        <w:rPr>
          <w:sz w:val="16"/>
          <w:szCs w:val="16"/>
        </w:rPr>
        <w:t>TABLE XVI</w:t>
      </w:r>
    </w:p>
    <w:p>
      <w:pPr>
        <w:pStyle w:val="Normal"/>
        <w:keepNext w:val="true"/>
        <w:spacing w:before="0" w:after="40"/>
        <w:jc w:val="center"/>
        <w:rPr/>
      </w:pPr>
      <w:r>
        <w:rPr>
          <w:sz w:val="16"/>
          <w:szCs w:val="16"/>
        </w:rPr>
        <w:t>HELD-OUT DAILY PREDICTIONS (USD)</w:t>
      </w:r>
    </w:p>
    <w:tbl>
      <w:tblPr>
        <w:tblW w:w="4860" w:type="dxa"/>
        <w:jc w:val="start"/>
        <w:tblInd w:w="0" w:type="dxa"/>
        <w:tblLayout w:type="fixed"/>
        <w:tblCellMar>
          <w:top w:w="18" w:type="dxa"/>
          <w:start w:w="45" w:type="dxa"/>
          <w:bottom w:w="18" w:type="dxa"/>
          <w:end w:w="45" w:type="dxa"/>
        </w:tblCellMar>
        <w:tblLook w:val="0000" w:firstRow="0" w:noVBand="0" w:lastRow="0" w:firstColumn="0" w:lastColumn="0" w:noHBand="0"/>
      </w:tblPr>
      <w:tblGrid>
        <w:gridCol w:w="900"/>
        <w:gridCol w:w="990"/>
        <w:gridCol w:w="990"/>
        <w:gridCol w:w="990"/>
        <w:gridCol w:w="990"/>
      </w:tblGrid>
      <w:tr>
        <w:trPr>
          <w:tblHeader w:val="true"/>
          <w:cantSplit/>
        </w:trPr>
        <w:tc>
          <w:tcPr>
            <w:tcW w:w="900" w:type="dxa"/>
            <w:tcBorders>
              <w:top w:val="single" w:sz="8" w:space="0" w:color="000000"/>
              <w:bottom w:val="single" w:sz="4" w:space="0" w:color="000000"/>
            </w:tcBorders>
            <w:vAlign w:val="center"/>
          </w:tcPr>
          <w:p>
            <w:pPr>
              <w:pStyle w:val="Normal"/>
              <w:rPr/>
            </w:pPr>
            <w:r>
              <w:rPr>
                <w:b/>
                <w:bCs/>
                <w:sz w:val="15"/>
                <w:szCs w:val="15"/>
              </w:rPr>
              <w:t>Date</w:t>
            </w:r>
          </w:p>
        </w:tc>
        <w:tc>
          <w:tcPr>
            <w:tcW w:w="990" w:type="dxa"/>
            <w:tcBorders>
              <w:top w:val="single" w:sz="8" w:space="0" w:color="000000"/>
              <w:bottom w:val="single" w:sz="4" w:space="0" w:color="000000"/>
            </w:tcBorders>
            <w:vAlign w:val="center"/>
          </w:tcPr>
          <w:p>
            <w:pPr>
              <w:pStyle w:val="Normal"/>
              <w:jc w:val="center"/>
              <w:rPr/>
            </w:pPr>
            <w:r>
              <w:rPr>
                <w:b/>
                <w:bCs/>
                <w:sz w:val="15"/>
                <w:szCs w:val="15"/>
              </w:rPr>
              <w:t>Actual</w:t>
            </w:r>
          </w:p>
        </w:tc>
        <w:tc>
          <w:tcPr>
            <w:tcW w:w="990" w:type="dxa"/>
            <w:tcBorders>
              <w:top w:val="single" w:sz="8" w:space="0" w:color="000000"/>
              <w:bottom w:val="single" w:sz="4" w:space="0" w:color="000000"/>
            </w:tcBorders>
            <w:vAlign w:val="center"/>
          </w:tcPr>
          <w:p>
            <w:pPr>
              <w:pStyle w:val="Normal"/>
              <w:jc w:val="center"/>
              <w:rPr/>
            </w:pPr>
            <w:r>
              <w:rPr>
                <w:b/>
                <w:bCs/>
                <w:sz w:val="15"/>
                <w:szCs w:val="15"/>
              </w:rPr>
              <w:t>Bayesian</w:t>
            </w:r>
          </w:p>
        </w:tc>
        <w:tc>
          <w:tcPr>
            <w:tcW w:w="990" w:type="dxa"/>
            <w:tcBorders>
              <w:top w:val="single" w:sz="8" w:space="0" w:color="000000"/>
              <w:bottom w:val="single" w:sz="4" w:space="0" w:color="000000"/>
            </w:tcBorders>
            <w:vAlign w:val="center"/>
          </w:tcPr>
          <w:p>
            <w:pPr>
              <w:pStyle w:val="Normal"/>
              <w:jc w:val="center"/>
              <w:rPr/>
            </w:pPr>
            <w:r>
              <w:rPr>
                <w:b/>
                <w:bCs/>
                <w:sz w:val="15"/>
                <w:szCs w:val="15"/>
              </w:rPr>
              <w:t>ARIMA</w:t>
            </w:r>
          </w:p>
        </w:tc>
        <w:tc>
          <w:tcPr>
            <w:tcW w:w="990" w:type="dxa"/>
            <w:tcBorders>
              <w:top w:val="single" w:sz="8" w:space="0" w:color="000000"/>
              <w:bottom w:val="single" w:sz="4" w:space="0" w:color="000000"/>
            </w:tcBorders>
            <w:vAlign w:val="center"/>
          </w:tcPr>
          <w:p>
            <w:pPr>
              <w:pStyle w:val="Normal"/>
              <w:jc w:val="center"/>
              <w:rPr/>
            </w:pPr>
            <w:r>
              <w:rPr>
                <w:b/>
                <w:bCs/>
                <w:sz w:val="15"/>
                <w:szCs w:val="15"/>
              </w:rPr>
              <w:t>MA (7-day)</w:t>
            </w:r>
          </w:p>
        </w:tc>
      </w:tr>
      <w:tr>
        <w:trPr>
          <w:cantSplit/>
        </w:trPr>
        <w:tc>
          <w:tcPr>
            <w:tcW w:w="900" w:type="dxa"/>
            <w:tcBorders/>
            <w:vAlign w:val="center"/>
          </w:tcPr>
          <w:p>
            <w:pPr>
              <w:pStyle w:val="Normal"/>
              <w:rPr/>
            </w:pPr>
            <w:r>
              <w:rPr>
                <w:sz w:val="15"/>
                <w:szCs w:val="15"/>
              </w:rPr>
              <w:t>2024-08-17</w:t>
            </w:r>
          </w:p>
        </w:tc>
        <w:tc>
          <w:tcPr>
            <w:tcW w:w="990" w:type="dxa"/>
            <w:tcBorders/>
            <w:vAlign w:val="center"/>
          </w:tcPr>
          <w:p>
            <w:pPr>
              <w:pStyle w:val="Normal"/>
              <w:jc w:val="end"/>
              <w:rPr/>
            </w:pPr>
            <w:r>
              <w:rPr>
                <w:sz w:val="15"/>
                <w:szCs w:val="15"/>
              </w:rPr>
              <w:t>26,043.10</w:t>
            </w:r>
          </w:p>
        </w:tc>
        <w:tc>
          <w:tcPr>
            <w:tcW w:w="990" w:type="dxa"/>
            <w:tcBorders/>
            <w:vAlign w:val="center"/>
          </w:tcPr>
          <w:p>
            <w:pPr>
              <w:pStyle w:val="Normal"/>
              <w:jc w:val="end"/>
              <w:rPr/>
            </w:pPr>
            <w:r>
              <w:rPr>
                <w:sz w:val="15"/>
                <w:szCs w:val="15"/>
              </w:rPr>
              <w:t>33,368.65</w:t>
            </w:r>
          </w:p>
        </w:tc>
        <w:tc>
          <w:tcPr>
            <w:tcW w:w="990" w:type="dxa"/>
            <w:tcBorders/>
            <w:vAlign w:val="center"/>
          </w:tcPr>
          <w:p>
            <w:pPr>
              <w:pStyle w:val="Normal"/>
              <w:jc w:val="end"/>
              <w:rPr/>
            </w:pPr>
            <w:r>
              <w:rPr>
                <w:sz w:val="15"/>
                <w:szCs w:val="15"/>
              </w:rPr>
              <w:t>36,789.64</w:t>
            </w:r>
          </w:p>
        </w:tc>
        <w:tc>
          <w:tcPr>
            <w:tcW w:w="990" w:type="dxa"/>
            <w:tcBorders/>
            <w:vAlign w:val="center"/>
          </w:tcPr>
          <w:p>
            <w:pPr>
              <w:pStyle w:val="Normal"/>
              <w:jc w:val="end"/>
              <w:rPr/>
            </w:pPr>
            <w:r>
              <w:rPr>
                <w:sz w:val="15"/>
                <w:szCs w:val="15"/>
              </w:rPr>
              <w:t>42,380.98</w:t>
            </w:r>
          </w:p>
        </w:tc>
      </w:tr>
      <w:tr>
        <w:trPr>
          <w:cantSplit/>
        </w:trPr>
        <w:tc>
          <w:tcPr>
            <w:tcW w:w="900" w:type="dxa"/>
            <w:tcBorders/>
            <w:vAlign w:val="center"/>
          </w:tcPr>
          <w:p>
            <w:pPr>
              <w:pStyle w:val="Normal"/>
              <w:rPr/>
            </w:pPr>
            <w:r>
              <w:rPr>
                <w:sz w:val="15"/>
                <w:szCs w:val="15"/>
              </w:rPr>
              <w:t>2024-08-18</w:t>
            </w:r>
          </w:p>
        </w:tc>
        <w:tc>
          <w:tcPr>
            <w:tcW w:w="990" w:type="dxa"/>
            <w:tcBorders/>
            <w:vAlign w:val="center"/>
          </w:tcPr>
          <w:p>
            <w:pPr>
              <w:pStyle w:val="Normal"/>
              <w:jc w:val="end"/>
              <w:rPr/>
            </w:pPr>
            <w:r>
              <w:rPr>
                <w:sz w:val="15"/>
                <w:szCs w:val="15"/>
              </w:rPr>
              <w:t>44,052.62</w:t>
            </w:r>
          </w:p>
        </w:tc>
        <w:tc>
          <w:tcPr>
            <w:tcW w:w="990" w:type="dxa"/>
            <w:tcBorders/>
            <w:vAlign w:val="center"/>
          </w:tcPr>
          <w:p>
            <w:pPr>
              <w:pStyle w:val="Normal"/>
              <w:jc w:val="end"/>
              <w:rPr/>
            </w:pPr>
            <w:r>
              <w:rPr>
                <w:sz w:val="15"/>
                <w:szCs w:val="15"/>
              </w:rPr>
              <w:t>33,516.37</w:t>
            </w:r>
          </w:p>
        </w:tc>
        <w:tc>
          <w:tcPr>
            <w:tcW w:w="990" w:type="dxa"/>
            <w:tcBorders/>
            <w:vAlign w:val="center"/>
          </w:tcPr>
          <w:p>
            <w:pPr>
              <w:pStyle w:val="Normal"/>
              <w:jc w:val="end"/>
              <w:rPr/>
            </w:pPr>
            <w:r>
              <w:rPr>
                <w:sz w:val="15"/>
                <w:szCs w:val="15"/>
              </w:rPr>
              <w:t>30,495.80</w:t>
            </w:r>
          </w:p>
        </w:tc>
        <w:tc>
          <w:tcPr>
            <w:tcW w:w="990" w:type="dxa"/>
            <w:tcBorders/>
            <w:vAlign w:val="center"/>
          </w:tcPr>
          <w:p>
            <w:pPr>
              <w:pStyle w:val="Normal"/>
              <w:jc w:val="end"/>
              <w:rPr/>
            </w:pPr>
            <w:r>
              <w:rPr>
                <w:sz w:val="15"/>
                <w:szCs w:val="15"/>
              </w:rPr>
              <w:t>41,472.39</w:t>
            </w:r>
          </w:p>
        </w:tc>
      </w:tr>
      <w:tr>
        <w:trPr>
          <w:cantSplit/>
        </w:trPr>
        <w:tc>
          <w:tcPr>
            <w:tcW w:w="900" w:type="dxa"/>
            <w:tcBorders/>
            <w:vAlign w:val="center"/>
          </w:tcPr>
          <w:p>
            <w:pPr>
              <w:pStyle w:val="Normal"/>
              <w:rPr/>
            </w:pPr>
            <w:r>
              <w:rPr>
                <w:sz w:val="15"/>
                <w:szCs w:val="15"/>
              </w:rPr>
              <w:t>2024-08-19</w:t>
            </w:r>
          </w:p>
        </w:tc>
        <w:tc>
          <w:tcPr>
            <w:tcW w:w="990" w:type="dxa"/>
            <w:tcBorders/>
            <w:vAlign w:val="center"/>
          </w:tcPr>
          <w:p>
            <w:pPr>
              <w:pStyle w:val="Normal"/>
              <w:jc w:val="end"/>
              <w:rPr/>
            </w:pPr>
            <w:r>
              <w:rPr>
                <w:sz w:val="15"/>
                <w:szCs w:val="15"/>
              </w:rPr>
              <w:t>30,418.88</w:t>
            </w:r>
          </w:p>
        </w:tc>
        <w:tc>
          <w:tcPr>
            <w:tcW w:w="990" w:type="dxa"/>
            <w:tcBorders/>
            <w:vAlign w:val="center"/>
          </w:tcPr>
          <w:p>
            <w:pPr>
              <w:pStyle w:val="Normal"/>
              <w:jc w:val="end"/>
              <w:rPr/>
            </w:pPr>
            <w:r>
              <w:rPr>
                <w:sz w:val="15"/>
                <w:szCs w:val="15"/>
              </w:rPr>
              <w:t>35,042.83</w:t>
            </w:r>
          </w:p>
        </w:tc>
        <w:tc>
          <w:tcPr>
            <w:tcW w:w="990" w:type="dxa"/>
            <w:tcBorders/>
            <w:vAlign w:val="center"/>
          </w:tcPr>
          <w:p>
            <w:pPr>
              <w:pStyle w:val="Normal"/>
              <w:jc w:val="end"/>
              <w:rPr/>
            </w:pPr>
            <w:r>
              <w:rPr>
                <w:sz w:val="15"/>
                <w:szCs w:val="15"/>
              </w:rPr>
              <w:t>38,342.58</w:t>
            </w:r>
          </w:p>
        </w:tc>
        <w:tc>
          <w:tcPr>
            <w:tcW w:w="990" w:type="dxa"/>
            <w:tcBorders/>
            <w:vAlign w:val="center"/>
          </w:tcPr>
          <w:p>
            <w:pPr>
              <w:pStyle w:val="Normal"/>
              <w:jc w:val="end"/>
              <w:rPr/>
            </w:pPr>
            <w:r>
              <w:rPr>
                <w:sz w:val="15"/>
                <w:szCs w:val="15"/>
              </w:rPr>
              <w:t>43,099.86</w:t>
            </w:r>
          </w:p>
        </w:tc>
      </w:tr>
      <w:tr>
        <w:trPr>
          <w:cantSplit/>
        </w:trPr>
        <w:tc>
          <w:tcPr>
            <w:tcW w:w="900" w:type="dxa"/>
            <w:tcBorders/>
            <w:vAlign w:val="center"/>
          </w:tcPr>
          <w:p>
            <w:pPr>
              <w:pStyle w:val="Normal"/>
              <w:rPr/>
            </w:pPr>
            <w:r>
              <w:rPr>
                <w:sz w:val="15"/>
                <w:szCs w:val="15"/>
              </w:rPr>
              <w:t>2024-08-20</w:t>
            </w:r>
          </w:p>
        </w:tc>
        <w:tc>
          <w:tcPr>
            <w:tcW w:w="990" w:type="dxa"/>
            <w:tcBorders/>
            <w:vAlign w:val="center"/>
          </w:tcPr>
          <w:p>
            <w:pPr>
              <w:pStyle w:val="Normal"/>
              <w:jc w:val="end"/>
              <w:rPr/>
            </w:pPr>
            <w:r>
              <w:rPr>
                <w:sz w:val="15"/>
                <w:szCs w:val="15"/>
              </w:rPr>
              <w:t>17,885.32</w:t>
            </w:r>
          </w:p>
        </w:tc>
        <w:tc>
          <w:tcPr>
            <w:tcW w:w="990" w:type="dxa"/>
            <w:tcBorders/>
            <w:vAlign w:val="center"/>
          </w:tcPr>
          <w:p>
            <w:pPr>
              <w:pStyle w:val="Normal"/>
              <w:jc w:val="end"/>
              <w:rPr/>
            </w:pPr>
            <w:r>
              <w:rPr>
                <w:sz w:val="15"/>
                <w:szCs w:val="15"/>
              </w:rPr>
              <w:t>33,857.62</w:t>
            </w:r>
          </w:p>
        </w:tc>
        <w:tc>
          <w:tcPr>
            <w:tcW w:w="990" w:type="dxa"/>
            <w:tcBorders/>
            <w:vAlign w:val="center"/>
          </w:tcPr>
          <w:p>
            <w:pPr>
              <w:pStyle w:val="Normal"/>
              <w:jc w:val="end"/>
              <w:rPr/>
            </w:pPr>
            <w:r>
              <w:rPr>
                <w:sz w:val="15"/>
                <w:szCs w:val="15"/>
              </w:rPr>
              <w:t>35,602.84</w:t>
            </w:r>
          </w:p>
        </w:tc>
        <w:tc>
          <w:tcPr>
            <w:tcW w:w="990" w:type="dxa"/>
            <w:tcBorders/>
            <w:vAlign w:val="center"/>
          </w:tcPr>
          <w:p>
            <w:pPr>
              <w:pStyle w:val="Normal"/>
              <w:jc w:val="end"/>
              <w:rPr/>
            </w:pPr>
            <w:r>
              <w:rPr>
                <w:sz w:val="15"/>
                <w:szCs w:val="15"/>
              </w:rPr>
              <w:t>41,328.15</w:t>
            </w:r>
          </w:p>
        </w:tc>
      </w:tr>
      <w:tr>
        <w:trPr>
          <w:cantSplit/>
        </w:trPr>
        <w:tc>
          <w:tcPr>
            <w:tcW w:w="900" w:type="dxa"/>
            <w:tcBorders/>
            <w:vAlign w:val="center"/>
          </w:tcPr>
          <w:p>
            <w:pPr>
              <w:pStyle w:val="Normal"/>
              <w:rPr/>
            </w:pPr>
            <w:r>
              <w:rPr>
                <w:sz w:val="15"/>
                <w:szCs w:val="15"/>
              </w:rPr>
              <w:t>2024-08-21</w:t>
            </w:r>
          </w:p>
        </w:tc>
        <w:tc>
          <w:tcPr>
            <w:tcW w:w="990" w:type="dxa"/>
            <w:tcBorders/>
            <w:vAlign w:val="center"/>
          </w:tcPr>
          <w:p>
            <w:pPr>
              <w:pStyle w:val="Normal"/>
              <w:jc w:val="end"/>
              <w:rPr/>
            </w:pPr>
            <w:r>
              <w:rPr>
                <w:sz w:val="15"/>
                <w:szCs w:val="15"/>
              </w:rPr>
              <w:t>47,070.55</w:t>
            </w:r>
          </w:p>
        </w:tc>
        <w:tc>
          <w:tcPr>
            <w:tcW w:w="990" w:type="dxa"/>
            <w:tcBorders/>
            <w:vAlign w:val="center"/>
          </w:tcPr>
          <w:p>
            <w:pPr>
              <w:pStyle w:val="Normal"/>
              <w:jc w:val="end"/>
              <w:rPr/>
            </w:pPr>
            <w:r>
              <w:rPr>
                <w:sz w:val="15"/>
                <w:szCs w:val="15"/>
              </w:rPr>
              <w:t>36,014.44</w:t>
            </w:r>
          </w:p>
        </w:tc>
        <w:tc>
          <w:tcPr>
            <w:tcW w:w="990" w:type="dxa"/>
            <w:tcBorders/>
            <w:vAlign w:val="center"/>
          </w:tcPr>
          <w:p>
            <w:pPr>
              <w:pStyle w:val="Normal"/>
              <w:jc w:val="end"/>
              <w:rPr/>
            </w:pPr>
            <w:r>
              <w:rPr>
                <w:sz w:val="15"/>
                <w:szCs w:val="15"/>
              </w:rPr>
              <w:t>36,559.43</w:t>
            </w:r>
          </w:p>
        </w:tc>
        <w:tc>
          <w:tcPr>
            <w:tcW w:w="990" w:type="dxa"/>
            <w:tcBorders/>
            <w:vAlign w:val="center"/>
          </w:tcPr>
          <w:p>
            <w:pPr>
              <w:pStyle w:val="Normal"/>
              <w:jc w:val="end"/>
              <w:rPr/>
            </w:pPr>
            <w:r>
              <w:rPr>
                <w:sz w:val="15"/>
                <w:szCs w:val="15"/>
              </w:rPr>
              <w:t>43,359.00</w:t>
            </w:r>
          </w:p>
        </w:tc>
      </w:tr>
      <w:tr>
        <w:trPr>
          <w:cantSplit/>
        </w:trPr>
        <w:tc>
          <w:tcPr>
            <w:tcW w:w="900" w:type="dxa"/>
            <w:tcBorders/>
            <w:vAlign w:val="center"/>
          </w:tcPr>
          <w:p>
            <w:pPr>
              <w:pStyle w:val="Normal"/>
              <w:rPr/>
            </w:pPr>
            <w:r>
              <w:rPr>
                <w:sz w:val="15"/>
                <w:szCs w:val="15"/>
              </w:rPr>
              <w:t>2024-08-22</w:t>
            </w:r>
          </w:p>
        </w:tc>
        <w:tc>
          <w:tcPr>
            <w:tcW w:w="990" w:type="dxa"/>
            <w:tcBorders/>
            <w:vAlign w:val="center"/>
          </w:tcPr>
          <w:p>
            <w:pPr>
              <w:pStyle w:val="Normal"/>
              <w:jc w:val="end"/>
              <w:rPr/>
            </w:pPr>
            <w:r>
              <w:rPr>
                <w:sz w:val="15"/>
                <w:szCs w:val="15"/>
              </w:rPr>
              <w:t>16,982.60</w:t>
            </w:r>
          </w:p>
        </w:tc>
        <w:tc>
          <w:tcPr>
            <w:tcW w:w="990" w:type="dxa"/>
            <w:tcBorders/>
            <w:vAlign w:val="center"/>
          </w:tcPr>
          <w:p>
            <w:pPr>
              <w:pStyle w:val="Normal"/>
              <w:jc w:val="end"/>
              <w:rPr/>
            </w:pPr>
            <w:r>
              <w:rPr>
                <w:sz w:val="15"/>
                <w:szCs w:val="15"/>
              </w:rPr>
              <w:t>35,409.99</w:t>
            </w:r>
          </w:p>
        </w:tc>
        <w:tc>
          <w:tcPr>
            <w:tcW w:w="990" w:type="dxa"/>
            <w:tcBorders/>
            <w:vAlign w:val="center"/>
          </w:tcPr>
          <w:p>
            <w:pPr>
              <w:pStyle w:val="Normal"/>
              <w:jc w:val="end"/>
              <w:rPr/>
            </w:pPr>
            <w:r>
              <w:rPr>
                <w:sz w:val="15"/>
                <w:szCs w:val="15"/>
              </w:rPr>
              <w:t>36,225.43</w:t>
            </w:r>
          </w:p>
        </w:tc>
        <w:tc>
          <w:tcPr>
            <w:tcW w:w="990" w:type="dxa"/>
            <w:tcBorders/>
            <w:vAlign w:val="center"/>
          </w:tcPr>
          <w:p>
            <w:pPr>
              <w:pStyle w:val="Normal"/>
              <w:jc w:val="end"/>
              <w:rPr/>
            </w:pPr>
            <w:r>
              <w:rPr>
                <w:sz w:val="15"/>
                <w:szCs w:val="15"/>
              </w:rPr>
              <w:t>42,186.57</w:t>
            </w:r>
          </w:p>
        </w:tc>
      </w:tr>
      <w:tr>
        <w:trPr>
          <w:cantSplit/>
        </w:trPr>
        <w:tc>
          <w:tcPr>
            <w:tcW w:w="900" w:type="dxa"/>
            <w:tcBorders/>
            <w:vAlign w:val="center"/>
          </w:tcPr>
          <w:p>
            <w:pPr>
              <w:pStyle w:val="Normal"/>
              <w:rPr/>
            </w:pPr>
            <w:r>
              <w:rPr>
                <w:sz w:val="15"/>
                <w:szCs w:val="15"/>
              </w:rPr>
              <w:t>2024-08-23</w:t>
            </w:r>
          </w:p>
        </w:tc>
        <w:tc>
          <w:tcPr>
            <w:tcW w:w="990" w:type="dxa"/>
            <w:tcBorders/>
            <w:vAlign w:val="center"/>
          </w:tcPr>
          <w:p>
            <w:pPr>
              <w:pStyle w:val="Normal"/>
              <w:jc w:val="end"/>
              <w:rPr/>
            </w:pPr>
            <w:r>
              <w:rPr>
                <w:sz w:val="15"/>
                <w:szCs w:val="15"/>
              </w:rPr>
              <w:t>36,208.13</w:t>
            </w:r>
          </w:p>
        </w:tc>
        <w:tc>
          <w:tcPr>
            <w:tcW w:w="990" w:type="dxa"/>
            <w:tcBorders/>
            <w:vAlign w:val="center"/>
          </w:tcPr>
          <w:p>
            <w:pPr>
              <w:pStyle w:val="Normal"/>
              <w:jc w:val="end"/>
              <w:rPr/>
            </w:pPr>
            <w:r>
              <w:rPr>
                <w:sz w:val="15"/>
                <w:szCs w:val="15"/>
              </w:rPr>
              <w:t>34,434.69</w:t>
            </w:r>
          </w:p>
        </w:tc>
        <w:tc>
          <w:tcPr>
            <w:tcW w:w="990" w:type="dxa"/>
            <w:tcBorders/>
            <w:vAlign w:val="center"/>
          </w:tcPr>
          <w:p>
            <w:pPr>
              <w:pStyle w:val="Normal"/>
              <w:jc w:val="end"/>
              <w:rPr/>
            </w:pPr>
            <w:r>
              <w:rPr>
                <w:sz w:val="15"/>
                <w:szCs w:val="15"/>
              </w:rPr>
              <w:t>36,342.05</w:t>
            </w:r>
          </w:p>
        </w:tc>
        <w:tc>
          <w:tcPr>
            <w:tcW w:w="990" w:type="dxa"/>
            <w:tcBorders/>
            <w:vAlign w:val="center"/>
          </w:tcPr>
          <w:p>
            <w:pPr>
              <w:pStyle w:val="Normal"/>
              <w:jc w:val="end"/>
              <w:rPr/>
            </w:pPr>
            <w:r>
              <w:rPr>
                <w:sz w:val="15"/>
                <w:szCs w:val="15"/>
              </w:rPr>
              <w:t>41,913.76</w:t>
            </w:r>
          </w:p>
        </w:tc>
      </w:tr>
      <w:tr>
        <w:trPr>
          <w:cantSplit/>
        </w:trPr>
        <w:tc>
          <w:tcPr>
            <w:tcW w:w="900" w:type="dxa"/>
            <w:tcBorders/>
            <w:vAlign w:val="center"/>
          </w:tcPr>
          <w:p>
            <w:pPr>
              <w:pStyle w:val="Normal"/>
              <w:rPr/>
            </w:pPr>
            <w:r>
              <w:rPr>
                <w:sz w:val="15"/>
                <w:szCs w:val="15"/>
              </w:rPr>
              <w:t>2024-08-24</w:t>
            </w:r>
          </w:p>
        </w:tc>
        <w:tc>
          <w:tcPr>
            <w:tcW w:w="990" w:type="dxa"/>
            <w:tcBorders/>
            <w:vAlign w:val="center"/>
          </w:tcPr>
          <w:p>
            <w:pPr>
              <w:pStyle w:val="Normal"/>
              <w:jc w:val="end"/>
              <w:rPr/>
            </w:pPr>
            <w:r>
              <w:rPr>
                <w:sz w:val="15"/>
                <w:szCs w:val="15"/>
              </w:rPr>
              <w:t>22,185.81</w:t>
            </w:r>
          </w:p>
        </w:tc>
        <w:tc>
          <w:tcPr>
            <w:tcW w:w="990" w:type="dxa"/>
            <w:tcBorders/>
            <w:vAlign w:val="center"/>
          </w:tcPr>
          <w:p>
            <w:pPr>
              <w:pStyle w:val="Normal"/>
              <w:jc w:val="end"/>
              <w:rPr/>
            </w:pPr>
            <w:r>
              <w:rPr>
                <w:sz w:val="15"/>
                <w:szCs w:val="15"/>
              </w:rPr>
              <w:t>32,515.59</w:t>
            </w:r>
          </w:p>
        </w:tc>
        <w:tc>
          <w:tcPr>
            <w:tcW w:w="990" w:type="dxa"/>
            <w:tcBorders/>
            <w:vAlign w:val="center"/>
          </w:tcPr>
          <w:p>
            <w:pPr>
              <w:pStyle w:val="Normal"/>
              <w:jc w:val="end"/>
              <w:rPr/>
            </w:pPr>
            <w:r>
              <w:rPr>
                <w:sz w:val="15"/>
                <w:szCs w:val="15"/>
              </w:rPr>
              <w:t>36,301.33</w:t>
            </w:r>
          </w:p>
        </w:tc>
        <w:tc>
          <w:tcPr>
            <w:tcW w:w="990" w:type="dxa"/>
            <w:tcBorders/>
            <w:vAlign w:val="center"/>
          </w:tcPr>
          <w:p>
            <w:pPr>
              <w:pStyle w:val="Normal"/>
              <w:jc w:val="end"/>
              <w:rPr/>
            </w:pPr>
            <w:r>
              <w:rPr>
                <w:sz w:val="15"/>
                <w:szCs w:val="15"/>
              </w:rPr>
              <w:t>42,248.67</w:t>
            </w:r>
          </w:p>
        </w:tc>
      </w:tr>
      <w:tr>
        <w:trPr>
          <w:cantSplit/>
        </w:trPr>
        <w:tc>
          <w:tcPr>
            <w:tcW w:w="900" w:type="dxa"/>
            <w:tcBorders/>
            <w:vAlign w:val="center"/>
          </w:tcPr>
          <w:p>
            <w:pPr>
              <w:pStyle w:val="Normal"/>
              <w:rPr/>
            </w:pPr>
            <w:r>
              <w:rPr>
                <w:sz w:val="15"/>
                <w:szCs w:val="15"/>
              </w:rPr>
              <w:t>2024-08-25</w:t>
            </w:r>
          </w:p>
        </w:tc>
        <w:tc>
          <w:tcPr>
            <w:tcW w:w="990" w:type="dxa"/>
            <w:tcBorders/>
            <w:vAlign w:val="center"/>
          </w:tcPr>
          <w:p>
            <w:pPr>
              <w:pStyle w:val="Normal"/>
              <w:jc w:val="end"/>
              <w:rPr/>
            </w:pPr>
            <w:r>
              <w:rPr>
                <w:sz w:val="15"/>
                <w:szCs w:val="15"/>
              </w:rPr>
              <w:t>27,575.69</w:t>
            </w:r>
          </w:p>
        </w:tc>
        <w:tc>
          <w:tcPr>
            <w:tcW w:w="990" w:type="dxa"/>
            <w:tcBorders/>
            <w:vAlign w:val="center"/>
          </w:tcPr>
          <w:p>
            <w:pPr>
              <w:pStyle w:val="Normal"/>
              <w:jc w:val="end"/>
              <w:rPr/>
            </w:pPr>
            <w:r>
              <w:rPr>
                <w:sz w:val="15"/>
                <w:szCs w:val="15"/>
              </w:rPr>
              <w:t>32,742.92</w:t>
            </w:r>
          </w:p>
        </w:tc>
        <w:tc>
          <w:tcPr>
            <w:tcW w:w="990" w:type="dxa"/>
            <w:tcBorders/>
            <w:vAlign w:val="center"/>
          </w:tcPr>
          <w:p>
            <w:pPr>
              <w:pStyle w:val="Normal"/>
              <w:jc w:val="end"/>
              <w:rPr/>
            </w:pPr>
            <w:r>
              <w:rPr>
                <w:sz w:val="15"/>
                <w:szCs w:val="15"/>
              </w:rPr>
              <w:t>36,315.55</w:t>
            </w:r>
          </w:p>
        </w:tc>
        <w:tc>
          <w:tcPr>
            <w:tcW w:w="990" w:type="dxa"/>
            <w:tcBorders/>
            <w:vAlign w:val="center"/>
          </w:tcPr>
          <w:p>
            <w:pPr>
              <w:pStyle w:val="Normal"/>
              <w:jc w:val="end"/>
              <w:rPr/>
            </w:pPr>
            <w:r>
              <w:rPr>
                <w:sz w:val="15"/>
                <w:szCs w:val="15"/>
              </w:rPr>
              <w:t>42,229.77</w:t>
            </w:r>
          </w:p>
        </w:tc>
      </w:tr>
      <w:tr>
        <w:trPr>
          <w:cantSplit/>
        </w:trPr>
        <w:tc>
          <w:tcPr>
            <w:tcW w:w="900" w:type="dxa"/>
            <w:tcBorders/>
            <w:vAlign w:val="center"/>
          </w:tcPr>
          <w:p>
            <w:pPr>
              <w:pStyle w:val="Normal"/>
              <w:rPr/>
            </w:pPr>
            <w:r>
              <w:rPr>
                <w:sz w:val="15"/>
                <w:szCs w:val="15"/>
              </w:rPr>
              <w:t>2024-08-26</w:t>
            </w:r>
          </w:p>
        </w:tc>
        <w:tc>
          <w:tcPr>
            <w:tcW w:w="990" w:type="dxa"/>
            <w:tcBorders/>
            <w:vAlign w:val="center"/>
          </w:tcPr>
          <w:p>
            <w:pPr>
              <w:pStyle w:val="Normal"/>
              <w:jc w:val="end"/>
              <w:rPr/>
            </w:pPr>
            <w:r>
              <w:rPr>
                <w:sz w:val="15"/>
                <w:szCs w:val="15"/>
              </w:rPr>
              <w:t>16,908.47</w:t>
            </w:r>
          </w:p>
        </w:tc>
        <w:tc>
          <w:tcPr>
            <w:tcW w:w="990" w:type="dxa"/>
            <w:tcBorders/>
            <w:vAlign w:val="center"/>
          </w:tcPr>
          <w:p>
            <w:pPr>
              <w:pStyle w:val="Normal"/>
              <w:jc w:val="end"/>
              <w:rPr/>
            </w:pPr>
            <w:r>
              <w:rPr>
                <w:sz w:val="15"/>
                <w:szCs w:val="15"/>
              </w:rPr>
              <w:t>34,327.50</w:t>
            </w:r>
          </w:p>
        </w:tc>
        <w:tc>
          <w:tcPr>
            <w:tcW w:w="990" w:type="dxa"/>
            <w:tcBorders/>
            <w:vAlign w:val="center"/>
          </w:tcPr>
          <w:p>
            <w:pPr>
              <w:pStyle w:val="Normal"/>
              <w:jc w:val="end"/>
              <w:rPr/>
            </w:pPr>
            <w:r>
              <w:rPr>
                <w:sz w:val="15"/>
                <w:szCs w:val="15"/>
              </w:rPr>
              <w:t>36,310.59</w:t>
            </w:r>
          </w:p>
        </w:tc>
        <w:tc>
          <w:tcPr>
            <w:tcW w:w="990" w:type="dxa"/>
            <w:tcBorders/>
            <w:vAlign w:val="center"/>
          </w:tcPr>
          <w:p>
            <w:pPr>
              <w:pStyle w:val="Normal"/>
              <w:jc w:val="end"/>
              <w:rPr/>
            </w:pPr>
            <w:r>
              <w:rPr>
                <w:sz w:val="15"/>
                <w:szCs w:val="15"/>
              </w:rPr>
              <w:t>42,337.97</w:t>
            </w:r>
          </w:p>
        </w:tc>
      </w:tr>
      <w:tr>
        <w:trPr>
          <w:cantSplit/>
        </w:trPr>
        <w:tc>
          <w:tcPr>
            <w:tcW w:w="900" w:type="dxa"/>
            <w:tcBorders/>
            <w:vAlign w:val="center"/>
          </w:tcPr>
          <w:p>
            <w:pPr>
              <w:pStyle w:val="Normal"/>
              <w:rPr/>
            </w:pPr>
            <w:r>
              <w:rPr>
                <w:sz w:val="15"/>
                <w:szCs w:val="15"/>
              </w:rPr>
              <w:t>2024-08-27</w:t>
            </w:r>
          </w:p>
        </w:tc>
        <w:tc>
          <w:tcPr>
            <w:tcW w:w="990" w:type="dxa"/>
            <w:tcBorders/>
            <w:vAlign w:val="center"/>
          </w:tcPr>
          <w:p>
            <w:pPr>
              <w:pStyle w:val="Normal"/>
              <w:jc w:val="end"/>
              <w:rPr/>
            </w:pPr>
            <w:r>
              <w:rPr>
                <w:sz w:val="15"/>
                <w:szCs w:val="15"/>
              </w:rPr>
              <w:t>32,029.51</w:t>
            </w:r>
          </w:p>
        </w:tc>
        <w:tc>
          <w:tcPr>
            <w:tcW w:w="990" w:type="dxa"/>
            <w:tcBorders/>
            <w:vAlign w:val="center"/>
          </w:tcPr>
          <w:p>
            <w:pPr>
              <w:pStyle w:val="Normal"/>
              <w:jc w:val="end"/>
              <w:rPr/>
            </w:pPr>
            <w:r>
              <w:rPr>
                <w:sz w:val="15"/>
                <w:szCs w:val="15"/>
              </w:rPr>
              <w:t>33,096.95</w:t>
            </w:r>
          </w:p>
        </w:tc>
        <w:tc>
          <w:tcPr>
            <w:tcW w:w="990" w:type="dxa"/>
            <w:tcBorders/>
            <w:vAlign w:val="center"/>
          </w:tcPr>
          <w:p>
            <w:pPr>
              <w:pStyle w:val="Normal"/>
              <w:jc w:val="end"/>
              <w:rPr/>
            </w:pPr>
            <w:r>
              <w:rPr>
                <w:sz w:val="15"/>
                <w:szCs w:val="15"/>
              </w:rPr>
              <w:t>36,312.32</w:t>
            </w:r>
          </w:p>
        </w:tc>
        <w:tc>
          <w:tcPr>
            <w:tcW w:w="990" w:type="dxa"/>
            <w:tcBorders/>
            <w:vAlign w:val="center"/>
          </w:tcPr>
          <w:p>
            <w:pPr>
              <w:pStyle w:val="Normal"/>
              <w:jc w:val="end"/>
              <w:rPr/>
            </w:pPr>
            <w:r>
              <w:rPr>
                <w:sz w:val="15"/>
                <w:szCs w:val="15"/>
              </w:rPr>
              <w:t>42,229.13</w:t>
            </w:r>
          </w:p>
        </w:tc>
      </w:tr>
      <w:tr>
        <w:trPr>
          <w:cantSplit/>
        </w:trPr>
        <w:tc>
          <w:tcPr>
            <w:tcW w:w="900" w:type="dxa"/>
            <w:tcBorders>
              <w:bottom w:val="single" w:sz="8" w:space="0" w:color="000000"/>
            </w:tcBorders>
            <w:vAlign w:val="center"/>
          </w:tcPr>
          <w:p>
            <w:pPr>
              <w:pStyle w:val="Normal"/>
              <w:rPr/>
            </w:pPr>
            <w:r>
              <w:rPr>
                <w:sz w:val="15"/>
                <w:szCs w:val="15"/>
              </w:rPr>
              <w:t>2024-08-28</w:t>
            </w:r>
          </w:p>
        </w:tc>
        <w:tc>
          <w:tcPr>
            <w:tcW w:w="990" w:type="dxa"/>
            <w:tcBorders>
              <w:bottom w:val="single" w:sz="8" w:space="0" w:color="000000"/>
            </w:tcBorders>
            <w:vAlign w:val="center"/>
          </w:tcPr>
          <w:p>
            <w:pPr>
              <w:pStyle w:val="Normal"/>
              <w:jc w:val="end"/>
              <w:rPr/>
            </w:pPr>
            <w:r>
              <w:rPr>
                <w:sz w:val="15"/>
                <w:szCs w:val="15"/>
              </w:rPr>
              <w:t>16,027.76</w:t>
            </w:r>
          </w:p>
        </w:tc>
        <w:tc>
          <w:tcPr>
            <w:tcW w:w="990" w:type="dxa"/>
            <w:tcBorders>
              <w:bottom w:val="single" w:sz="8" w:space="0" w:color="000000"/>
            </w:tcBorders>
            <w:vAlign w:val="center"/>
          </w:tcPr>
          <w:p>
            <w:pPr>
              <w:pStyle w:val="Normal"/>
              <w:jc w:val="end"/>
              <w:rPr/>
            </w:pPr>
            <w:r>
              <w:rPr>
                <w:sz w:val="15"/>
                <w:szCs w:val="15"/>
              </w:rPr>
              <w:t>35,299.53</w:t>
            </w:r>
          </w:p>
        </w:tc>
        <w:tc>
          <w:tcPr>
            <w:tcW w:w="990" w:type="dxa"/>
            <w:tcBorders>
              <w:bottom w:val="single" w:sz="8" w:space="0" w:color="000000"/>
            </w:tcBorders>
            <w:vAlign w:val="center"/>
          </w:tcPr>
          <w:p>
            <w:pPr>
              <w:pStyle w:val="Normal"/>
              <w:jc w:val="end"/>
              <w:rPr/>
            </w:pPr>
            <w:r>
              <w:rPr>
                <w:sz w:val="15"/>
                <w:szCs w:val="15"/>
              </w:rPr>
              <w:t>36,311.71</w:t>
            </w:r>
          </w:p>
        </w:tc>
        <w:tc>
          <w:tcPr>
            <w:tcW w:w="990" w:type="dxa"/>
            <w:tcBorders>
              <w:bottom w:val="single" w:sz="8" w:space="0" w:color="000000"/>
            </w:tcBorders>
            <w:vAlign w:val="center"/>
          </w:tcPr>
          <w:p>
            <w:pPr>
              <w:pStyle w:val="Normal"/>
              <w:jc w:val="end"/>
              <w:rPr/>
            </w:pPr>
            <w:r>
              <w:rPr>
                <w:sz w:val="15"/>
                <w:szCs w:val="15"/>
              </w:rPr>
              <w:t>42,357.84</w:t>
            </w:r>
          </w:p>
        </w:tc>
      </w:tr>
    </w:tbl>
    <w:p>
      <w:pPr>
        <w:pStyle w:val="Normal"/>
        <w:spacing w:before="0" w:after="60"/>
        <w:rPr/>
      </w:pPr>
      <w:r>
        <w:rPr/>
      </w:r>
    </w:p>
    <w:p>
      <w:pPr>
        <w:pStyle w:val="Normal"/>
        <w:keepNext w:val="true"/>
        <w:spacing w:before="100" w:after="0"/>
        <w:jc w:val="center"/>
        <w:rPr/>
      </w:pPr>
      <w:r>
        <w:rPr>
          <w:sz w:val="16"/>
          <w:szCs w:val="16"/>
        </w:rPr>
        <w:t>TABLE XVII</w:t>
      </w:r>
    </w:p>
    <w:p>
      <w:pPr>
        <w:pStyle w:val="Normal"/>
        <w:keepNext w:val="true"/>
        <w:spacing w:before="0" w:after="40"/>
        <w:jc w:val="center"/>
        <w:rPr/>
      </w:pPr>
      <w:r>
        <w:rPr>
          <w:sz w:val="16"/>
          <w:szCs w:val="16"/>
        </w:rPr>
        <w:t>FINAL FORECASTING MODEL COMPARISON</w:t>
      </w:r>
    </w:p>
    <w:tbl>
      <w:tblPr>
        <w:tblW w:w="4860" w:type="dxa"/>
        <w:jc w:val="start"/>
        <w:tblInd w:w="0" w:type="dxa"/>
        <w:tblLayout w:type="fixed"/>
        <w:tblCellMar>
          <w:top w:w="18" w:type="dxa"/>
          <w:start w:w="45" w:type="dxa"/>
          <w:bottom w:w="18" w:type="dxa"/>
          <w:end w:w="45" w:type="dxa"/>
        </w:tblCellMar>
        <w:tblLook w:val="0000" w:firstRow="0" w:noVBand="0" w:lastRow="0" w:firstColumn="0" w:lastColumn="0" w:noHBand="0"/>
      </w:tblPr>
      <w:tblGrid>
        <w:gridCol w:w="1700"/>
        <w:gridCol w:w="1097"/>
        <w:gridCol w:w="1160"/>
        <w:gridCol w:w="903"/>
      </w:tblGrid>
      <w:tr>
        <w:trPr>
          <w:tblHeader w:val="true"/>
          <w:cantSplit/>
        </w:trPr>
        <w:tc>
          <w:tcPr>
            <w:tcW w:w="1700" w:type="dxa"/>
            <w:tcBorders>
              <w:top w:val="single" w:sz="8" w:space="0" w:color="000000"/>
              <w:bottom w:val="single" w:sz="4" w:space="0" w:color="000000"/>
            </w:tcBorders>
            <w:vAlign w:val="center"/>
          </w:tcPr>
          <w:p>
            <w:pPr>
              <w:pStyle w:val="Normal"/>
              <w:rPr/>
            </w:pPr>
            <w:r>
              <w:rPr>
                <w:b/>
                <w:bCs/>
                <w:sz w:val="15"/>
                <w:szCs w:val="15"/>
              </w:rPr>
              <w:t>Model</w:t>
            </w:r>
          </w:p>
        </w:tc>
        <w:tc>
          <w:tcPr>
            <w:tcW w:w="1097" w:type="dxa"/>
            <w:tcBorders>
              <w:top w:val="single" w:sz="8" w:space="0" w:color="000000"/>
              <w:bottom w:val="single" w:sz="4" w:space="0" w:color="000000"/>
            </w:tcBorders>
            <w:vAlign w:val="center"/>
          </w:tcPr>
          <w:p>
            <w:pPr>
              <w:pStyle w:val="Normal"/>
              <w:jc w:val="center"/>
              <w:rPr/>
            </w:pPr>
            <w:r>
              <w:rPr>
                <w:b/>
                <w:bCs/>
                <w:sz w:val="15"/>
                <w:szCs w:val="15"/>
              </w:rPr>
              <w:t>MAE (USD)</w:t>
            </w:r>
          </w:p>
        </w:tc>
        <w:tc>
          <w:tcPr>
            <w:tcW w:w="1160" w:type="dxa"/>
            <w:tcBorders>
              <w:top w:val="single" w:sz="8" w:space="0" w:color="000000"/>
              <w:bottom w:val="single" w:sz="4" w:space="0" w:color="000000"/>
            </w:tcBorders>
            <w:vAlign w:val="center"/>
          </w:tcPr>
          <w:p>
            <w:pPr>
              <w:pStyle w:val="Normal"/>
              <w:jc w:val="center"/>
              <w:rPr/>
            </w:pPr>
            <w:r>
              <w:rPr>
                <w:b/>
                <w:bCs/>
                <w:sz w:val="15"/>
                <w:szCs w:val="15"/>
              </w:rPr>
              <w:t>RMSE (USD)</w:t>
            </w:r>
          </w:p>
        </w:tc>
        <w:tc>
          <w:tcPr>
            <w:tcW w:w="903" w:type="dxa"/>
            <w:tcBorders>
              <w:top w:val="single" w:sz="8" w:space="0" w:color="000000"/>
              <w:bottom w:val="single" w:sz="4" w:space="0" w:color="000000"/>
            </w:tcBorders>
            <w:vAlign w:val="center"/>
          </w:tcPr>
          <w:p>
            <w:pPr>
              <w:pStyle w:val="Normal"/>
              <w:jc w:val="center"/>
              <w:rPr/>
            </w:pPr>
            <w:r>
              <w:rPr>
                <w:b/>
                <w:bCs/>
                <w:sz w:val="15"/>
                <w:szCs w:val="15"/>
              </w:rPr>
              <w:t>Rank</w:t>
            </w:r>
          </w:p>
        </w:tc>
      </w:tr>
      <w:tr>
        <w:trPr>
          <w:cantSplit/>
        </w:trPr>
        <w:tc>
          <w:tcPr>
            <w:tcW w:w="1700" w:type="dxa"/>
            <w:tcBorders/>
            <w:vAlign w:val="center"/>
          </w:tcPr>
          <w:p>
            <w:pPr>
              <w:pStyle w:val="Normal"/>
              <w:rPr/>
            </w:pPr>
            <w:r>
              <w:rPr>
                <w:sz w:val="15"/>
                <w:szCs w:val="15"/>
              </w:rPr>
              <w:t>Bayesian Model 1</w:t>
            </w:r>
          </w:p>
        </w:tc>
        <w:tc>
          <w:tcPr>
            <w:tcW w:w="1097" w:type="dxa"/>
            <w:tcBorders/>
            <w:vAlign w:val="center"/>
          </w:tcPr>
          <w:p>
            <w:pPr>
              <w:pStyle w:val="Normal"/>
              <w:jc w:val="end"/>
              <w:rPr/>
            </w:pPr>
            <w:r>
              <w:rPr>
                <w:sz w:val="15"/>
                <w:szCs w:val="15"/>
              </w:rPr>
              <w:t>10,247.52</w:t>
            </w:r>
          </w:p>
        </w:tc>
        <w:tc>
          <w:tcPr>
            <w:tcW w:w="1160" w:type="dxa"/>
            <w:tcBorders/>
            <w:vAlign w:val="center"/>
          </w:tcPr>
          <w:p>
            <w:pPr>
              <w:pStyle w:val="Normal"/>
              <w:jc w:val="end"/>
              <w:rPr/>
            </w:pPr>
            <w:r>
              <w:rPr>
                <w:sz w:val="15"/>
                <w:szCs w:val="15"/>
              </w:rPr>
              <w:t>11,956.49</w:t>
            </w:r>
          </w:p>
        </w:tc>
        <w:tc>
          <w:tcPr>
            <w:tcW w:w="903" w:type="dxa"/>
            <w:tcBorders/>
            <w:vAlign w:val="center"/>
          </w:tcPr>
          <w:p>
            <w:pPr>
              <w:pStyle w:val="Normal"/>
              <w:jc w:val="center"/>
              <w:rPr/>
            </w:pPr>
            <w:r>
              <w:rPr>
                <w:sz w:val="15"/>
                <w:szCs w:val="15"/>
              </w:rPr>
              <w:t>1</w:t>
            </w:r>
          </w:p>
        </w:tc>
      </w:tr>
      <w:tr>
        <w:trPr>
          <w:cantSplit/>
        </w:trPr>
        <w:tc>
          <w:tcPr>
            <w:tcW w:w="1700" w:type="dxa"/>
            <w:tcBorders/>
            <w:vAlign w:val="center"/>
          </w:tcPr>
          <w:p>
            <w:pPr>
              <w:pStyle w:val="Normal"/>
              <w:rPr/>
            </w:pPr>
            <w:r>
              <w:rPr>
                <w:sz w:val="15"/>
                <w:szCs w:val="15"/>
              </w:rPr>
              <w:t>ARIMA(1,1,3)</w:t>
            </w:r>
          </w:p>
        </w:tc>
        <w:tc>
          <w:tcPr>
            <w:tcW w:w="1097" w:type="dxa"/>
            <w:tcBorders/>
            <w:vAlign w:val="center"/>
          </w:tcPr>
          <w:p>
            <w:pPr>
              <w:pStyle w:val="Normal"/>
              <w:jc w:val="end"/>
              <w:rPr/>
            </w:pPr>
            <w:r>
              <w:rPr>
                <w:sz w:val="15"/>
                <w:szCs w:val="15"/>
              </w:rPr>
              <w:t>12,221.39</w:t>
            </w:r>
          </w:p>
        </w:tc>
        <w:tc>
          <w:tcPr>
            <w:tcW w:w="1160" w:type="dxa"/>
            <w:tcBorders/>
            <w:vAlign w:val="center"/>
          </w:tcPr>
          <w:p>
            <w:pPr>
              <w:pStyle w:val="Normal"/>
              <w:jc w:val="end"/>
              <w:rPr/>
            </w:pPr>
            <w:r>
              <w:rPr>
                <w:sz w:val="15"/>
                <w:szCs w:val="15"/>
              </w:rPr>
              <w:t>13,658.38</w:t>
            </w:r>
          </w:p>
        </w:tc>
        <w:tc>
          <w:tcPr>
            <w:tcW w:w="903" w:type="dxa"/>
            <w:tcBorders/>
            <w:vAlign w:val="center"/>
          </w:tcPr>
          <w:p>
            <w:pPr>
              <w:pStyle w:val="Normal"/>
              <w:jc w:val="center"/>
              <w:rPr/>
            </w:pPr>
            <w:r>
              <w:rPr>
                <w:sz w:val="15"/>
                <w:szCs w:val="15"/>
              </w:rPr>
              <w:t>2</w:t>
            </w:r>
          </w:p>
        </w:tc>
      </w:tr>
      <w:tr>
        <w:trPr>
          <w:cantSplit/>
        </w:trPr>
        <w:tc>
          <w:tcPr>
            <w:tcW w:w="1700" w:type="dxa"/>
            <w:tcBorders>
              <w:bottom w:val="single" w:sz="8" w:space="0" w:color="000000"/>
            </w:tcBorders>
            <w:vAlign w:val="center"/>
          </w:tcPr>
          <w:p>
            <w:pPr>
              <w:pStyle w:val="Normal"/>
              <w:rPr/>
            </w:pPr>
            <w:r>
              <w:rPr>
                <w:sz w:val="15"/>
                <w:szCs w:val="15"/>
              </w:rPr>
              <w:t>Moving average (7-day)</w:t>
            </w:r>
          </w:p>
        </w:tc>
        <w:tc>
          <w:tcPr>
            <w:tcW w:w="1097" w:type="dxa"/>
            <w:tcBorders>
              <w:bottom w:val="single" w:sz="8" w:space="0" w:color="000000"/>
            </w:tcBorders>
            <w:vAlign w:val="center"/>
          </w:tcPr>
          <w:p>
            <w:pPr>
              <w:pStyle w:val="Normal"/>
              <w:jc w:val="end"/>
              <w:rPr/>
            </w:pPr>
            <w:r>
              <w:rPr>
                <w:sz w:val="15"/>
                <w:szCs w:val="15"/>
              </w:rPr>
              <w:t>15,528.27</w:t>
            </w:r>
          </w:p>
        </w:tc>
        <w:tc>
          <w:tcPr>
            <w:tcW w:w="1160" w:type="dxa"/>
            <w:tcBorders>
              <w:bottom w:val="single" w:sz="8" w:space="0" w:color="000000"/>
            </w:tcBorders>
            <w:vAlign w:val="center"/>
          </w:tcPr>
          <w:p>
            <w:pPr>
              <w:pStyle w:val="Normal"/>
              <w:jc w:val="end"/>
              <w:rPr/>
            </w:pPr>
            <w:r>
              <w:rPr>
                <w:sz w:val="15"/>
                <w:szCs w:val="15"/>
              </w:rPr>
              <w:t>17,622.79</w:t>
            </w:r>
          </w:p>
        </w:tc>
        <w:tc>
          <w:tcPr>
            <w:tcW w:w="903" w:type="dxa"/>
            <w:tcBorders>
              <w:bottom w:val="single" w:sz="8" w:space="0" w:color="000000"/>
            </w:tcBorders>
            <w:vAlign w:val="center"/>
          </w:tcPr>
          <w:p>
            <w:pPr>
              <w:pStyle w:val="Normal"/>
              <w:jc w:val="center"/>
              <w:rPr/>
            </w:pPr>
            <w:r>
              <w:rPr>
                <w:sz w:val="15"/>
                <w:szCs w:val="15"/>
              </w:rPr>
              <w:t>3</w:t>
            </w:r>
          </w:p>
        </w:tc>
      </w:tr>
    </w:tbl>
    <w:p>
      <w:pPr>
        <w:pStyle w:val="Normal"/>
        <w:spacing w:before="0" w:after="60"/>
        <w:rPr/>
      </w:pPr>
      <w:r>
        <w:rPr/>
      </w:r>
    </w:p>
    <w:p>
      <w:pPr>
        <w:pStyle w:val="Normal"/>
        <w:keepNext w:val="true"/>
        <w:spacing w:before="60" w:after="0"/>
        <w:jc w:val="center"/>
        <w:rPr/>
      </w:pPr>
      <w:r>
        <w:rPr/>
        <w:drawing>
          <wp:inline distT="0" distB="0" distL="0" distR="0">
            <wp:extent cx="2381250" cy="3352800"/>
            <wp:effectExtent l="0" t="0" r="0" b="0"/>
            <wp:docPr id="46" name="Figure 16" descr="Figure 16"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Figure 16" descr="Figure 16" title="Figure 16"/>
                    <pic:cNvPicPr>
                      <a:picLocks noChangeAspect="1" noChangeArrowheads="1"/>
                    </pic:cNvPicPr>
                  </pic:nvPicPr>
                  <pic:blipFill>
                    <a:blip r:embed="rId47"/>
                    <a:stretch>
                      <a:fillRect/>
                    </a:stretch>
                  </pic:blipFill>
                  <pic:spPr bwMode="auto">
                    <a:xfrm>
                      <a:off x="0" y="0"/>
                      <a:ext cx="2381250" cy="3352800"/>
                    </a:xfrm>
                    <a:prstGeom prst="rect">
                      <a:avLst/>
                    </a:prstGeom>
                    <a:noFill/>
                  </pic:spPr>
                </pic:pic>
              </a:graphicData>
            </a:graphic>
          </wp:inline>
        </w:drawing>
      </w:r>
    </w:p>
    <w:p>
      <w:pPr>
        <w:pStyle w:val="Normal"/>
        <w:spacing w:before="20" w:after="100"/>
        <w:jc w:val="both"/>
        <w:rPr/>
      </w:pPr>
      <w:r>
        <w:rPr>
          <w:sz w:val="16"/>
          <w:szCs w:val="16"/>
        </w:rPr>
        <w:t>Fig. 16. MAE (top) and RMSE (bottom) of the three models on the 12-day test period.</w:t>
      </w:r>
    </w:p>
    <w:p>
      <w:pPr>
        <w:pStyle w:val="Normal"/>
        <w:spacing w:lineRule="auto" w:line="228" w:before="0" w:after="50"/>
        <w:ind w:firstLine="240"/>
        <w:jc w:val="both"/>
        <w:rPr/>
      </w:pPr>
      <w:r>
        <w:rPr/>
        <w:t>Fig. 17 shows that the ARIMA and moving-average predictions are almost constant over most of the test period (about $36.3k for ARIMA from 22 August onward, and $41.3k–$43.4k for the moving average), while the Bayesian predictions vary between about $32.5k and $36.0k. None of the models captures the large day-to-day swings in the actual cost. The result is an empirical comparison on 12 days. It does not show that Bayesian forecasting always outperforms ARIMA or moving averages on other data or periods; its main advantage is that, beyond a competitive point forecast, it supplies full predictive distributions and budget-risk probabilities.</w:t>
      </w:r>
    </w:p>
    <w:p>
      <w:pPr>
        <w:pStyle w:val="Normal"/>
        <w:keepNext w:val="true"/>
        <w:spacing w:before="60" w:after="0"/>
        <w:jc w:val="center"/>
        <w:rPr/>
      </w:pPr>
      <w:r>
        <w:rPr/>
        <w:drawing>
          <wp:inline distT="0" distB="0" distL="0" distR="0">
            <wp:extent cx="2924175" cy="1571625"/>
            <wp:effectExtent l="0" t="0" r="0" b="0"/>
            <wp:docPr id="47" name="Figure 17" descr="Figure 17"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Figure 17" descr="Figure 17" title="Figure 17"/>
                    <pic:cNvPicPr>
                      <a:picLocks noChangeAspect="1" noChangeArrowheads="1"/>
                    </pic:cNvPicPr>
                  </pic:nvPicPr>
                  <pic:blipFill>
                    <a:blip r:embed="rId48"/>
                    <a:stretch>
                      <a:fillRect/>
                    </a:stretch>
                  </pic:blipFill>
                  <pic:spPr bwMode="auto">
                    <a:xfrm>
                      <a:off x="0" y="0"/>
                      <a:ext cx="2924175" cy="1571625"/>
                    </a:xfrm>
                    <a:prstGeom prst="rect">
                      <a:avLst/>
                    </a:prstGeom>
                    <a:noFill/>
                  </pic:spPr>
                </pic:pic>
              </a:graphicData>
            </a:graphic>
          </wp:inline>
        </w:drawing>
      </w:r>
    </w:p>
    <w:p>
      <w:pPr>
        <w:pStyle w:val="Normal"/>
        <w:spacing w:before="20" w:after="100"/>
        <w:jc w:val="both"/>
        <w:rPr/>
      </w:pPr>
      <w:r>
        <w:rPr>
          <w:sz w:val="16"/>
          <w:szCs w:val="16"/>
        </w:rPr>
        <w:t>Fig. 17. Actual daily cloud cost versus model predictions during the 12-day test period.</w:t>
      </w:r>
    </w:p>
    <w:p>
      <w:pPr>
        <w:pStyle w:val="Heading2"/>
        <w:rPr/>
      </w:pPr>
      <w:r>
        <w:rPr/>
        <w:t>G. Discussion</w:t>
      </w:r>
    </w:p>
    <w:p>
      <w:pPr>
        <w:pStyle w:val="Normal"/>
        <w:spacing w:lineRule="auto" w:line="228" w:before="0" w:after="50"/>
        <w:ind w:firstLine="240"/>
        <w:jc w:val="both"/>
        <w:rPr/>
      </w:pPr>
      <w:r>
        <w:rPr/>
        <w:t>Together the results show how Bayesian forecasting, uncertainty analysis and scenario-based optimization support cost management. Rather than a single estimate, the model produces thousands of possible futures and quantifies uncertainty and budget risk. The EDA and the models agree that billing is driven by usage volume, service and unusually high-cost records, not by CPU or memory percentages, which is why idle resources are analysed separately and utilization is not used as a predictor. The predictive intervals are wide because only 59 days are available; this width is a statement of the real uncertainty, and it should be used when setting a financial buffer instead of relying on the median alone.</w:t>
      </w:r>
    </w:p>
    <w:p>
      <w:pPr>
        <w:pStyle w:val="Heading1"/>
        <w:rPr/>
      </w:pPr>
      <w:r>
        <w:rPr/>
        <w:t>IX. LIMITATIONS AND FUTURE WORK</w:t>
      </w:r>
    </w:p>
    <w:p>
      <w:pPr>
        <w:pStyle w:val="ListParagraph"/>
        <w:numPr>
          <w:ilvl w:val="0"/>
          <w:numId w:val="2"/>
        </w:numPr>
        <w:spacing w:lineRule="auto" w:line="228" w:before="0" w:after="40"/>
        <w:jc w:val="both"/>
        <w:rPr/>
      </w:pPr>
      <w:r>
        <w:rPr>
          <w:i/>
          <w:iCs/>
        </w:rPr>
        <w:t>Short history.</w:t>
      </w:r>
      <w:r>
        <w:rPr/>
        <w:t xml:space="preserve"> Only 59 daily observations are available, so trend and seasonality are weakly identified and the intervals are wide. No long-term seasonal forecast is claimed.</w:t>
      </w:r>
    </w:p>
    <w:p>
      <w:pPr>
        <w:pStyle w:val="ListParagraph"/>
        <w:numPr>
          <w:ilvl w:val="0"/>
          <w:numId w:val="2"/>
        </w:numPr>
        <w:spacing w:lineRule="auto" w:line="228" w:before="0" w:after="40"/>
        <w:jc w:val="both"/>
        <w:rPr/>
      </w:pPr>
      <w:r>
        <w:rPr>
          <w:i/>
          <w:iCs/>
        </w:rPr>
        <w:t>Linear trend extrapolation.</w:t>
      </w:r>
      <w:r>
        <w:rPr/>
        <w:t xml:space="preserve"> Model 1 assumes a straight-line trend. The estimated trend is strongly negative, and extending a falling line 30 days is risky because cost cannot fall below zero and trends rarely continue unchanged. Local-level or random-walk components should be tested.</w:t>
      </w:r>
    </w:p>
    <w:p>
      <w:pPr>
        <w:pStyle w:val="ListParagraph"/>
        <w:numPr>
          <w:ilvl w:val="0"/>
          <w:numId w:val="2"/>
        </w:numPr>
        <w:spacing w:lineRule="auto" w:line="228" w:before="0" w:after="40"/>
        <w:jc w:val="both"/>
        <w:rPr/>
      </w:pPr>
      <w:r>
        <w:rPr>
          <w:i/>
          <w:iCs/>
        </w:rPr>
        <w:t>No autocorrelation.</w:t>
      </w:r>
      <w:r>
        <w:rPr/>
        <w:t xml:space="preserve"> Daily costs are treated as conditionally independent given trend and weekday. An autoregressive or local-level component is a natural extension.</w:t>
      </w:r>
    </w:p>
    <w:p>
      <w:pPr>
        <w:pStyle w:val="ListParagraph"/>
        <w:numPr>
          <w:ilvl w:val="0"/>
          <w:numId w:val="2"/>
        </w:numPr>
        <w:spacing w:lineRule="auto" w:line="228" w:before="0" w:after="40"/>
        <w:jc w:val="both"/>
        <w:rPr/>
      </w:pPr>
      <w:r>
        <w:rPr>
          <w:i/>
          <w:iCs/>
        </w:rPr>
        <w:t>Weak weekly pattern.</w:t>
      </w:r>
      <w:r>
        <w:rPr/>
        <w:t xml:space="preserve"> The day-of-week effects cannot be distinguished from zero in this data.</w:t>
      </w:r>
    </w:p>
    <w:p>
      <w:pPr>
        <w:pStyle w:val="ListParagraph"/>
        <w:numPr>
          <w:ilvl w:val="0"/>
          <w:numId w:val="2"/>
        </w:numPr>
        <w:spacing w:lineRule="auto" w:line="228" w:before="0" w:after="40"/>
        <w:jc w:val="both"/>
        <w:rPr/>
      </w:pPr>
      <w:r>
        <w:rPr>
          <w:i/>
          <w:iCs/>
        </w:rPr>
        <w:t>Lognormal assumption.</w:t>
      </w:r>
      <w:r>
        <w:rPr/>
        <w:t xml:space="preserve"> The model-implied mean is higher than the raw mean for most services, so Model 2 should be used for ranking rather than exact cost estimates.</w:t>
      </w:r>
    </w:p>
    <w:p>
      <w:pPr>
        <w:pStyle w:val="ListParagraph"/>
        <w:numPr>
          <w:ilvl w:val="0"/>
          <w:numId w:val="2"/>
        </w:numPr>
        <w:spacing w:lineRule="auto" w:line="228" w:before="0" w:after="40"/>
        <w:jc w:val="both"/>
        <w:rPr/>
      </w:pPr>
      <w:r>
        <w:rPr>
          <w:i/>
          <w:iCs/>
        </w:rPr>
        <w:t>Dataset structure.</w:t>
      </w:r>
      <w:r>
        <w:rPr/>
        <w:t xml:space="preserve"> Each Resource ID appears once and utilization has almost no correlation with cost (−0.05 and −0.015), so utilization is not used as a predictor. Usage quantity, region and unit price could be added to an extended hierarchical model.</w:t>
      </w:r>
    </w:p>
    <w:p>
      <w:pPr>
        <w:pStyle w:val="ListParagraph"/>
        <w:numPr>
          <w:ilvl w:val="0"/>
          <w:numId w:val="2"/>
        </w:numPr>
        <w:spacing w:lineRule="auto" w:line="228" w:before="0" w:after="40"/>
        <w:jc w:val="both"/>
        <w:rPr/>
      </w:pPr>
      <w:r>
        <w:rPr>
          <w:i/>
          <w:iCs/>
        </w:rPr>
        <w:t>Convergence of Model 2.</w:t>
      </w:r>
      <w:r>
        <w:rPr/>
        <w:t xml:space="preserve"> R-hat of 1.017 and a bulk ESS of 318 are slightly outside the targets; a longer run is recommended.</w:t>
      </w:r>
    </w:p>
    <w:p>
      <w:pPr>
        <w:pStyle w:val="ListParagraph"/>
        <w:numPr>
          <w:ilvl w:val="0"/>
          <w:numId w:val="2"/>
        </w:numPr>
        <w:spacing w:lineRule="auto" w:line="228" w:before="0" w:after="40"/>
        <w:jc w:val="both"/>
        <w:rPr/>
      </w:pPr>
      <w:r>
        <w:rPr>
          <w:i/>
          <w:iCs/>
        </w:rPr>
        <w:t>Planning-budget assumption.</w:t>
      </w:r>
      <w:r>
        <w:rPr/>
        <w:t xml:space="preserve"> The 3.17% exceedance probability is conditional on an analytical budget equal to the historical mean daily cost × 30, not on an organizational budget. A real budget should be used in practice.</w:t>
      </w:r>
    </w:p>
    <w:p>
      <w:pPr>
        <w:pStyle w:val="ListParagraph"/>
        <w:numPr>
          <w:ilvl w:val="0"/>
          <w:numId w:val="2"/>
        </w:numPr>
        <w:spacing w:lineRule="auto" w:line="228" w:before="0" w:after="40"/>
        <w:jc w:val="both"/>
        <w:rPr/>
      </w:pPr>
      <w:r>
        <w:rPr>
          <w:i/>
          <w:iCs/>
        </w:rPr>
        <w:t>Small test set.</w:t>
      </w:r>
      <w:r>
        <w:rPr/>
        <w:t xml:space="preserve"> The comparison uses 12 held-out days, and the baseline predictions are nearly constant. Rolling-origin evaluation on longer data and interval-based scores are needed.</w:t>
      </w:r>
    </w:p>
    <w:p>
      <w:pPr>
        <w:pStyle w:val="ListParagraph"/>
        <w:numPr>
          <w:ilvl w:val="0"/>
          <w:numId w:val="2"/>
        </w:numPr>
        <w:spacing w:lineRule="auto" w:line="228" w:before="0" w:after="40"/>
        <w:jc w:val="both"/>
        <w:rPr/>
      </w:pPr>
      <w:r>
        <w:rPr>
          <w:i/>
          <w:iCs/>
        </w:rPr>
        <w:t>Scenario savings.</w:t>
      </w:r>
      <w:r>
        <w:rPr/>
        <w:t xml:space="preserve"> The idle-resource scenarios assume that the historical idle cost share carries over to the forecast and are not guaranteed savings.</w:t>
      </w:r>
    </w:p>
    <w:p>
      <w:pPr>
        <w:pStyle w:val="ListParagraph"/>
        <w:numPr>
          <w:ilvl w:val="0"/>
          <w:numId w:val="2"/>
        </w:numPr>
        <w:spacing w:lineRule="auto" w:line="228" w:before="0" w:after="40"/>
        <w:jc w:val="both"/>
        <w:rPr/>
      </w:pPr>
      <w:r>
        <w:rPr>
          <w:i/>
          <w:iCs/>
        </w:rPr>
        <w:t>Fixed exchange rate and priors.</w:t>
      </w:r>
      <w:r>
        <w:rPr/>
        <w:t xml:space="preserve"> All INR figures use a constant 83 INR per USD. The priors are weakly informative and checked by prior predictive simulation, but remain modelling assumptions; a prior sensitivity analysis of the full models is future work.</w:t>
      </w:r>
    </w:p>
    <w:p>
      <w:pPr>
        <w:pStyle w:val="Heading1"/>
        <w:rPr/>
      </w:pPr>
      <w:r>
        <w:rPr/>
        <w:t>X. CONCLUSION</w:t>
      </w:r>
    </w:p>
    <w:p>
      <w:pPr>
        <w:pStyle w:val="Normal"/>
        <w:spacing w:lineRule="auto" w:line="228" w:before="0" w:after="50"/>
        <w:ind w:firstLine="240"/>
        <w:jc w:val="both"/>
        <w:rPr/>
      </w:pPr>
      <w:r>
        <w:rPr/>
        <w:t>This project applied Bayesian methods to cloud cost forecasting and optimization on a GCP billing dataset of 1,000 records. The exploratory analysis showed right-skewed cost with 24 high-cost outliers, a strong link between cost and usage quantity (r = 0.8115) and negligible links with CPU and memory utilization. A Student-t time-series model and a hierarchical lognormal service model were fitted with NUTS in PyMC. The time-series model gave a median 30-day cost of $793,267.40, a 3.17% probability of exceeding a planning budget of $1,073,313.26 and a posterior probability of only 0.01 for an increasing trend. The hierarchical model identified Cloud NAT, Cloud Data Fusion, Cloud Load Balancing, Container Registry and Cloud CDN as the leading services by cost per record, and 26 idle resources representing 2.95% of historical cost gave scenario savings of $11,703 to $23,407. On the 12-day held-out period, the Bayesian model achieved an MAE of $10,247.52 and an RMSE of $11,956.49, better than ARIMA(1,1,3) and the 7-day moving average. The results are limited by the 59-day history, and the model should be re-run as new billing data become available. The project shows that a Bayesian approach provides not only a forecast but also its uncertainty and the risk of a budget overrun, which supports more informed cloud cost-management decisions.</w:t>
      </w:r>
    </w:p>
    <w:p>
      <w:pPr>
        <w:pStyle w:val="Heading1"/>
        <w:rPr/>
      </w:pPr>
      <w:r>
        <w:rPr/>
        <w:t>REFERENCES</w:t>
      </w:r>
    </w:p>
    <w:p>
      <w:pPr>
        <w:pStyle w:val="Normal"/>
        <w:tabs>
          <w:tab w:val="clear" w:pos="720"/>
          <w:tab w:val="left" w:pos="360" w:leader="none"/>
        </w:tabs>
        <w:spacing w:before="0" w:after="30"/>
        <w:ind w:hanging="360" w:start="360"/>
        <w:jc w:val="both"/>
        <w:rPr/>
      </w:pPr>
      <w:r>
        <w:rPr>
          <w:sz w:val="16"/>
          <w:szCs w:val="16"/>
        </w:rPr>
        <w:t>[1]</w:t>
        <w:tab/>
        <w:t xml:space="preserve">M. Armbrust </w:t>
      </w:r>
      <w:r>
        <w:rPr>
          <w:i/>
          <w:iCs/>
          <w:sz w:val="16"/>
          <w:szCs w:val="16"/>
        </w:rPr>
        <w:t>et al.</w:t>
      </w:r>
      <w:r>
        <w:rPr>
          <w:sz w:val="16"/>
          <w:szCs w:val="16"/>
        </w:rPr>
        <w:t xml:space="preserve">, “A view of cloud computing,” </w:t>
      </w:r>
      <w:r>
        <w:rPr>
          <w:i/>
          <w:iCs/>
          <w:sz w:val="16"/>
          <w:szCs w:val="16"/>
        </w:rPr>
        <w:t>Commun. ACM</w:t>
      </w:r>
      <w:r>
        <w:rPr>
          <w:sz w:val="16"/>
          <w:szCs w:val="16"/>
        </w:rPr>
        <w:t>, vol. 53, no. 4, pp. 50–58, Apr. 2010.</w:t>
      </w:r>
    </w:p>
    <w:p>
      <w:pPr>
        <w:pStyle w:val="Normal"/>
        <w:tabs>
          <w:tab w:val="clear" w:pos="720"/>
          <w:tab w:val="left" w:pos="360" w:leader="none"/>
        </w:tabs>
        <w:spacing w:before="0" w:after="30"/>
        <w:ind w:hanging="360" w:start="360"/>
        <w:jc w:val="both"/>
        <w:rPr/>
      </w:pPr>
      <w:r>
        <w:rPr>
          <w:sz w:val="16"/>
          <w:szCs w:val="16"/>
        </w:rPr>
        <w:t>[2]</w:t>
        <w:tab/>
        <w:t xml:space="preserve">A. Gelman, J. B. Carlin, H. S. Stern, D. B. Dunson, A. Vehtari and D. B. Rubin, </w:t>
      </w:r>
      <w:r>
        <w:rPr>
          <w:i/>
          <w:iCs/>
          <w:sz w:val="16"/>
          <w:szCs w:val="16"/>
        </w:rPr>
        <w:t>Bayesian Data Analysis</w:t>
      </w:r>
      <w:r>
        <w:rPr>
          <w:sz w:val="16"/>
          <w:szCs w:val="16"/>
        </w:rPr>
        <w:t>, 3rd ed. Boca Raton, FL, USA: CRC Press, 2013.</w:t>
      </w:r>
    </w:p>
    <w:p>
      <w:pPr>
        <w:pStyle w:val="Normal"/>
        <w:tabs>
          <w:tab w:val="clear" w:pos="720"/>
          <w:tab w:val="left" w:pos="360" w:leader="none"/>
        </w:tabs>
        <w:spacing w:before="0" w:after="30"/>
        <w:ind w:hanging="360" w:start="360"/>
        <w:jc w:val="both"/>
        <w:rPr/>
      </w:pPr>
      <w:r>
        <w:rPr>
          <w:sz w:val="16"/>
          <w:szCs w:val="16"/>
        </w:rPr>
        <w:t>[3]</w:t>
        <w:tab/>
        <w:t>“GCP cloud billing data,” Kaggle dataset by sairamn19. [Online]. Available: https://www.kaggle.com/datasets/sairamn19/gcp-cloud-billing-data</w:t>
      </w:r>
    </w:p>
    <w:p>
      <w:pPr>
        <w:pStyle w:val="Normal"/>
        <w:tabs>
          <w:tab w:val="clear" w:pos="720"/>
          <w:tab w:val="left" w:pos="360" w:leader="none"/>
        </w:tabs>
        <w:spacing w:before="0" w:after="30"/>
        <w:ind w:hanging="360" w:start="360"/>
        <w:jc w:val="both"/>
        <w:rPr/>
      </w:pPr>
      <w:r>
        <w:rPr>
          <w:sz w:val="16"/>
          <w:szCs w:val="16"/>
        </w:rPr>
        <w:t>[4]</w:t>
        <w:tab/>
        <w:t xml:space="preserve">“Bayesian forecasting for cloud cost optimization: project code and notebook,” project repository. [Online]. Available: </w:t>
      </w:r>
      <w:r>
        <w:rPr>
          <w:sz w:val="16"/>
          <w:szCs w:val="16"/>
          <w:highlight w:val="yellow"/>
        </w:rPr>
        <w:t>repository URL to be added</w:t>
      </w:r>
    </w:p>
    <w:p>
      <w:pPr>
        <w:pStyle w:val="Normal"/>
        <w:tabs>
          <w:tab w:val="clear" w:pos="720"/>
          <w:tab w:val="left" w:pos="360" w:leader="none"/>
        </w:tabs>
        <w:spacing w:before="0" w:after="30"/>
        <w:ind w:hanging="360" w:start="360"/>
        <w:jc w:val="both"/>
        <w:rPr/>
      </w:pPr>
      <w:r>
        <w:rPr>
          <w:sz w:val="16"/>
          <w:szCs w:val="16"/>
        </w:rPr>
        <w:t>[5]</w:t>
        <w:tab/>
        <w:t xml:space="preserve">G. E. P. Box, G. M. Jenkins, G. C. Reinsel and G. M. Ljung, </w:t>
      </w:r>
      <w:r>
        <w:rPr>
          <w:i/>
          <w:iCs/>
          <w:sz w:val="16"/>
          <w:szCs w:val="16"/>
        </w:rPr>
        <w:t>Time Series Analysis: Forecasting and Control</w:t>
      </w:r>
      <w:r>
        <w:rPr>
          <w:sz w:val="16"/>
          <w:szCs w:val="16"/>
        </w:rPr>
        <w:t>, 5th ed. Hoboken, NJ, USA: Wiley, 2015.</w:t>
      </w:r>
    </w:p>
    <w:p>
      <w:pPr>
        <w:pStyle w:val="Normal"/>
        <w:tabs>
          <w:tab w:val="clear" w:pos="720"/>
          <w:tab w:val="left" w:pos="360" w:leader="none"/>
        </w:tabs>
        <w:spacing w:before="0" w:after="30"/>
        <w:ind w:hanging="360" w:start="360"/>
        <w:jc w:val="both"/>
        <w:rPr/>
      </w:pPr>
      <w:r>
        <w:rPr>
          <w:sz w:val="16"/>
          <w:szCs w:val="16"/>
        </w:rPr>
        <w:t>[6]</w:t>
        <w:tab/>
        <w:t xml:space="preserve">R. J. Hyndman and G. Athanasopoulos, </w:t>
      </w:r>
      <w:r>
        <w:rPr>
          <w:i/>
          <w:iCs/>
          <w:sz w:val="16"/>
          <w:szCs w:val="16"/>
        </w:rPr>
        <w:t>Forecasting: Principles and Practice</w:t>
      </w:r>
      <w:r>
        <w:rPr>
          <w:sz w:val="16"/>
          <w:szCs w:val="16"/>
        </w:rPr>
        <w:t>, 3rd ed. Melbourne, Australia: OTexts, 2021.</w:t>
      </w:r>
    </w:p>
    <w:p>
      <w:pPr>
        <w:pStyle w:val="Normal"/>
        <w:tabs>
          <w:tab w:val="clear" w:pos="720"/>
          <w:tab w:val="left" w:pos="360" w:leader="none"/>
        </w:tabs>
        <w:spacing w:before="0" w:after="30"/>
        <w:ind w:hanging="360" w:start="360"/>
        <w:jc w:val="both"/>
        <w:rPr/>
      </w:pPr>
      <w:r>
        <w:rPr>
          <w:sz w:val="16"/>
          <w:szCs w:val="16"/>
        </w:rPr>
        <w:t>[7]</w:t>
        <w:tab/>
        <w:t xml:space="preserve">S. J. Taylor and B. Letham, “Forecasting at scale,” </w:t>
      </w:r>
      <w:r>
        <w:rPr>
          <w:i/>
          <w:iCs/>
          <w:sz w:val="16"/>
          <w:szCs w:val="16"/>
        </w:rPr>
        <w:t>Amer. Statistician</w:t>
      </w:r>
      <w:r>
        <w:rPr>
          <w:sz w:val="16"/>
          <w:szCs w:val="16"/>
        </w:rPr>
        <w:t>, vol. 72, no. 1, pp. 37–45, 2018.</w:t>
      </w:r>
    </w:p>
    <w:p>
      <w:pPr>
        <w:pStyle w:val="Normal"/>
        <w:tabs>
          <w:tab w:val="clear" w:pos="720"/>
          <w:tab w:val="left" w:pos="360" w:leader="none"/>
        </w:tabs>
        <w:spacing w:before="0" w:after="30"/>
        <w:ind w:hanging="360" w:start="360"/>
        <w:jc w:val="both"/>
        <w:rPr/>
      </w:pPr>
      <w:r>
        <w:rPr>
          <w:sz w:val="16"/>
          <w:szCs w:val="16"/>
        </w:rPr>
        <w:t>[8]</w:t>
        <w:tab/>
        <w:t xml:space="preserve">A. Gelman </w:t>
      </w:r>
      <w:r>
        <w:rPr>
          <w:i/>
          <w:iCs/>
          <w:sz w:val="16"/>
          <w:szCs w:val="16"/>
        </w:rPr>
        <w:t>et al.</w:t>
      </w:r>
      <w:r>
        <w:rPr>
          <w:sz w:val="16"/>
          <w:szCs w:val="16"/>
        </w:rPr>
        <w:t>, “Bayesian workflow,” arXiv:2011.01808, 2020.</w:t>
      </w:r>
    </w:p>
    <w:p>
      <w:pPr>
        <w:pStyle w:val="Normal"/>
        <w:tabs>
          <w:tab w:val="clear" w:pos="720"/>
          <w:tab w:val="left" w:pos="360" w:leader="none"/>
        </w:tabs>
        <w:spacing w:before="0" w:after="30"/>
        <w:ind w:hanging="360" w:start="360"/>
        <w:jc w:val="both"/>
        <w:rPr/>
      </w:pPr>
      <w:r>
        <w:rPr>
          <w:sz w:val="16"/>
          <w:szCs w:val="16"/>
        </w:rPr>
        <w:t>[9]</w:t>
        <w:tab/>
        <w:t xml:space="preserve">M. D. Hoffman and A. Gelman, “The No-U-Turn Sampler: Adaptively setting path lengths in Hamiltonian Monte Carlo,” </w:t>
      </w:r>
      <w:r>
        <w:rPr>
          <w:i/>
          <w:iCs/>
          <w:sz w:val="16"/>
          <w:szCs w:val="16"/>
        </w:rPr>
        <w:t>J. Mach. Learn. Res.</w:t>
      </w:r>
      <w:r>
        <w:rPr>
          <w:sz w:val="16"/>
          <w:szCs w:val="16"/>
        </w:rPr>
        <w:t>, vol. 15, pp. 1593–1623, 2014.</w:t>
      </w:r>
    </w:p>
    <w:p>
      <w:pPr>
        <w:pStyle w:val="Normal"/>
        <w:tabs>
          <w:tab w:val="clear" w:pos="720"/>
          <w:tab w:val="left" w:pos="360" w:leader="none"/>
        </w:tabs>
        <w:spacing w:before="0" w:after="30"/>
        <w:ind w:hanging="360" w:start="360"/>
        <w:jc w:val="both"/>
        <w:rPr/>
      </w:pPr>
      <w:r>
        <w:rPr>
          <w:sz w:val="16"/>
          <w:szCs w:val="16"/>
        </w:rPr>
        <w:t>[10]</w:t>
        <w:tab/>
        <w:t xml:space="preserve">J. Salvatier, T. V. Wiecki and C. Fonnesbeck, “Probabilistic programming in Python using PyMC3,” </w:t>
      </w:r>
      <w:r>
        <w:rPr>
          <w:i/>
          <w:iCs/>
          <w:sz w:val="16"/>
          <w:szCs w:val="16"/>
        </w:rPr>
        <w:t>PeerJ Comput. Sci.</w:t>
      </w:r>
      <w:r>
        <w:rPr>
          <w:sz w:val="16"/>
          <w:szCs w:val="16"/>
        </w:rPr>
        <w:t>, vol. 2, p. e55, 2016.</w:t>
      </w:r>
    </w:p>
    <w:p>
      <w:pPr>
        <w:pStyle w:val="Normal"/>
        <w:tabs>
          <w:tab w:val="clear" w:pos="720"/>
          <w:tab w:val="left" w:pos="360" w:leader="none"/>
        </w:tabs>
        <w:spacing w:before="0" w:after="30"/>
        <w:ind w:hanging="360" w:start="360"/>
        <w:jc w:val="both"/>
        <w:rPr/>
      </w:pPr>
      <w:r>
        <w:rPr>
          <w:sz w:val="16"/>
          <w:szCs w:val="16"/>
        </w:rPr>
        <w:t>[11]</w:t>
        <w:tab/>
        <w:t xml:space="preserve">A. Gelman, “Prior distributions for variance parameters in hierarchical models,” </w:t>
      </w:r>
      <w:r>
        <w:rPr>
          <w:i/>
          <w:iCs/>
          <w:sz w:val="16"/>
          <w:szCs w:val="16"/>
        </w:rPr>
        <w:t>Bayesian Anal.</w:t>
      </w:r>
      <w:r>
        <w:rPr>
          <w:sz w:val="16"/>
          <w:szCs w:val="16"/>
        </w:rPr>
        <w:t>, vol. 1, no. 3, pp. 515–534, 2006.</w:t>
      </w:r>
    </w:p>
    <w:p>
      <w:pPr>
        <w:pStyle w:val="Normal"/>
        <w:tabs>
          <w:tab w:val="clear" w:pos="720"/>
          <w:tab w:val="left" w:pos="360" w:leader="none"/>
        </w:tabs>
        <w:spacing w:before="0" w:after="30"/>
        <w:ind w:hanging="360" w:start="360"/>
        <w:jc w:val="both"/>
        <w:rPr/>
      </w:pPr>
      <w:r>
        <w:rPr>
          <w:sz w:val="16"/>
          <w:szCs w:val="16"/>
        </w:rPr>
        <w:t>[12]</w:t>
        <w:tab/>
        <w:t xml:space="preserve">K. L. Lange, R. J. A. Little and J. M. G. Taylor, “Robust statistical modeling using the t distribution,” </w:t>
      </w:r>
      <w:r>
        <w:rPr>
          <w:i/>
          <w:iCs/>
          <w:sz w:val="16"/>
          <w:szCs w:val="16"/>
        </w:rPr>
        <w:t>J. Amer. Statist. Assoc.</w:t>
      </w:r>
      <w:r>
        <w:rPr>
          <w:sz w:val="16"/>
          <w:szCs w:val="16"/>
        </w:rPr>
        <w:t>, vol. 84, no. 408, pp. 881–896, 1989.</w:t>
      </w:r>
    </w:p>
    <w:p>
      <w:pPr>
        <w:pStyle w:val="Normal"/>
        <w:tabs>
          <w:tab w:val="clear" w:pos="720"/>
          <w:tab w:val="left" w:pos="360" w:leader="none"/>
        </w:tabs>
        <w:spacing w:before="0" w:after="30"/>
        <w:ind w:hanging="360" w:start="360"/>
        <w:jc w:val="both"/>
        <w:rPr/>
      </w:pPr>
      <w:r>
        <w:rPr>
          <w:sz w:val="16"/>
          <w:szCs w:val="16"/>
        </w:rPr>
        <w:t>[13]</w:t>
        <w:tab/>
        <w:t xml:space="preserve">M. Betancourt and M. Girolami, “Hamiltonian Monte Carlo for hierarchical models,” in </w:t>
      </w:r>
      <w:r>
        <w:rPr>
          <w:i/>
          <w:iCs/>
          <w:sz w:val="16"/>
          <w:szCs w:val="16"/>
        </w:rPr>
        <w:t>Current Trends in Bayesian Methodology with Applications</w:t>
      </w:r>
      <w:r>
        <w:rPr>
          <w:sz w:val="16"/>
          <w:szCs w:val="16"/>
        </w:rPr>
        <w:t>. Boca Raton, FL, USA: CRC Press, 2015, pp. 79–101.</w:t>
      </w:r>
    </w:p>
    <w:p>
      <w:pPr>
        <w:pStyle w:val="Normal"/>
        <w:tabs>
          <w:tab w:val="clear" w:pos="720"/>
          <w:tab w:val="left" w:pos="360" w:leader="none"/>
        </w:tabs>
        <w:spacing w:before="0" w:after="30"/>
        <w:ind w:hanging="360" w:start="360"/>
        <w:jc w:val="both"/>
        <w:rPr/>
      </w:pPr>
      <w:r>
        <w:rPr>
          <w:sz w:val="16"/>
          <w:szCs w:val="16"/>
        </w:rPr>
        <w:t>[14]</w:t>
        <w:tab/>
        <w:t xml:space="preserve">R. Kumar, C. Carroll, A. Hartikainen and O. Martin, “ArviZ a unified library for exploratory analysis of Bayesian models in Python,” </w:t>
      </w:r>
      <w:r>
        <w:rPr>
          <w:i/>
          <w:iCs/>
          <w:sz w:val="16"/>
          <w:szCs w:val="16"/>
        </w:rPr>
        <w:t>J. Open Source Softw.</w:t>
      </w:r>
      <w:r>
        <w:rPr>
          <w:sz w:val="16"/>
          <w:szCs w:val="16"/>
        </w:rPr>
        <w:t>, vol. 4, no. 33, p. 1143, 2019.</w:t>
      </w:r>
    </w:p>
    <w:p>
      <w:pPr>
        <w:pStyle w:val="Normal"/>
        <w:tabs>
          <w:tab w:val="clear" w:pos="720"/>
          <w:tab w:val="left" w:pos="360" w:leader="none"/>
        </w:tabs>
        <w:spacing w:before="0" w:after="30"/>
        <w:ind w:hanging="360" w:start="360"/>
        <w:jc w:val="both"/>
        <w:rPr/>
      </w:pPr>
      <w:r>
        <w:rPr>
          <w:sz w:val="16"/>
          <w:szCs w:val="16"/>
        </w:rPr>
        <w:t>[15]</w:t>
        <w:tab/>
        <w:t xml:space="preserve">A. Vehtari, A. Gelman, D. Simpson, B. Carpenter and P.-C. Bürkner, “Rank-normalization, folding, and localization: An improved R-hat for assessing convergence of MCMC,” </w:t>
      </w:r>
      <w:r>
        <w:rPr>
          <w:i/>
          <w:iCs/>
          <w:sz w:val="16"/>
          <w:szCs w:val="16"/>
        </w:rPr>
        <w:t>Bayesian Anal.</w:t>
      </w:r>
      <w:r>
        <w:rPr>
          <w:sz w:val="16"/>
          <w:szCs w:val="16"/>
        </w:rPr>
        <w:t>, vol. 16, no. 2, pp. 667–718, 2021.</w:t>
      </w:r>
    </w:p>
    <w:p>
      <w:pPr>
        <w:pStyle w:val="Normal"/>
        <w:tabs>
          <w:tab w:val="clear" w:pos="720"/>
          <w:tab w:val="left" w:pos="360" w:leader="none"/>
        </w:tabs>
        <w:spacing w:before="0" w:after="30"/>
        <w:ind w:hanging="360" w:start="360"/>
        <w:jc w:val="both"/>
        <w:rPr/>
      </w:pPr>
      <w:r>
        <w:rPr>
          <w:sz w:val="16"/>
          <w:szCs w:val="16"/>
        </w:rPr>
        <w:t>[16]</w:t>
        <w:tab/>
        <w:t xml:space="preserve">R. J. Hyndman and A. B. Koehler, “Another look at measures of forecast accuracy,” </w:t>
      </w:r>
      <w:r>
        <w:rPr>
          <w:i/>
          <w:iCs/>
          <w:sz w:val="16"/>
          <w:szCs w:val="16"/>
        </w:rPr>
        <w:t>Int. J. Forecasting</w:t>
      </w:r>
      <w:r>
        <w:rPr>
          <w:sz w:val="16"/>
          <w:szCs w:val="16"/>
        </w:rPr>
        <w:t>, vol. 22, no. 4, pp. 679–688, 2006.</w:t>
      </w:r>
    </w:p>
    <w:sectPr>
      <w:type w:val="continuous"/>
      <w:pgSz w:w="12240" w:h="15840"/>
      <w:pgMar w:left="1080" w:right="1080" w:gutter="0" w:header="0" w:top="1080" w:footer="0" w:bottom="1080"/>
      <w:cols w:num="2" w:space="360"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0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360" w:hanging="20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Times New Roman" w:cs="Times New Roman"/>
      <w:color w:val="auto"/>
      <w:kern w:val="0"/>
      <w:sz w:val="20"/>
      <w:szCs w:val="20"/>
      <w:lang w:val="en-GB" w:eastAsia="zh-CN" w:bidi="hi-IN"/>
    </w:rPr>
  </w:style>
  <w:style w:type="paragraph" w:styleId="Heading1">
    <w:name w:val="heading 1"/>
    <w:basedOn w:val="Heading"/>
    <w:uiPriority w:val="9"/>
    <w:qFormat/>
    <w:pPr>
      <w:spacing w:before="140" w:after="60"/>
      <w:jc w:val="center"/>
      <w:outlineLvl w:val="0"/>
    </w:pPr>
    <w:rPr>
      <w:rFonts w:ascii="Times New Roman" w:hAnsi="Times New Roman" w:eastAsia="Times New Roman" w:cs="Times New Roman"/>
      <w:sz w:val="20"/>
      <w:szCs w:val="20"/>
    </w:rPr>
  </w:style>
  <w:style w:type="paragraph" w:styleId="Heading2">
    <w:name w:val="heading 2"/>
    <w:basedOn w:val="Heading"/>
    <w:uiPriority w:val="9"/>
    <w:unhideWhenUsed/>
    <w:qFormat/>
    <w:pPr>
      <w:spacing w:before="90" w:after="40"/>
      <w:outlineLvl w:val="1"/>
    </w:pPr>
    <w:rPr>
      <w:rFonts w:ascii="Times New Roman" w:hAnsi="Times New Roman" w:eastAsia="Times New Roman" w:cs="Times New Roman"/>
      <w:i/>
      <w:iCs/>
      <w:sz w:val="20"/>
      <w:szCs w:val="20"/>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styleId="DefaultParagraphFont" w:default="1">
    <w:name w:val="Default Paragraph Font"/>
    <w:uiPriority w:val="1"/>
    <w:semiHidden/>
    <w:unhideWhenUsed/>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rPr>
      <w:vertAlign w:val="superscript"/>
    </w:rPr>
  </w:style>
  <w:style w:type="character" w:styleId="FootnoteCharactersuser">
    <w:name w:val="Footnote Characters (user)"/>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rPr>
      <w:sz w:val="20"/>
      <w:szCs w:val="20"/>
    </w:rPr>
  </w:style>
  <w:style w:type="character" w:styleId="EndnoteCharacters" w:customStyle="1">
    <w:name w:val="Endnote Characters"/>
    <w:uiPriority w:val="99"/>
    <w:semiHidden/>
    <w:unhideWhenUsed/>
    <w:rPr>
      <w:vertAlign w:val="superscript"/>
    </w:rPr>
  </w:style>
  <w:style w:type="character" w:styleId="EndnoteCharactersuser">
    <w:name w:val="Endnote Characters (user)"/>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rPr>
      <w:sz w:val="20"/>
      <w:szCs w:val="20"/>
    </w:rPr>
  </w:style>
  <w:style w:type="character" w:styleId="Strong">
    <w:name w:val="Strong"/>
    <w:rPr>
      <w:b/>
      <w:bCs/>
    </w:rPr>
  </w:style>
  <w:style w:type="character" w:styleId="FollowedHyperlink">
    <w:name w:val="FollowedHyperlink"/>
    <w:rPr>
      <w:color w:val="800000"/>
      <w:u w:val="single"/>
    </w:rPr>
  </w:style>
  <w:style w:type="paragraph" w:styleId="Heading" w:customStyle="1">
    <w:name w:val="Heading"/>
    <w:basedOn w:val="Normal"/>
    <w:next w:val="BodyTex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pPr>
      <w:suppressLineNumbers/>
      <w:spacing w:before="120" w:after="120"/>
    </w:pPr>
    <w:rPr>
      <w:rFonts w:cs="Mangal"/>
      <w:i/>
      <w:iCs/>
      <w:sz w:val="24"/>
      <w:szCs w:val="24"/>
    </w:rPr>
  </w:style>
  <w:style w:type="paragraph" w:styleId="Index" w:customStyle="1">
    <w:name w:val="Index"/>
    <w:basedOn w:val="Normal"/>
    <w:pPr>
      <w:suppressLineNumbers/>
    </w:pPr>
    <w:rPr>
      <w:rFonts w:cs="Mangal"/>
    </w:rPr>
  </w:style>
  <w:style w:type="paragraph" w:styleId="Title">
    <w:name w:val="Title"/>
    <w:basedOn w:val="Heading"/>
    <w:uiPriority w:val="10"/>
    <w:qFormat/>
    <w:pPr/>
    <w:rPr>
      <w:sz w:val="56"/>
      <w:szCs w:val="56"/>
    </w:rPr>
  </w:style>
  <w:style w:type="paragraph" w:styleId="StrongEmphasis" w:customStyle="1">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0"/>
      <w:szCs w:val="20"/>
      <w:lang w:val="en-GB"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0"/>
      <w:szCs w:val="20"/>
      <w:lang w:val="en-GB" w:eastAsia="zh-CN" w:bidi="hi-IN"/>
    </w:rPr>
  </w:style>
  <w:style w:type="paragraph" w:styleId="FootnoteText">
    <w:name w:val="footnote text"/>
    <w:basedOn w:val="Normal"/>
    <w:link w:val="FootnoteTextChar"/>
    <w:uiPriority w:val="99"/>
    <w:semiHidden/>
    <w:unhideWhenUsed/>
    <w:pPr/>
    <w:rPr/>
  </w:style>
  <w:style w:type="paragraph" w:styleId="EndnoteText">
    <w:name w:val="endnote text"/>
    <w:basedOn w:val="Normal"/>
    <w:link w:val="EndnoteTextChar"/>
    <w:uiPriority w:val="99"/>
    <w:semiHidden/>
    <w:unhideWhenUsed/>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image" Target="media/image45.png"/><Relationship Id="rId47" Type="http://schemas.openxmlformats.org/officeDocument/2006/relationships/image" Target="media/image46.png"/><Relationship Id="rId48" Type="http://schemas.openxmlformats.org/officeDocument/2006/relationships/image" Target="media/image47.png"/><Relationship Id="rId49" Type="http://schemas.openxmlformats.org/officeDocument/2006/relationships/numbering" Target="numbering.xml"/><Relationship Id="rId50" Type="http://schemas.openxmlformats.org/officeDocument/2006/relationships/fontTable" Target="fontTable.xml"/><Relationship Id="rId51" Type="http://schemas.openxmlformats.org/officeDocument/2006/relationships/settings" Target="settings.xml"/><Relationship Id="rId52" Type="http://schemas.openxmlformats.org/officeDocument/2006/relationships/theme" Target="theme/theme1.xml"/><Relationship Id="rId5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CA5236-1594-43BB-9A12-E33D8235A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Application>LibreOffice/26.8.0.3$Windows_X86_64 LibreOffice_project/bce0998afefdbc355585ca324285661a2170ba77</Application>
  <AppVersion>15.0000</AppVersion>
  <Pages>12</Pages>
  <Words>7002</Words>
  <Characters>37591</Characters>
  <CharactersWithSpaces>43932</CharactersWithSpaces>
  <Paragraphs>723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2026-10-09T12:23:00Z</dcterms:created>
  <dc:creator>Raunak Sapariya;Adithya Dev B S;DevAaditya Gupta;Sharma Tvisha Durgesh;Sanchari Goswami</dc:creator>
  <dc:description/>
  <dc:language>en-GB</dc:language>
  <cp:lastModifiedBy/>
  <dcterms:modified xsi:type="dcterms:W3CDTF">2026-10-09T21:45:04Z</dcterms:modified>
  <cp:revision>8</cp:revision>
  <dc:subject/>
  <dc:title>Bayesian Forecasting for Cloud Cost Optimization</dc:title>
</cp:coreProperties>
</file>

<file path=docProps/custom.xml><?xml version="1.0" encoding="utf-8"?>
<Properties xmlns="http://schemas.openxmlformats.org/officeDocument/2006/custom-properties" xmlns:vt="http://schemas.openxmlformats.org/officeDocument/2006/docPropsVTypes"/>
</file>