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RESIDENTIAL TENANCY AGREEMENT</w:t>
      </w:r>
    </w:p>
    <w:p>
      <w:r>
        <w:t xml:space="preserve"/>
      </w:r>
    </w:p>
    <w:p>
      <w:r>
        <w:t xml:space="preserve">1. Lock-in Period. The Tenant may terminate this Agreement at any time with one week's notice. The Landlord is strictly prohibited from terminating this Agreement under any circumstances for the first twenty-four (24) months.</w:t>
      </w:r>
    </w:p>
    <w:p>
      <w:r>
        <w:t xml:space="preserve"/>
      </w:r>
    </w:p>
    <w:p>
      <w:r>
        <w:t xml:space="preserve">2. Repairs and Maintenance. The Landlord shall be solely responsible for all repairs and maintenance to the property, regardless of cause. This includes damage resulting from the Tenant's negligence or deliberate actions. The Landlord must complete any requested repair within 24 hours of notification, failing which the Tenant may withhold rent.</w:t>
      </w:r>
    </w:p>
    <w:p>
      <w:r>
        <w:t xml:space="preserve"/>
      </w:r>
    </w:p>
    <w:p>
      <w:r>
        <w:t xml:space="preserve">3. Security Deposit Return. The Landlord must return the security deposit in full within 3 days of the end of the tenancy. For every day the deposit is delayed, the Landlord shall pay a penalty of $500 to the Tenant, without exception.</w:t>
      </w:r>
    </w:p>
    <w:p>
      <w:r>
        <w:t xml:space="preserve"/>
      </w:r>
    </w:p>
    <w:p>
      <w:r>
        <w:t xml:space="preserve">4. Right of Entry. The Landlord has no right to enter the property under any circumstances without providing at least 30 days prior written notice, which the Tenant may reject at their sole discretion. Emergency entry is expressly prohibited.</w:t>
      </w:r>
    </w:p>
    <w:p>
      <w:r>
        <w:t xml:space="preserve"/>
      </w:r>
    </w:p>
    <w:p>
      <w:r>
        <w:t xml:space="preserve">5. Rent Reduction. The Tenant may unilaterally reduce rent payments by up to 50% if they are dissatisfied with the condition of the neighborhood or local amenities, without requiring the Landlord's consent.</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2026-09-14T15:15:18.370Z</dcterms:created>
  <dcterms:modified xsi:type="dcterms:W3CDTF">2026-09-14T15:15:18.370Z</dcterms:modified>
</cp:coreProperties>
</file>

<file path=docProps/custom.xml><?xml version="1.0" encoding="utf-8"?>
<Properties xmlns="http://schemas.openxmlformats.org/officeDocument/2006/custom-properties" xmlns:vt="http://schemas.openxmlformats.org/officeDocument/2006/docPropsVTypes"/>
</file>