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276"/>
          <w:sz w:val="44"/>
        </w:rPr>
        <w:t>OAuth Whiteboard — System Architecture &amp; Workflow Flowcharts</w:t>
      </w:r>
    </w:p>
    <w:p>
      <w:pPr>
        <w:jc w:val="center"/>
      </w:pPr>
      <w:r>
        <w:rPr>
          <w:i/>
          <w:color w:val="566573"/>
          <w:sz w:val="26"/>
        </w:rPr>
        <w:t>Google OAuth 2.0 Integration &amp; On-Demand Search Console Indexing Workflow</w:t>
      </w:r>
    </w:p>
    <w:p>
      <w:pPr>
        <w:spacing w:after="200"/>
      </w:pPr>
    </w:p>
    <w:p>
      <w:pPr>
        <w:pStyle w:val="Heading1"/>
      </w:pPr>
      <w:r>
        <w:rPr>
          <w:color w:val="154360"/>
        </w:rPr>
        <w:t>1. High-Level System Architecture &amp; Component Flow</w:t>
      </w:r>
    </w:p>
    <w:p>
      <w:r>
        <w:t>The application follows a clean 4-tier asynchronous architecture with strict defense-in-depth isolation: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A5276"/>
          </w:tcPr>
          <w:p>
            <w:r>
              <w:rPr>
                <w:b/>
                <w:color w:val="FFFFFF"/>
              </w:rPr>
              <w:t>Architecture Tier</w:t>
            </w:r>
          </w:p>
        </w:tc>
        <w:tc>
          <w:tcPr>
            <w:tcW w:type="dxa" w:w="5040"/>
            <w:shd w:val="clear" w:color="auto" w:fill="1A5276"/>
          </w:tcPr>
          <w:p>
            <w:r>
              <w:rPr>
                <w:b/>
                <w:color w:val="FFFFFF"/>
              </w:rPr>
              <w:t>Responsibility &amp; Technical Implementation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Client Tier</w:t>
            </w:r>
          </w:p>
        </w:tc>
        <w:tc>
          <w:tcPr>
            <w:tcW w:type="dxa" w:w="5040"/>
          </w:tcPr>
          <w:p>
            <w:r>
              <w:t>Browser or client application interacting via HTTP REST API and Bearer / Header tokens.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FastAPI Backend Layer</w:t>
            </w:r>
          </w:p>
        </w:tc>
        <w:tc>
          <w:tcPr>
            <w:tcW w:type="dxa" w:w="5040"/>
          </w:tcPr>
          <w:p>
            <w:r>
              <w:t>Handles asynchronous request routing, dependency injection, SSRF filtering, cryptographic state signing, and token lifecycle management.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Security &amp; Encryption Layer</w:t>
            </w:r>
          </w:p>
        </w:tc>
        <w:tc>
          <w:tcPr>
            <w:tcW w:type="dxa" w:w="5040"/>
          </w:tcPr>
          <w:p>
            <w:r>
              <w:t>Implements Fernet authenticated symmetric encryption at rest (AES-128-CBC + HMAC-SHA256) and MultiFernet zero-downtime key rotation.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Database Layer</w:t>
            </w:r>
          </w:p>
        </w:tc>
        <w:tc>
          <w:tcPr>
            <w:tcW w:type="dxa" w:w="5040"/>
          </w:tcPr>
          <w:p>
            <w:r>
              <w:t>SQLAlchemy 2.0 Async storing user credentials in oauth_connections with PostgreSQL (asyncpg) or SQLite (aiosqlite) fallback.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Google APIs Tier</w:t>
            </w:r>
          </w:p>
        </w:tc>
        <w:tc>
          <w:tcPr>
            <w:tcW w:type="dxa" w:w="5040"/>
          </w:tcPr>
          <w:p>
            <w:r>
              <w:t>Google Identity OAuth2 token services, Google Indexing API, and Google Search Console APIs.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154360"/>
        </w:rPr>
        <w:t>2. Google OAuth 2.0 Connection &amp; Callback Workflow</w:t>
      </w:r>
    </w:p>
    <w:p>
      <w:r>
        <w:rPr>
          <w:b/>
          <w:color w:val="2471A3"/>
        </w:rPr>
        <w:t xml:space="preserve">• Step 1: Initiation (GET /oauth/google/connect): </w:t>
      </w:r>
      <w:r>
        <w:t>Client calls connect endpoint. Backend generates HMAC-SHA256 signed state encoding user_id, a 16-byte nonce, timestamp, and purpose. Redirects client to Google with access_type=offline and prompt=consent.</w:t>
      </w:r>
    </w:p>
    <w:p>
      <w:r>
        <w:rPr>
          <w:b/>
          <w:color w:val="2471A3"/>
        </w:rPr>
        <w:t xml:space="preserve">• Step 2: User Consent: </w:t>
      </w:r>
      <w:r>
        <w:t>User authenticates on Google's consent screen. Google issues a single-use authorization code and redirects back to the callback URI.</w:t>
      </w:r>
    </w:p>
    <w:p>
      <w:r>
        <w:rPr>
          <w:b/>
          <w:color w:val="2471A3"/>
        </w:rPr>
        <w:t xml:space="preserve">• Step 3: State Validation &amp; Anti-CSRF: </w:t>
      </w:r>
      <w:r>
        <w:t>Backend receives code &amp; state. Validates: (1) HMAC signature matches, (2) timestamp &lt;= 600s, (3) state user_id matches requesting user (mitigating mix-up attacks), and (4) nonce has never been used (eliminating replay attacks).</w:t>
      </w:r>
    </w:p>
    <w:p>
      <w:r>
        <w:rPr>
          <w:b/>
          <w:color w:val="2471A3"/>
        </w:rPr>
        <w:t xml:space="preserve">• Step 4: Server-Side Code Exchange: </w:t>
      </w:r>
      <w:r>
        <w:t>Backend sends a POST request with client_id, client_secret, code, and redirect_uri directly to https://oauth2.googleapis.com/token. Plaintext tokens are NEVER exposed to client.</w:t>
      </w:r>
    </w:p>
    <w:p>
      <w:r>
        <w:rPr>
          <w:b/>
          <w:color w:val="2471A3"/>
        </w:rPr>
        <w:t xml:space="preserve">• Step 5: OIDC Identity Verification: </w:t>
      </w:r>
      <w:r>
        <w:t>Backend queries https://openidconnect.googleapis.com/v1/userinfo to verify user sub and email, ensuring unverified claims are never accepted.</w:t>
      </w:r>
    </w:p>
    <w:p>
      <w:r>
        <w:rPr>
          <w:b/>
          <w:color w:val="2471A3"/>
        </w:rPr>
        <w:t xml:space="preserve">• Step 6: Authenticated Encryption &amp; Upsert: </w:t>
      </w:r>
      <w:r>
        <w:t>Access and refresh tokens are encrypted using Fernet AES-128-CBC + HMAC. If Google omits a refresh token on re-consent, the existing valid refresh token is preserved. Record is stored with status ACTIVE.</w:t>
      </w:r>
    </w:p>
    <w:p>
      <w:pPr>
        <w:spacing w:after="240"/>
      </w:pPr>
    </w:p>
    <w:p>
      <w:pPr>
        <w:pStyle w:val="Heading1"/>
      </w:pPr>
      <w:r>
        <w:rPr>
          <w:color w:val="154360"/>
        </w:rPr>
        <w:t>3. On-Demand URL Indexing Workflow (Google Indexing API)</w:t>
      </w:r>
    </w:p>
    <w:p>
      <w:r>
        <w:rPr>
          <w:b/>
          <w:color w:val="2471A3"/>
        </w:rPr>
        <w:t xml:space="preserve">• Step 1: Inbound Request (POST /indexing/request): </w:t>
      </w:r>
      <w:r>
        <w:t>Client submits URL and notification type (URL_UPDATED or URL_DELETED).</w:t>
      </w:r>
    </w:p>
    <w:p>
      <w:r>
        <w:rPr>
          <w:b/>
          <w:color w:val="2471A3"/>
        </w:rPr>
        <w:t xml:space="preserve">• Step 2: Strict SSRF Filtering: </w:t>
      </w:r>
      <w:r>
        <w:t>URL scheme must be HTTPS. The parser rejects localhost, IPv4/IPv6 private subnets (RFC 1918), cloud metadata IPs (169.254.169.254), and performs DNS resolution to prevent DNS rebinding.</w:t>
      </w:r>
    </w:p>
    <w:p>
      <w:r>
        <w:rPr>
          <w:b/>
          <w:color w:val="2471A3"/>
        </w:rPr>
        <w:t xml:space="preserve">• Step 3: Pre-Emptive Expiry Buffer: </w:t>
      </w:r>
      <w:r>
        <w:t>TokenService checks if token expires within 300 seconds (5 minutes). If expired or close to expiry, automatic token refresh is triggered before dispatching the API call.</w:t>
      </w:r>
    </w:p>
    <w:p>
      <w:r>
        <w:rPr>
          <w:b/>
          <w:color w:val="2471A3"/>
        </w:rPr>
        <w:t xml:space="preserve">• Step 4: Async Mutex Concurrency Lock: </w:t>
      </w:r>
      <w:r>
        <w:t>An asyncio.Lock per user_id ensures concurrent indexing requests execute only ONE refresh call to Google, preventing race conditions, token invalidation, or quota exhaustion.</w:t>
      </w:r>
    </w:p>
    <w:p>
      <w:r>
        <w:rPr>
          <w:b/>
          <w:color w:val="2471A3"/>
        </w:rPr>
        <w:t xml:space="preserve">• Step 5: Google Indexing API Dispatch: </w:t>
      </w:r>
      <w:r>
        <w:t>Request is sent via HTTPX to https://indexing.googleapis.com/v3/urlNotifications:publish with Bearer decrypted_token.</w:t>
      </w:r>
    </w:p>
    <w:p>
      <w:r>
        <w:rPr>
          <w:b/>
          <w:color w:val="2471A3"/>
        </w:rPr>
        <w:t xml:space="preserve">• Step 6: Single-Retry on 401 Unauthorized: </w:t>
      </w:r>
      <w:r>
        <w:t>If Google returns 401, the service forces token refresh and retries the request exactly once. If it fails again, it aborts cleanly, preventing infinite loops.</w:t>
      </w:r>
    </w:p>
    <w:p>
      <w:r>
        <w:rPr>
          <w:b/>
          <w:color w:val="2471A3"/>
        </w:rPr>
        <w:t xml:space="preserve">• Step 7: Safe Normalized Response: </w:t>
      </w:r>
      <w:r>
        <w:t>Returns safe delivery status without leaking tokens or claiming guaranteed indexing.</w:t>
      </w:r>
    </w:p>
    <w:p>
      <w:pPr>
        <w:spacing w:after="240"/>
      </w:pPr>
    </w:p>
    <w:p>
      <w:pPr>
        <w:pStyle w:val="Heading1"/>
      </w:pPr>
      <w:r>
        <w:rPr>
          <w:color w:val="154360"/>
        </w:rPr>
        <w:t>4. Disconnect, Revocation &amp; Password Changes</w:t>
      </w:r>
    </w:p>
    <w:p>
      <w:r>
        <w:rPr>
          <w:b/>
          <w:color w:val="2471A3"/>
        </w:rPr>
        <w:t xml:space="preserve">• Remote Revocation (DELETE /oauth/google/disconnect): </w:t>
      </w:r>
      <w:r>
        <w:t>POST to https://oauth2.googleapis.com/revoke with form-encoded token=PLAINTEXT_TOKEN.</w:t>
      </w:r>
    </w:p>
    <w:p>
      <w:r>
        <w:rPr>
          <w:b/>
          <w:color w:val="2471A3"/>
        </w:rPr>
        <w:t xml:space="preserve">• Network Failure Resilience: </w:t>
      </w:r>
      <w:r>
        <w:t>If Google revocation endpoint times out or fails, local disconnection is still guaranteed: credentials in database are overwritten with null, status set to REVOKED, and remote_revoked: false is accurately reported.</w:t>
      </w:r>
    </w:p>
    <w:p>
      <w:r>
        <w:rPr>
          <w:b/>
          <w:color w:val="2471A3"/>
        </w:rPr>
        <w:t xml:space="preserve">• Google Password Change Behavior: </w:t>
      </w:r>
      <w:r>
        <w:t>When a user revokes consent or changes credentials, Google token endpoint returns invalid_grant. TokenService detects this, flags the connection as reauth_required, aborts retry loops, and prompts user to reconnect.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