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4" w:type="dxa"/>
      </w:tblPr>
      <w:tblGrid>
        <w:gridCol w:w="9355"/>
      </w:tblGrid>
      <w:tr>
        <w:trPr>
          <w:trHeight w:val="14570" w:hRule="exact"/>
        </w:trPr>
        <w:tc>
          <w:tcPr>
            <w:tcW w:type="dxa" w:w="9355"/>
            <w:shd w:val="clear" w:color="auto" w:fill="1A4731"/>
            <w:tcMar>
              <w:top w:w="1417" w:type="dxa"/>
              <w:left w:w="1133" w:type="dxa"/>
              <w:bottom w:w="1133" w:type="dxa"/>
              <w:right w:w="1133" w:type="dxa"/>
            </w:tcMar>
          </w:tcPr>
          <w:p>
            <w:pPr>
              <w:spacing w:before="0" w:after="1200"/>
            </w:pP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 w:val="0"/>
                <w:color w:val="C9A84C"/>
                <w:sz w:val="26"/>
              </w:rPr>
              <w:t>PROJECT-CONTEXT</w:t>
            </w:r>
          </w:p>
          <w:p>
            <w:pPr>
              <w:spacing w:before="0" w:after="80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>Agent Platform Engineering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4"/>
              </w:rPr>
              <w:t>Canvas Artifact Persistence</w:t>
            </w:r>
          </w:p>
          <w:p>
            <w:pPr>
              <w:spacing w:before="0" w:after="800"/>
              <w:jc w:val="center"/>
            </w:pPr>
            <w:r>
              <w:rPr>
                <w:rFonts w:ascii="Calibri" w:hAnsi="Calibri"/>
                <w:b w:val="0"/>
                <w:i w:val="0"/>
                <w:color w:val="C9A84C"/>
                <w:sz w:val="40"/>
              </w:rPr>
              <w:t>Architecture Decision Record</w:t>
            </w:r>
          </w:p>
          <w:p>
            <w:pPr>
              <w:spacing w:before="80" w:after="80"/>
              <w:jc w:val="center"/>
              <w:pBdr>
                <w:bottom w:val="single" w:sz="6" w:space="1" w:color="C9A84C"/>
              </w:pBdr>
            </w:pPr>
          </w:p>
          <w:p>
            <w:pPr>
              <w:spacing w:before="0" w:after="100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C9A84C"/>
                <w:sz w:val="19"/>
              </w:rPr>
              <w:t xml:space="preserve">Status:  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Accepted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C9A84C"/>
                <w:sz w:val="19"/>
              </w:rPr>
              <w:t xml:space="preserve">Date:  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2026-08-26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C9A84C"/>
                <w:sz w:val="19"/>
              </w:rPr>
              <w:t xml:space="preserve">Prepared by:  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Claude Code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C9A84C"/>
                <w:sz w:val="19"/>
              </w:rPr>
              <w:t xml:space="preserve">Document type:  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Architecture Decision Record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i w:val="0"/>
                <w:color w:val="C9A84C"/>
                <w:sz w:val="19"/>
              </w:rPr>
              <w:t xml:space="preserve">Classification:  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Internal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360"/>
      </w:pPr>
      <w:r>
        <w:rPr>
          <w:rFonts w:ascii="Calibri" w:hAnsi="Calibri"/>
          <w:b/>
          <w:i w:val="0"/>
          <w:color w:val="1A4731"/>
          <w:sz w:val="40"/>
        </w:rPr>
        <w:t>Contents</w:t>
      </w:r>
    </w:p>
    <w:p>
      <w:pPr>
        <w:spacing w:before="120" w:after="40"/>
        <w:tabs>
          <w:tab w:val="right" w:pos="8787" w:leader="dot"/>
        </w:tabs>
        <w:ind w:left="0"/>
      </w:pPr>
      <w:r>
        <w:rPr>
          <w:rFonts w:ascii="Calibri" w:hAnsi="Calibri"/>
          <w:b/>
          <w:i w:val="0"/>
          <w:color w:val="1A4731"/>
          <w:sz w:val="21"/>
        </w:rPr>
        <w:t>SECTION 1: Context</w:t>
      </w:r>
      <w:r>
        <w:tab/>
      </w:r>
      <w:r>
        <w:rPr>
          <w:rFonts w:ascii="Calibri" w:hAnsi="Calibri"/>
          <w:b/>
          <w:i w:val="0"/>
          <w:color w:val="1A4731"/>
          <w:sz w:val="21"/>
        </w:rPr>
        <w:t>3</w:t>
      </w:r>
    </w:p>
    <w:p>
      <w:pPr>
        <w:spacing w:before="120" w:after="40"/>
        <w:tabs>
          <w:tab w:val="right" w:pos="8787" w:leader="dot"/>
        </w:tabs>
        <w:ind w:left="0"/>
      </w:pPr>
      <w:r>
        <w:rPr>
          <w:rFonts w:ascii="Calibri" w:hAnsi="Calibri"/>
          <w:b/>
          <w:i w:val="0"/>
          <w:color w:val="1A4731"/>
          <w:sz w:val="21"/>
        </w:rPr>
        <w:t>SECTION 2: Decision</w:t>
      </w:r>
      <w:r>
        <w:tab/>
      </w:r>
      <w:r>
        <w:rPr>
          <w:rFonts w:ascii="Calibri" w:hAnsi="Calibri"/>
          <w:b/>
          <w:i w:val="0"/>
          <w:color w:val="1A4731"/>
          <w:sz w:val="21"/>
        </w:rPr>
        <w:t>5</w:t>
      </w:r>
    </w:p>
    <w:p>
      <w:pPr>
        <w:spacing w:before="120" w:after="40"/>
        <w:tabs>
          <w:tab w:val="right" w:pos="8787" w:leader="dot"/>
        </w:tabs>
        <w:ind w:left="0"/>
      </w:pPr>
      <w:r>
        <w:rPr>
          <w:rFonts w:ascii="Calibri" w:hAnsi="Calibri"/>
          <w:b/>
          <w:i w:val="0"/>
          <w:color w:val="1A4731"/>
          <w:sz w:val="21"/>
        </w:rPr>
        <w:t>SECTION 3: Alternatives Considered</w:t>
      </w:r>
      <w:r>
        <w:tab/>
      </w:r>
      <w:r>
        <w:rPr>
          <w:rFonts w:ascii="Calibri" w:hAnsi="Calibri"/>
          <w:b/>
          <w:i w:val="0"/>
          <w:color w:val="1A4731"/>
          <w:sz w:val="21"/>
        </w:rPr>
        <w:t>7</w:t>
      </w:r>
    </w:p>
    <w:p>
      <w:pPr>
        <w:spacing w:before="120" w:after="40"/>
        <w:tabs>
          <w:tab w:val="right" w:pos="8787" w:leader="dot"/>
        </w:tabs>
        <w:ind w:left="0"/>
      </w:pPr>
      <w:r>
        <w:rPr>
          <w:rFonts w:ascii="Calibri" w:hAnsi="Calibri"/>
          <w:b/>
          <w:i w:val="0"/>
          <w:color w:val="1A4731"/>
          <w:sz w:val="21"/>
        </w:rPr>
        <w:t>SECTION 4: Implementation</w:t>
      </w:r>
      <w:r>
        <w:tab/>
      </w:r>
      <w:r>
        <w:rPr>
          <w:rFonts w:ascii="Calibri" w:hAnsi="Calibri"/>
          <w:b/>
          <w:i w:val="0"/>
          <w:color w:val="1A4731"/>
          <w:sz w:val="21"/>
        </w:rPr>
        <w:t>9</w:t>
      </w:r>
    </w:p>
    <w:p>
      <w:pPr>
        <w:spacing w:before="120" w:after="40"/>
        <w:tabs>
          <w:tab w:val="right" w:pos="8787" w:leader="dot"/>
        </w:tabs>
        <w:ind w:left="0"/>
      </w:pPr>
      <w:r>
        <w:rPr>
          <w:rFonts w:ascii="Calibri" w:hAnsi="Calibri"/>
          <w:b/>
          <w:i w:val="0"/>
          <w:color w:val="1A4731"/>
          <w:sz w:val="21"/>
        </w:rPr>
        <w:t>SECTION 5: Verification</w:t>
      </w:r>
      <w:r>
        <w:tab/>
      </w:r>
      <w:r>
        <w:rPr>
          <w:rFonts w:ascii="Calibri" w:hAnsi="Calibri"/>
          <w:b/>
          <w:i w:val="0"/>
          <w:color w:val="1A4731"/>
          <w:sz w:val="21"/>
        </w:rPr>
        <w:t>11</w:t>
      </w:r>
    </w:p>
    <w:p>
      <w:pPr>
        <w:spacing w:before="120" w:after="40"/>
        <w:tabs>
          <w:tab w:val="right" w:pos="8787" w:leader="dot"/>
        </w:tabs>
        <w:ind w:left="0"/>
      </w:pPr>
      <w:r>
        <w:rPr>
          <w:rFonts w:ascii="Calibri" w:hAnsi="Calibri"/>
          <w:b/>
          <w:i w:val="0"/>
          <w:color w:val="1A4731"/>
          <w:sz w:val="21"/>
        </w:rPr>
        <w:t>SECTION 6: Consequences</w:t>
      </w:r>
      <w:r>
        <w:tab/>
      </w:r>
      <w:r>
        <w:rPr>
          <w:rFonts w:ascii="Calibri" w:hAnsi="Calibri"/>
          <w:b/>
          <w:i w:val="0"/>
          <w:color w:val="1A4731"/>
          <w:sz w:val="21"/>
        </w:rPr>
        <w:t>13</w:t>
      </w:r>
    </w:p>
    <w:p>
      <w:pPr>
        <w:spacing w:before="0" w:after="0"/>
      </w:pPr>
      <w:r>
        <w:br w:type="page"/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417" w:header="680" w:footer="680" w:gutter="0"/>
          <w:cols w:space="720"/>
          <w:titlePg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4" w:type="dxa"/>
      </w:tblPr>
      <w:tblGrid>
        <w:gridCol w:w="9355"/>
      </w:tblGrid>
      <w:tr>
        <w:trPr>
          <w:trHeight w:val="14570" w:hRule="exact"/>
        </w:trPr>
        <w:tc>
          <w:tcPr>
            <w:tcW w:type="dxa" w:w="9355"/>
            <w:shd w:val="clear" w:color="auto" w:fill="1A4731"/>
            <w:tcMar>
              <w:top w:w="1700" w:type="dxa"/>
              <w:left w:w="1417" w:type="dxa"/>
              <w:bottom w:w="1133" w:type="dxa"/>
              <w:right w:w="1133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9A84C"/>
                <w:sz w:val="192"/>
              </w:rPr>
              <w:t>01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CONTEXT</w:t>
            </w:r>
          </w:p>
          <w:p>
            <w:pPr>
              <w:spacing w:before="80" w:after="80"/>
              <w:jc w:val="center"/>
              <w:pBdr>
                <w:bottom w:val="single" w:sz="6" w:space="1" w:color="C9A84C"/>
              </w:pBdr>
            </w:pPr>
          </w:p>
          <w:p>
            <w:pPr>
              <w:spacing w:before="200" w:after="0"/>
              <w:jc w:val="left"/>
            </w:pPr>
            <w:r>
              <w:rPr>
                <w:rFonts w:ascii="Calibri" w:hAnsi="Calibri"/>
                <w:b w:val="0"/>
                <w:i/>
                <w:color w:val="FFFFFF"/>
                <w:sz w:val="22"/>
              </w:rPr>
              <w:t>Canvas output was ephemeral — never stored, never durable, and unverifiable against the agent's own claims.</w:t>
            </w:r>
          </w:p>
        </w:tc>
      </w:tr>
    </w:tbl>
    <w:p>
      <w:pPr>
        <w:sectPr>
          <w:headerReference w:type="first" r:id="rId11"/>
          <w:footerReference w:type="first" r:id="rId12"/>
          <w:headerReference w:type="default" r:id="rId13"/>
          <w:footerReference w:type="default" r:id="rId14"/>
          <w:pgSz w:w="11906" w:h="16838"/>
          <w:pgMar w:top="1134" w:right="1134" w:bottom="1134" w:left="1417" w:header="680" w:footer="680" w:gutter="0"/>
          <w:cols w:space="720"/>
          <w:titlePg/>
          <w:docGrid w:linePitch="360"/>
        </w:sectPr>
      </w:pPr>
    </w:p>
    <w:p>
      <w:pPr>
        <w:spacing w:before="0" w:after="120"/>
      </w:pPr>
      <w:r>
        <w:rPr>
          <w:rFonts w:ascii="Courier New" w:hAnsi="Courier New"/>
          <w:b/>
          <w:color w:val="1A4731"/>
          <w:sz w:val="20"/>
        </w:rPr>
        <w:t>renderCanvas</w:t>
      </w:r>
      <w:r>
        <w:rPr>
          <w:rFonts w:ascii="Calibri" w:hAnsi="Calibri"/>
          <w:b w:val="0"/>
          <w:i w:val="0"/>
          <w:color w:val="1C1C1C"/>
          <w:sz w:val="21"/>
        </w:rPr>
        <w:t xml:space="preserve"> — the tool the agent uses to produce documents mid-conversation — only ever returned </w:t>
      </w:r>
      <w:r>
        <w:rPr>
          <w:rFonts w:ascii="Courier New" w:hAnsi="Courier New"/>
          <w:b/>
          <w:color w:val="1A4731"/>
          <w:sz w:val="20"/>
        </w:rPr>
        <w:t>{title, content, type}</w:t>
      </w:r>
      <w:r>
        <w:rPr>
          <w:rFonts w:ascii="Calibri" w:hAnsi="Calibri"/>
          <w:b w:val="0"/>
          <w:i w:val="0"/>
          <w:color w:val="1C1C1C"/>
          <w:sz w:val="21"/>
        </w:rPr>
        <w:t xml:space="preserve"> into the SSE stream. The content was never written to storage and never given a durable row: it vanished on reload, was not downloadable, and never appeared in the asset gallery.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C1C"/>
          <w:sz w:val="21"/>
        </w:rPr>
        <w:t>This was also the root cause of a confabulation bug — the agent could claim to have rendered a canvas artifact with no persisted trace to check that claim against.</w:t>
      </w:r>
    </w:p>
    <w:p>
      <w:pPr>
        <w:sectPr>
          <w:headerReference w:type="default" r:id="rId15"/>
          <w:footerReference w:type="default" r:id="rId16"/>
          <w:pgSz w:w="11906" w:h="16838"/>
          <w:pgMar w:top="1134" w:right="1134" w:bottom="1134" w:left="1417" w:header="680" w:footer="680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4" w:type="dxa"/>
      </w:tblPr>
      <w:tblGrid>
        <w:gridCol w:w="9355"/>
      </w:tblGrid>
      <w:tr>
        <w:trPr>
          <w:trHeight w:val="14570" w:hRule="exact"/>
        </w:trPr>
        <w:tc>
          <w:tcPr>
            <w:tcW w:type="dxa" w:w="9355"/>
            <w:shd w:val="clear" w:color="auto" w:fill="1A4731"/>
            <w:tcMar>
              <w:top w:w="1700" w:type="dxa"/>
              <w:left w:w="1417" w:type="dxa"/>
              <w:bottom w:w="1133" w:type="dxa"/>
              <w:right w:w="1133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9A84C"/>
                <w:sz w:val="192"/>
              </w:rPr>
              <w:t>02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DECISION</w:t>
            </w:r>
          </w:p>
          <w:p>
            <w:pPr>
              <w:spacing w:before="80" w:after="80"/>
              <w:jc w:val="center"/>
              <w:pBdr>
                <w:bottom w:val="single" w:sz="6" w:space="1" w:color="C9A84C"/>
              </w:pBdr>
            </w:pPr>
          </w:p>
          <w:p>
            <w:pPr>
              <w:spacing w:before="200" w:after="0"/>
              <w:jc w:val="left"/>
            </w:pPr>
            <w:r>
              <w:rPr>
                <w:rFonts w:ascii="Calibri" w:hAnsi="Calibri"/>
                <w:b w:val="0"/>
                <w:i/>
                <w:color w:val="FFFFFF"/>
                <w:sz w:val="22"/>
              </w:rPr>
              <w:t>Persist canvas output through the existing upload pipeline, carried on the message's attachments array.</w:t>
            </w:r>
          </w:p>
        </w:tc>
      </w:tr>
    </w:tbl>
    <w:p>
      <w:pPr>
        <w:sectPr>
          <w:headerReference w:type="first" r:id="rId17"/>
          <w:footerReference w:type="first" r:id="rId18"/>
          <w:headerReference w:type="default" r:id="rId19"/>
          <w:footerReference w:type="default" r:id="rId20"/>
          <w:pgSz w:w="11906" w:h="16838"/>
          <w:pgMar w:top="1134" w:right="1134" w:bottom="1134" w:left="1417" w:header="680" w:footer="680" w:gutter="0"/>
          <w:cols w:space="720"/>
          <w:titlePg/>
          <w:docGrid w:linePitch="360"/>
        </w:sectPr>
      </w:pPr>
    </w:p>
    <w:p>
      <w:pPr>
        <w:spacing w:before="0" w:after="120"/>
      </w:pPr>
      <w:r>
        <w:rPr>
          <w:rFonts w:ascii="Calibri" w:hAnsi="Calibri"/>
          <w:b w:val="0"/>
          <w:i w:val="0"/>
          <w:color w:val="1C1C1C"/>
          <w:sz w:val="21"/>
        </w:rPr>
        <w:t xml:space="preserve">Canvas output is persisted through the same upload pipeline already used for user-uploaded files — </w:t>
      </w:r>
      <w:r>
        <w:rPr>
          <w:rFonts w:ascii="Courier New" w:hAnsi="Courier New"/>
          <w:b/>
          <w:color w:val="1A4731"/>
          <w:sz w:val="20"/>
        </w:rPr>
        <w:t>POST /files/upload</w:t>
      </w:r>
      <w:r>
        <w:rPr>
          <w:rFonts w:ascii="Calibri" w:hAnsi="Calibri"/>
          <w:b w:val="0"/>
          <w:i w:val="0"/>
          <w:color w:val="1C1C1C"/>
          <w:sz w:val="21"/>
        </w:rPr>
        <w:t xml:space="preserve"> followed by a presigned </w:t>
      </w:r>
      <w:r>
        <w:rPr>
          <w:rFonts w:ascii="Courier New" w:hAnsi="Courier New"/>
          <w:b/>
          <w:color w:val="1A4731"/>
          <w:sz w:val="20"/>
        </w:rPr>
        <w:t>PUT</w:t>
      </w:r>
      <w:r>
        <w:rPr>
          <w:rFonts w:ascii="Calibri" w:hAnsi="Calibri"/>
          <w:b w:val="0"/>
          <w:i w:val="0"/>
          <w:color w:val="1C1C1C"/>
          <w:sz w:val="21"/>
        </w:rPr>
        <w:t xml:space="preserve">, followed by </w:t>
      </w:r>
      <w:r>
        <w:rPr>
          <w:rFonts w:ascii="Courier New" w:hAnsi="Courier New"/>
          <w:b/>
          <w:color w:val="1A4731"/>
          <w:sz w:val="20"/>
        </w:rPr>
        <w:t>POST /files/:id/confirm</w:t>
      </w:r>
      <w:r>
        <w:rPr>
          <w:rFonts w:ascii="Calibri" w:hAnsi="Calibri"/>
          <w:b w:val="0"/>
          <w:i w:val="0"/>
          <w:color w:val="1C1C1C"/>
          <w:sz w:val="21"/>
        </w:rPr>
        <w:t xml:space="preserve"> — and carried on the message via the existing </w:t>
      </w:r>
      <w:r>
        <w:rPr>
          <w:rFonts w:ascii="Courier New" w:hAnsi="Courier New"/>
          <w:b/>
          <w:color w:val="1A4731"/>
          <w:sz w:val="20"/>
        </w:rPr>
        <w:t>attachments</w:t>
      </w:r>
      <w:r>
        <w:rPr>
          <w:rFonts w:ascii="Calibri" w:hAnsi="Calibri"/>
          <w:b w:val="0"/>
          <w:i w:val="0"/>
          <w:color w:val="1C1C1C"/>
          <w:sz w:val="21"/>
        </w:rPr>
        <w:t xml:space="preserve"> array, not </w:t>
      </w:r>
      <w:r>
        <w:rPr>
          <w:rFonts w:ascii="Courier New" w:hAnsi="Courier New"/>
          <w:b/>
          <w:color w:val="1A4731"/>
          <w:sz w:val="20"/>
        </w:rPr>
        <w:t>artifactRef</w:t>
      </w:r>
      <w:r>
        <w:rPr>
          <w:rFonts w:ascii="Calibri" w:hAnsi="Calibri"/>
          <w:b w:val="0"/>
          <w:i w:val="0"/>
          <w:color w:val="1C1C1C"/>
          <w:sz w:val="21"/>
        </w:rPr>
        <w:t>, and not a new table.</w:t>
      </w:r>
    </w:p>
    <w:p>
      <w:pPr>
        <w:sectPr>
          <w:headerReference w:type="default" r:id="rId21"/>
          <w:footerReference w:type="default" r:id="rId22"/>
          <w:pgSz w:w="11906" w:h="16838"/>
          <w:pgMar w:top="1134" w:right="1134" w:bottom="1134" w:left="1417" w:header="680" w:footer="680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4" w:type="dxa"/>
      </w:tblPr>
      <w:tblGrid>
        <w:gridCol w:w="9355"/>
      </w:tblGrid>
      <w:tr>
        <w:trPr>
          <w:trHeight w:val="14570" w:hRule="exact"/>
        </w:trPr>
        <w:tc>
          <w:tcPr>
            <w:tcW w:type="dxa" w:w="9355"/>
            <w:shd w:val="clear" w:color="auto" w:fill="1A4731"/>
            <w:tcMar>
              <w:top w:w="1700" w:type="dxa"/>
              <w:left w:w="1417" w:type="dxa"/>
              <w:bottom w:w="1133" w:type="dxa"/>
              <w:right w:w="1133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9A84C"/>
                <w:sz w:val="192"/>
              </w:rPr>
              <w:t>03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ALTERNATIVES CONSIDERED</w:t>
            </w:r>
          </w:p>
          <w:p>
            <w:pPr>
              <w:spacing w:before="80" w:after="80"/>
              <w:jc w:val="center"/>
              <w:pBdr>
                <w:bottom w:val="single" w:sz="6" w:space="1" w:color="C9A84C"/>
              </w:pBdr>
            </w:pPr>
          </w:p>
          <w:p>
            <w:pPr>
              <w:spacing w:before="200" w:after="0"/>
              <w:jc w:val="left"/>
            </w:pPr>
            <w:r>
              <w:rPr>
                <w:rFonts w:ascii="Calibri" w:hAnsi="Calibri"/>
                <w:b w:val="0"/>
                <w:i/>
                <w:color w:val="FFFFFF"/>
                <w:sz w:val="22"/>
              </w:rPr>
              <w:t>Why the artifactRef enum and a new table were both considered and rejected.</w:t>
            </w:r>
          </w:p>
        </w:tc>
      </w:tr>
    </w:tbl>
    <w:p>
      <w:pPr>
        <w:sectPr>
          <w:headerReference w:type="first" r:id="rId23"/>
          <w:footerReference w:type="first" r:id="rId24"/>
          <w:headerReference w:type="default" r:id="rId25"/>
          <w:footerReference w:type="default" r:id="rId26"/>
          <w:pgSz w:w="11906" w:h="16838"/>
          <w:pgMar w:top="1134" w:right="1134" w:bottom="1134" w:left="1417" w:header="680" w:footer="680" w:gutter="0"/>
          <w:cols w:space="720"/>
          <w:titlePg/>
          <w:docGrid w:linePitch="360"/>
        </w:sectPr>
      </w:pPr>
    </w:p>
    <w:p>
      <w:pPr>
        <w:spacing w:before="0" w:after="120"/>
      </w:pPr>
      <w:r>
        <w:rPr>
          <w:rFonts w:ascii="Calibri" w:hAnsi="Calibri"/>
          <w:b/>
          <w:i w:val="0"/>
          <w:color w:val="1C1C1C"/>
          <w:sz w:val="21"/>
        </w:rPr>
        <w:t>Widen the `artifactRef` enum</w:t>
      </w:r>
      <w:r>
        <w:rPr>
          <w:rFonts w:ascii="Calibri" w:hAnsi="Calibri"/>
          <w:b w:val="0"/>
          <w:i w:val="0"/>
          <w:color w:val="1C1C1C"/>
          <w:sz w:val="21"/>
        </w:rPr>
        <w:t xml:space="preserve"> to accept a document/canvas type, alongside its existing </w:t>
      </w:r>
      <w:r>
        <w:rPr>
          <w:rFonts w:ascii="Courier New" w:hAnsi="Courier New"/>
          <w:b/>
          <w:color w:val="1A4731"/>
          <w:sz w:val="20"/>
        </w:rPr>
        <w:t>prd | roadmap | tasks</w:t>
      </w:r>
      <w:r>
        <w:rPr>
          <w:rFonts w:ascii="Calibri" w:hAnsi="Calibri"/>
          <w:b w:val="0"/>
          <w:i w:val="0"/>
          <w:color w:val="1C1C1C"/>
          <w:sz w:val="21"/>
        </w:rPr>
        <w:t xml:space="preserve"> values.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C1C"/>
          <w:sz w:val="21"/>
        </w:rPr>
        <w:t xml:space="preserve">Rejected. The enum is enforced in three separate places — the save-route Zod schema, </w:t>
      </w:r>
      <w:r>
        <w:rPr>
          <w:rFonts w:ascii="Courier New" w:hAnsi="Courier New"/>
          <w:b/>
          <w:color w:val="1A4731"/>
          <w:sz w:val="20"/>
        </w:rPr>
        <w:t>messageToAssets</w:t>
      </w:r>
      <w:r>
        <w:rPr>
          <w:rFonts w:ascii="Calibri" w:hAnsi="Calibri"/>
          <w:b w:val="0"/>
          <w:i w:val="0"/>
          <w:color w:val="1C1C1C"/>
          <w:sz w:val="21"/>
        </w:rPr>
        <w:t xml:space="preserve"> in </w:t>
      </w:r>
      <w:r>
        <w:rPr>
          <w:rFonts w:ascii="Courier New" w:hAnsi="Courier New"/>
          <w:b/>
          <w:color w:val="1A4731"/>
          <w:sz w:val="20"/>
        </w:rPr>
        <w:t>assets.ts</w:t>
      </w:r>
      <w:r>
        <w:rPr>
          <w:rFonts w:ascii="Calibri" w:hAnsi="Calibri"/>
          <w:b w:val="0"/>
          <w:i w:val="0"/>
          <w:color w:val="1C1C1C"/>
          <w:sz w:val="21"/>
        </w:rPr>
        <w:t xml:space="preserve">, and the icon/label lookup in </w:t>
      </w:r>
      <w:r>
        <w:rPr>
          <w:rFonts w:ascii="Courier New" w:hAnsi="Courier New"/>
          <w:b/>
          <w:color w:val="1A4731"/>
          <w:sz w:val="20"/>
        </w:rPr>
        <w:t>ChatArtifactCard.tsx</w:t>
      </w:r>
      <w:r>
        <w:rPr>
          <w:rFonts w:ascii="Calibri" w:hAnsi="Calibri"/>
          <w:b w:val="0"/>
          <w:i w:val="0"/>
          <w:color w:val="1C1C1C"/>
          <w:sz w:val="21"/>
        </w:rPr>
        <w:t xml:space="preserve"> — so widening it means touching all three. More importantly, </w:t>
      </w:r>
      <w:r>
        <w:rPr>
          <w:rFonts w:ascii="Courier New" w:hAnsi="Courier New"/>
          <w:b/>
          <w:color w:val="1A4731"/>
          <w:sz w:val="20"/>
        </w:rPr>
        <w:t>artifactRef</w:t>
      </w:r>
      <w:r>
        <w:rPr>
          <w:rFonts w:ascii="Calibri" w:hAnsi="Calibri"/>
          <w:b w:val="0"/>
          <w:i w:val="0"/>
          <w:color w:val="1C1C1C"/>
          <w:sz w:val="21"/>
        </w:rPr>
        <w:t xml:space="preserve"> is singular, one per message, while canvas output is not guaranteed to be one-to-one with a turn. A single turn producing two documents would lose one under this design.</w:t>
      </w:r>
    </w:p>
    <w:p>
      <w:pPr>
        <w:spacing w:before="0" w:after="120"/>
      </w:pPr>
      <w:r>
        <w:rPr>
          <w:rFonts w:ascii="Calibri" w:hAnsi="Calibri"/>
          <w:b/>
          <w:i w:val="0"/>
          <w:color w:val="1C1C1C"/>
          <w:sz w:val="21"/>
        </w:rPr>
        <w:t>Build a new attachments/assets table.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C1C1C"/>
          <w:sz w:val="21"/>
        </w:rPr>
        <w:t xml:space="preserve">Rejected. </w:t>
      </w:r>
      <w:r>
        <w:rPr>
          <w:rFonts w:ascii="Courier New" w:hAnsi="Courier New"/>
          <w:b/>
          <w:color w:val="1A4731"/>
          <w:sz w:val="20"/>
        </w:rPr>
        <w:t>assets.ts</w:t>
      </w:r>
      <w:r>
        <w:rPr>
          <w:rFonts w:ascii="Calibri" w:hAnsi="Calibri"/>
          <w:b w:val="0"/>
          <w:i w:val="0"/>
          <w:color w:val="1C1C1C"/>
          <w:sz w:val="21"/>
        </w:rPr>
        <w:t xml:space="preserve">'s read side already derives the full asset listing from </w:t>
      </w:r>
      <w:r>
        <w:rPr>
          <w:rFonts w:ascii="Courier New" w:hAnsi="Courier New"/>
          <w:b/>
          <w:color w:val="1A4731"/>
          <w:sz w:val="20"/>
        </w:rPr>
        <w:t>messages.attachments</w:t>
      </w:r>
      <w:r>
        <w:rPr>
          <w:rFonts w:ascii="Calibri" w:hAnsi="Calibri"/>
          <w:b w:val="0"/>
          <w:i w:val="0"/>
          <w:color w:val="1C1C1C"/>
          <w:sz w:val="21"/>
        </w:rPr>
        <w:t xml:space="preserve"> and </w:t>
      </w:r>
      <w:r>
        <w:rPr>
          <w:rFonts w:ascii="Courier New" w:hAnsi="Courier New"/>
          <w:b/>
          <w:color w:val="1A4731"/>
          <w:sz w:val="20"/>
        </w:rPr>
        <w:t>messages.artifactRef</w:t>
      </w:r>
      <w:r>
        <w:rPr>
          <w:rFonts w:ascii="Calibri" w:hAnsi="Calibri"/>
          <w:b w:val="0"/>
          <w:i w:val="0"/>
          <w:color w:val="1C1C1C"/>
          <w:sz w:val="21"/>
        </w:rPr>
        <w:t>, with tenancy and permission checks already in place. A second table sourced from the same underlying facts would be a second source of truth for the same data — the exact kind of drift that produced the original bug, where display and persistence disagreed with each other.</w:t>
      </w:r>
    </w:p>
    <w:p>
      <w:pPr>
        <w:sectPr>
          <w:headerReference w:type="default" r:id="rId27"/>
          <w:footerReference w:type="default" r:id="rId28"/>
          <w:pgSz w:w="11906" w:h="16838"/>
          <w:pgMar w:top="1134" w:right="1134" w:bottom="1134" w:left="1417" w:header="680" w:footer="680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4" w:type="dxa"/>
      </w:tblPr>
      <w:tblGrid>
        <w:gridCol w:w="9355"/>
      </w:tblGrid>
      <w:tr>
        <w:trPr>
          <w:trHeight w:val="14570" w:hRule="exact"/>
        </w:trPr>
        <w:tc>
          <w:tcPr>
            <w:tcW w:type="dxa" w:w="9355"/>
            <w:shd w:val="clear" w:color="auto" w:fill="1A4731"/>
            <w:tcMar>
              <w:top w:w="1700" w:type="dxa"/>
              <w:left w:w="1417" w:type="dxa"/>
              <w:bottom w:w="1133" w:type="dxa"/>
              <w:right w:w="1133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9A84C"/>
                <w:sz w:val="192"/>
              </w:rPr>
              <w:t>04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IMPLEMENTATION</w:t>
            </w:r>
          </w:p>
          <w:p>
            <w:pPr>
              <w:spacing w:before="80" w:after="80"/>
              <w:jc w:val="center"/>
              <w:pBdr>
                <w:bottom w:val="single" w:sz="6" w:space="1" w:color="C9A84C"/>
              </w:pBdr>
            </w:pPr>
          </w:p>
          <w:p>
            <w:pPr>
              <w:spacing w:before="200" w:after="0"/>
              <w:jc w:val="left"/>
            </w:pPr>
            <w:r>
              <w:rPr>
                <w:rFonts w:ascii="Calibri" w:hAnsi="Calibri"/>
                <w:b w:val="0"/>
                <w:i/>
                <w:color w:val="FFFFFF"/>
                <w:sz w:val="22"/>
              </w:rPr>
              <w:t>Four concrete changes: the upload call, a collision-proof key, the tool-loop merge, and the persistence signature.</w:t>
            </w:r>
          </w:p>
        </w:tc>
      </w:tr>
    </w:tbl>
    <w:p>
      <w:pPr>
        <w:sectPr>
          <w:headerReference w:type="first" r:id="rId29"/>
          <w:footerReference w:type="first" r:id="rId30"/>
          <w:headerReference w:type="default" r:id="rId31"/>
          <w:footerReference w:type="default" r:id="rId32"/>
          <w:pgSz w:w="11906" w:h="16838"/>
          <w:pgMar w:top="1134" w:right="1134" w:bottom="1134" w:left="1417" w:header="680" w:footer="680" w:gutter="0"/>
          <w:cols w:space="720"/>
          <w:titlePg/>
          <w:docGrid w:linePitch="360"/>
        </w:sectPr>
      </w:pPr>
    </w:p>
    <w:p>
      <w:pPr>
        <w:spacing w:before="0" w:after="60"/>
        <w:ind w:left="283" w:hanging="198"/>
      </w:pPr>
      <w:r>
        <w:rPr>
          <w:rFonts w:ascii="Calibri" w:hAnsi="Calibri"/>
          <w:b/>
          <w:i w:val="0"/>
          <w:color w:val="40916C"/>
          <w:sz w:val="21"/>
        </w:rPr>
        <w:t xml:space="preserve">▪  </w:t>
      </w:r>
      <w:r>
        <w:rPr>
          <w:rFonts w:ascii="Courier New" w:hAnsi="Courier New"/>
          <w:b/>
          <w:color w:val="1A4731"/>
          <w:sz w:val="20"/>
        </w:rPr>
        <w:t>renderCanvas.execute</w:t>
      </w:r>
      <w:r>
        <w:rPr>
          <w:rFonts w:ascii="Calibri" w:hAnsi="Calibri"/>
          <w:b w:val="0"/>
          <w:i w:val="0"/>
          <w:color w:val="1C1C1C"/>
          <w:sz w:val="21"/>
        </w:rPr>
        <w:t xml:space="preserve"> calls a shared upload helper, </w:t>
      </w:r>
      <w:r>
        <w:rPr>
          <w:rFonts w:ascii="Courier New" w:hAnsi="Courier New"/>
          <w:b/>
          <w:color w:val="1A4731"/>
          <w:sz w:val="20"/>
        </w:rPr>
        <w:t>uploadGeneratedFile</w:t>
      </w:r>
      <w:r>
        <w:rPr>
          <w:rFonts w:ascii="Calibri" w:hAnsi="Calibri"/>
          <w:b w:val="0"/>
          <w:i w:val="0"/>
          <w:color w:val="1C1C1C"/>
          <w:sz w:val="21"/>
        </w:rPr>
        <w:t xml:space="preserve">, that performs the upload, PUT, and confirm round trip and returns a </w:t>
      </w:r>
      <w:r>
        <w:rPr>
          <w:rFonts w:ascii="Courier New" w:hAnsi="Courier New"/>
          <w:b/>
          <w:color w:val="1A4731"/>
          <w:sz w:val="20"/>
        </w:rPr>
        <w:t>fileId</w:t>
      </w:r>
      <w:r>
        <w:rPr>
          <w:rFonts w:ascii="Calibri" w:hAnsi="Calibri"/>
          <w:b w:val="0"/>
          <w:i w:val="0"/>
          <w:color w:val="1C1C1C"/>
          <w:sz w:val="21"/>
        </w:rPr>
        <w:t xml:space="preserve">, name, type, and size, alongside the existing </w:t>
      </w:r>
      <w:r>
        <w:rPr>
          <w:rFonts w:ascii="Courier New" w:hAnsi="Courier New"/>
          <w:b/>
          <w:color w:val="1A4731"/>
          <w:sz w:val="20"/>
        </w:rPr>
        <w:t>{title, content, type}</w:t>
      </w:r>
      <w:r>
        <w:rPr>
          <w:rFonts w:ascii="Calibri" w:hAnsi="Calibri"/>
          <w:b w:val="0"/>
          <w:i w:val="0"/>
          <w:color w:val="1C1C1C"/>
          <w:sz w:val="21"/>
        </w:rPr>
        <w:t xml:space="preserve"> output. It falls through to the plain ephemeral output if request context is missing or the upload fails — best-effort, not a hard dependency for basic canvas display.</w:t>
      </w:r>
    </w:p>
    <w:p>
      <w:pPr>
        <w:spacing w:before="0" w:after="60"/>
        <w:ind w:left="283" w:hanging="198"/>
      </w:pPr>
      <w:r>
        <w:rPr>
          <w:rFonts w:ascii="Calibri" w:hAnsi="Calibri"/>
          <w:b/>
          <w:i w:val="0"/>
          <w:color w:val="40916C"/>
          <w:sz w:val="21"/>
        </w:rPr>
        <w:t xml:space="preserve">▪  </w:t>
      </w:r>
      <w:r>
        <w:rPr>
          <w:rFonts w:ascii="Calibri" w:hAnsi="Calibri"/>
          <w:b w:val="0"/>
          <w:i w:val="0"/>
          <w:color w:val="1C1C1C"/>
          <w:sz w:val="21"/>
        </w:rPr>
        <w:t xml:space="preserve">The upload call always passes an explicit, collision-proof storage key — </w:t>
      </w:r>
      <w:r>
        <w:rPr>
          <w:rFonts w:ascii="Courier New" w:hAnsi="Courier New"/>
          <w:b/>
          <w:color w:val="1A4731"/>
          <w:sz w:val="20"/>
        </w:rPr>
        <w:t>generatedFileKey</w:t>
      </w:r>
      <w:r>
        <w:rPr>
          <w:rFonts w:ascii="Calibri" w:hAnsi="Calibri"/>
          <w:b w:val="0"/>
          <w:i w:val="0"/>
          <w:color w:val="1C1C1C"/>
          <w:sz w:val="21"/>
        </w:rPr>
        <w:t xml:space="preserve">, shaped like </w:t>
      </w:r>
      <w:r>
        <w:rPr>
          <w:rFonts w:ascii="Courier New" w:hAnsi="Courier New"/>
          <w:b/>
          <w:color w:val="1A4731"/>
          <w:sz w:val="20"/>
        </w:rPr>
        <w:t>{conversationId}/{uuid}-{slug}.md</w:t>
      </w:r>
      <w:r>
        <w:rPr>
          <w:rFonts w:ascii="Calibri" w:hAnsi="Calibri"/>
          <w:b w:val="0"/>
          <w:i w:val="0"/>
          <w:color w:val="1C1C1C"/>
          <w:sz w:val="21"/>
        </w:rPr>
        <w:t xml:space="preserve"> — rather than relying on </w:t>
      </w:r>
      <w:r>
        <w:rPr>
          <w:rFonts w:ascii="Courier New" w:hAnsi="Courier New"/>
          <w:b/>
          <w:color w:val="1A4731"/>
          <w:sz w:val="20"/>
        </w:rPr>
        <w:t>getUploadUrl</w:t>
      </w:r>
      <w:r>
        <w:rPr>
          <w:rFonts w:ascii="Calibri" w:hAnsi="Calibri"/>
          <w:b w:val="0"/>
          <w:i w:val="0"/>
          <w:color w:val="1C1C1C"/>
          <w:sz w:val="21"/>
        </w:rPr>
        <w:t xml:space="preserve">'s default </w:t>
      </w:r>
      <w:r>
        <w:rPr>
          <w:rFonts w:ascii="Courier New" w:hAnsi="Courier New"/>
          <w:b/>
          <w:color w:val="1A4731"/>
          <w:sz w:val="20"/>
        </w:rPr>
        <w:t>userKey || filename</w:t>
      </w:r>
      <w:r>
        <w:rPr>
          <w:rFonts w:ascii="Calibri" w:hAnsi="Calibri"/>
          <w:b w:val="0"/>
          <w:i w:val="0"/>
          <w:color w:val="1C1C1C"/>
          <w:sz w:val="21"/>
        </w:rPr>
        <w:t xml:space="preserve"> behavior. Two canvas outputs with the same title previously would have collided and, via the </w:t>
      </w:r>
      <w:r>
        <w:rPr>
          <w:rFonts w:ascii="Courier New" w:hAnsi="Courier New"/>
          <w:b/>
          <w:color w:val="1A4731"/>
          <w:sz w:val="20"/>
        </w:rPr>
        <w:t>/confirm</w:t>
      </w:r>
      <w:r>
        <w:rPr>
          <w:rFonts w:ascii="Calibri" w:hAnsi="Calibri"/>
          <w:b w:val="0"/>
          <w:i w:val="0"/>
          <w:color w:val="1C1C1C"/>
          <w:sz w:val="21"/>
        </w:rPr>
        <w:t xml:space="preserve"> dedup path, silently overwritten or soft-deleted one of them. That was a real data-loss bug, fixed as part of this change rather than left as a follow-up.</w:t>
      </w:r>
    </w:p>
    <w:p>
      <w:pPr>
        <w:spacing w:before="0" w:after="60"/>
        <w:ind w:left="283" w:hanging="198"/>
      </w:pPr>
      <w:r>
        <w:rPr>
          <w:rFonts w:ascii="Calibri" w:hAnsi="Calibri"/>
          <w:b/>
          <w:i w:val="0"/>
          <w:color w:val="40916C"/>
          <w:sz w:val="21"/>
        </w:rPr>
        <w:t xml:space="preserve">▪  </w:t>
      </w:r>
      <w:r>
        <w:rPr>
          <w:rFonts w:ascii="Courier New" w:hAnsi="Courier New"/>
          <w:b/>
          <w:color w:val="1A4731"/>
          <w:sz w:val="20"/>
        </w:rPr>
        <w:t>chatStream.ts</w:t>
      </w:r>
      <w:r>
        <w:rPr>
          <w:rFonts w:ascii="Calibri" w:hAnsi="Calibri"/>
          <w:b w:val="0"/>
          <w:i w:val="0"/>
          <w:color w:val="1C1C1C"/>
          <w:sz w:val="21"/>
        </w:rPr>
        <w:t xml:space="preserve"> collects file info from canvas tool results via a pure, exported function, </w:t>
      </w:r>
      <w:r>
        <w:rPr>
          <w:rFonts w:ascii="Courier New" w:hAnsi="Courier New"/>
          <w:b/>
          <w:color w:val="1A4731"/>
          <w:sz w:val="20"/>
        </w:rPr>
        <w:t>attachmentFromCanvasToolResult</w:t>
      </w:r>
      <w:r>
        <w:rPr>
          <w:rFonts w:ascii="Calibri" w:hAnsi="Calibri"/>
          <w:b w:val="0"/>
          <w:i w:val="0"/>
          <w:color w:val="1C1C1C"/>
          <w:sz w:val="21"/>
        </w:rPr>
        <w:t xml:space="preserve">, pushes each into a </w:t>
      </w:r>
      <w:r>
        <w:rPr>
          <w:rFonts w:ascii="Courier New" w:hAnsi="Courier New"/>
          <w:b/>
          <w:color w:val="1A4731"/>
          <w:sz w:val="20"/>
        </w:rPr>
        <w:t>pendingAttachments</w:t>
      </w:r>
      <w:r>
        <w:rPr>
          <w:rFonts w:ascii="Calibri" w:hAnsi="Calibri"/>
          <w:b w:val="0"/>
          <w:i w:val="0"/>
          <w:color w:val="1C1C1C"/>
          <w:sz w:val="21"/>
        </w:rPr>
        <w:t xml:space="preserve"> array — supporting more than one canvas output per turn — and forwards that array into </w:t>
      </w:r>
      <w:r>
        <w:rPr>
          <w:rFonts w:ascii="Courier New" w:hAnsi="Courier New"/>
          <w:b/>
          <w:color w:val="1A4731"/>
          <w:sz w:val="20"/>
        </w:rPr>
        <w:t>saveAssistantMessage</w:t>
      </w:r>
      <w:r>
        <w:rPr>
          <w:rFonts w:ascii="Calibri" w:hAnsi="Calibri"/>
          <w:b w:val="0"/>
          <w:i w:val="0"/>
          <w:color w:val="1C1C1C"/>
          <w:sz w:val="21"/>
        </w:rPr>
        <w:t xml:space="preserve">. The pre-existing skip-condition for </w:t>
      </w:r>
      <w:r>
        <w:rPr>
          <w:rFonts w:ascii="Courier New" w:hAnsi="Courier New"/>
          <w:b/>
          <w:color w:val="1A4731"/>
          <w:sz w:val="20"/>
        </w:rPr>
        <w:t>artifactRef</w:t>
      </w:r>
      <w:r>
        <w:rPr>
          <w:rFonts w:ascii="Calibri" w:hAnsi="Calibri"/>
          <w:b w:val="0"/>
          <w:i w:val="0"/>
          <w:color w:val="1C1C1C"/>
          <w:sz w:val="21"/>
        </w:rPr>
        <w:t xml:space="preserve"> on canvas output was left untouched; it remains correct, since canvas output was never meant to carry an </w:t>
      </w:r>
      <w:r>
        <w:rPr>
          <w:rFonts w:ascii="Courier New" w:hAnsi="Courier New"/>
          <w:b/>
          <w:color w:val="1A4731"/>
          <w:sz w:val="20"/>
        </w:rPr>
        <w:t>artifactRef</w:t>
      </w:r>
      <w:r>
        <w:rPr>
          <w:rFonts w:ascii="Calibri" w:hAnsi="Calibri"/>
          <w:b w:val="0"/>
          <w:i w:val="0"/>
          <w:color w:val="1C1C1C"/>
          <w:sz w:val="21"/>
        </w:rPr>
        <w:t xml:space="preserve"> entity.</w:t>
      </w:r>
    </w:p>
    <w:p>
      <w:pPr>
        <w:spacing w:before="0" w:after="60"/>
        <w:ind w:left="283" w:hanging="198"/>
      </w:pPr>
      <w:r>
        <w:rPr>
          <w:rFonts w:ascii="Calibri" w:hAnsi="Calibri"/>
          <w:b/>
          <w:i w:val="0"/>
          <w:color w:val="40916C"/>
          <w:sz w:val="21"/>
        </w:rPr>
        <w:t xml:space="preserve">▪  </w:t>
      </w:r>
      <w:r>
        <w:rPr>
          <w:rFonts w:ascii="Courier New" w:hAnsi="Courier New"/>
          <w:b/>
          <w:color w:val="1A4731"/>
          <w:sz w:val="20"/>
        </w:rPr>
        <w:t>persistence.ts</w:t>
      </w:r>
      <w:r>
        <w:rPr>
          <w:rFonts w:ascii="Calibri" w:hAnsi="Calibri"/>
          <w:b w:val="0"/>
          <w:i w:val="0"/>
          <w:color w:val="1C1C1C"/>
          <w:sz w:val="21"/>
        </w:rPr>
        <w:t xml:space="preserve">'s </w:t>
      </w:r>
      <w:r>
        <w:rPr>
          <w:rFonts w:ascii="Courier New" w:hAnsi="Courier New"/>
          <w:b/>
          <w:color w:val="1A4731"/>
          <w:sz w:val="20"/>
        </w:rPr>
        <w:t>saveAssistantMessage</w:t>
      </w:r>
      <w:r>
        <w:rPr>
          <w:rFonts w:ascii="Calibri" w:hAnsi="Calibri"/>
          <w:b w:val="0"/>
          <w:i w:val="0"/>
          <w:color w:val="1C1C1C"/>
          <w:sz w:val="21"/>
        </w:rPr>
        <w:t xml:space="preserve"> gained </w:t>
      </w:r>
      <w:r>
        <w:rPr>
          <w:rFonts w:ascii="Courier New" w:hAnsi="Courier New"/>
          <w:b/>
          <w:color w:val="1A4731"/>
          <w:sz w:val="20"/>
        </w:rPr>
        <w:t>attachments</w:t>
      </w:r>
      <w:r>
        <w:rPr>
          <w:rFonts w:ascii="Calibri" w:hAnsi="Calibri"/>
          <w:b w:val="0"/>
          <w:i w:val="0"/>
          <w:color w:val="1C1C1C"/>
          <w:sz w:val="21"/>
        </w:rPr>
        <w:t xml:space="preserve"> as a forwarded parameter, alongside the pre-existing </w:t>
      </w:r>
      <w:r>
        <w:rPr>
          <w:rFonts w:ascii="Courier New" w:hAnsi="Courier New"/>
          <w:b/>
          <w:color w:val="1A4731"/>
          <w:sz w:val="20"/>
        </w:rPr>
        <w:t>artifactRef</w:t>
      </w:r>
      <w:r>
        <w:rPr>
          <w:rFonts w:ascii="Calibri" w:hAnsi="Calibri"/>
          <w:b w:val="0"/>
          <w:i w:val="0"/>
          <w:color w:val="1C1C1C"/>
          <w:sz w:val="21"/>
        </w:rPr>
        <w:t xml:space="preserve"> and </w:t>
      </w:r>
      <w:r>
        <w:rPr>
          <w:rFonts w:ascii="Courier New" w:hAnsi="Courier New"/>
          <w:b/>
          <w:color w:val="1A4731"/>
          <w:sz w:val="20"/>
        </w:rPr>
        <w:t>completedTrace</w:t>
      </w:r>
      <w:r>
        <w:rPr>
          <w:rFonts w:ascii="Calibri" w:hAnsi="Calibri"/>
          <w:b w:val="0"/>
          <w:i w:val="0"/>
          <w:color w:val="1C1C1C"/>
          <w:sz w:val="21"/>
        </w:rPr>
        <w:t xml:space="preserve"> optionals.</w:t>
      </w:r>
    </w:p>
    <w:p>
      <w:pPr>
        <w:sectPr>
          <w:headerReference w:type="default" r:id="rId33"/>
          <w:footerReference w:type="default" r:id="rId34"/>
          <w:pgSz w:w="11906" w:h="16838"/>
          <w:pgMar w:top="1134" w:right="1134" w:bottom="1134" w:left="1417" w:header="680" w:footer="680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4" w:type="dxa"/>
      </w:tblPr>
      <w:tblGrid>
        <w:gridCol w:w="9355"/>
      </w:tblGrid>
      <w:tr>
        <w:trPr>
          <w:trHeight w:val="14570" w:hRule="exact"/>
        </w:trPr>
        <w:tc>
          <w:tcPr>
            <w:tcW w:type="dxa" w:w="9355"/>
            <w:shd w:val="clear" w:color="auto" w:fill="1A4731"/>
            <w:tcMar>
              <w:top w:w="1700" w:type="dxa"/>
              <w:left w:w="1417" w:type="dxa"/>
              <w:bottom w:w="1133" w:type="dxa"/>
              <w:right w:w="1133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9A84C"/>
                <w:sz w:val="192"/>
              </w:rPr>
              <w:t>05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VERIFICATION</w:t>
            </w:r>
          </w:p>
          <w:p>
            <w:pPr>
              <w:spacing w:before="80" w:after="80"/>
              <w:jc w:val="center"/>
              <w:pBdr>
                <w:bottom w:val="single" w:sz="6" w:space="1" w:color="C9A84C"/>
              </w:pBdr>
            </w:pPr>
          </w:p>
          <w:p>
            <w:pPr>
              <w:spacing w:before="200" w:after="0"/>
              <w:jc w:val="left"/>
            </w:pPr>
            <w:r>
              <w:rPr>
                <w:rFonts w:ascii="Calibri" w:hAnsi="Calibri"/>
                <w:b w:val="0"/>
                <w:i/>
                <w:color w:val="FFFFFF"/>
                <w:sz w:val="22"/>
              </w:rPr>
              <w:t>What was actually tested on the write side, the read side, and confirmed by inspection on the frontend.</w:t>
            </w:r>
          </w:p>
        </w:tc>
      </w:tr>
    </w:tbl>
    <w:p>
      <w:pPr>
        <w:sectPr>
          <w:headerReference w:type="first" r:id="rId35"/>
          <w:footerReference w:type="first" r:id="rId36"/>
          <w:headerReference w:type="default" r:id="rId37"/>
          <w:footerReference w:type="default" r:id="rId38"/>
          <w:pgSz w:w="11906" w:h="16838"/>
          <w:pgMar w:top="1134" w:right="1134" w:bottom="1134" w:left="1417" w:header="680" w:footer="680" w:gutter="0"/>
          <w:cols w:space="720"/>
          <w:titlePg/>
          <w:docGrid w:linePitch="360"/>
        </w:sectPr>
      </w:pPr>
    </w:p>
    <w:p>
      <w:pPr>
        <w:spacing w:before="0" w:after="120"/>
      </w:pPr>
      <w:r>
        <w:rPr>
          <w:rFonts w:ascii="Calibri" w:hAnsi="Calibri"/>
          <w:b/>
          <w:i w:val="0"/>
          <w:color w:val="1C1C1C"/>
          <w:sz w:val="21"/>
        </w:rPr>
        <w:t>Write side.</w:t>
      </w:r>
      <w:r>
        <w:rPr>
          <w:rFonts w:ascii="Calibri" w:hAnsi="Calibri"/>
          <w:b w:val="0"/>
          <w:i w:val="0"/>
          <w:color w:val="1C1C1C"/>
          <w:sz w:val="21"/>
        </w:rPr>
        <w:t xml:space="preserve"> </w:t>
      </w:r>
      <w:r>
        <w:rPr>
          <w:rFonts w:ascii="Courier New" w:hAnsi="Courier New"/>
          <w:b/>
          <w:color w:val="1A4731"/>
          <w:sz w:val="20"/>
        </w:rPr>
        <w:t>chatStream.test.ts</w:t>
      </w:r>
      <w:r>
        <w:rPr>
          <w:rFonts w:ascii="Calibri" w:hAnsi="Calibri"/>
          <w:b w:val="0"/>
          <w:i w:val="0"/>
          <w:color w:val="1C1C1C"/>
          <w:sz w:val="21"/>
        </w:rPr>
        <w:t xml:space="preserve"> exercises </w:t>
      </w:r>
      <w:r>
        <w:rPr>
          <w:rFonts w:ascii="Courier New" w:hAnsi="Courier New"/>
          <w:b/>
          <w:color w:val="1A4731"/>
          <w:sz w:val="20"/>
        </w:rPr>
        <w:t>attachmentFromCanvasToolResult</w:t>
      </w:r>
      <w:r>
        <w:rPr>
          <w:rFonts w:ascii="Calibri" w:hAnsi="Calibri"/>
          <w:b w:val="0"/>
          <w:i w:val="0"/>
          <w:color w:val="1C1C1C"/>
          <w:sz w:val="21"/>
        </w:rPr>
        <w:t xml:space="preserve"> directly, including the specific collision case — two same-titled canvas outputs in one turn, distinct </w:t>
      </w:r>
      <w:r>
        <w:rPr>
          <w:rFonts w:ascii="Courier New" w:hAnsi="Courier New"/>
          <w:b/>
          <w:color w:val="1A4731"/>
          <w:sz w:val="20"/>
        </w:rPr>
        <w:t>fileId</w:t>
      </w:r>
      <w:r>
        <w:rPr>
          <w:rFonts w:ascii="Calibri" w:hAnsi="Calibri"/>
          <w:b w:val="0"/>
          <w:i w:val="0"/>
          <w:color w:val="1C1C1C"/>
          <w:sz w:val="21"/>
        </w:rPr>
        <w:t xml:space="preserve">s — and boundary cases: a non-canvas tool result, and a missing </w:t>
      </w:r>
      <w:r>
        <w:rPr>
          <w:rFonts w:ascii="Courier New" w:hAnsi="Courier New"/>
          <w:b/>
          <w:color w:val="1A4731"/>
          <w:sz w:val="20"/>
        </w:rPr>
        <w:t>fileId</w:t>
      </w:r>
      <w:r>
        <w:rPr>
          <w:rFonts w:ascii="Calibri" w:hAnsi="Calibri"/>
          <w:b w:val="0"/>
          <w:i w:val="0"/>
          <w:color w:val="1C1C1C"/>
          <w:sz w:val="21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color w:val="1C1C1C"/>
          <w:sz w:val="21"/>
        </w:rPr>
        <w:t>Read side.</w:t>
      </w:r>
      <w:r>
        <w:rPr>
          <w:rFonts w:ascii="Calibri" w:hAnsi="Calibri"/>
          <w:b w:val="0"/>
          <w:i w:val="0"/>
          <w:color w:val="1C1C1C"/>
          <w:sz w:val="21"/>
        </w:rPr>
        <w:t xml:space="preserve"> </w:t>
      </w:r>
      <w:r>
        <w:rPr>
          <w:rFonts w:ascii="Courier New" w:hAnsi="Courier New"/>
          <w:b/>
          <w:color w:val="1A4731"/>
          <w:sz w:val="20"/>
        </w:rPr>
        <w:t>assets.test.ts</w:t>
      </w:r>
      <w:r>
        <w:rPr>
          <w:rFonts w:ascii="Calibri" w:hAnsi="Calibri"/>
          <w:b w:val="0"/>
          <w:i w:val="0"/>
          <w:color w:val="1C1C1C"/>
          <w:sz w:val="21"/>
        </w:rPr>
        <w:t xml:space="preserve"> drives the real </w:t>
      </w:r>
      <w:r>
        <w:rPr>
          <w:rFonts w:ascii="Courier New" w:hAnsi="Courier New"/>
          <w:b/>
          <w:color w:val="1A4731"/>
          <w:sz w:val="20"/>
        </w:rPr>
        <w:t>assetsRoutes</w:t>
      </w:r>
      <w:r>
        <w:rPr>
          <w:rFonts w:ascii="Calibri" w:hAnsi="Calibri"/>
          <w:b w:val="0"/>
          <w:i w:val="0"/>
          <w:color w:val="1C1C1C"/>
          <w:sz w:val="21"/>
        </w:rPr>
        <w:t xml:space="preserve"> handler and the real </w:t>
      </w:r>
      <w:r>
        <w:rPr>
          <w:rFonts w:ascii="Courier New" w:hAnsi="Courier New"/>
          <w:b/>
          <w:color w:val="1A4731"/>
          <w:sz w:val="20"/>
        </w:rPr>
        <w:t>classifyMimeType</w:t>
      </w:r>
      <w:r>
        <w:rPr>
          <w:rFonts w:ascii="Calibri" w:hAnsi="Calibri"/>
          <w:b w:val="0"/>
          <w:i w:val="0"/>
          <w:color w:val="1C1C1C"/>
          <w:sz w:val="21"/>
        </w:rPr>
        <w:t xml:space="preserve"> (only the DB layer mocked) with the exact attachment shape </w:t>
      </w:r>
      <w:r>
        <w:rPr>
          <w:rFonts w:ascii="Courier New" w:hAnsi="Courier New"/>
          <w:b/>
          <w:color w:val="1A4731"/>
          <w:sz w:val="20"/>
        </w:rPr>
        <w:t>uploadGeneratedFile</w:t>
      </w:r>
      <w:r>
        <w:rPr>
          <w:rFonts w:ascii="Calibri" w:hAnsi="Calibri"/>
          <w:b w:val="0"/>
          <w:i w:val="0"/>
          <w:color w:val="1C1C1C"/>
          <w:sz w:val="21"/>
        </w:rPr>
        <w:t xml:space="preserve"> produces, confirming </w:t>
      </w:r>
      <w:r>
        <w:rPr>
          <w:rFonts w:ascii="Courier New" w:hAnsi="Courier New"/>
          <w:b/>
          <w:color w:val="1A4731"/>
          <w:sz w:val="20"/>
        </w:rPr>
        <w:t>text/markdown</w:t>
      </w:r>
      <w:r>
        <w:rPr>
          <w:rFonts w:ascii="Calibri" w:hAnsi="Calibri"/>
          <w:b w:val="0"/>
          <w:i w:val="0"/>
          <w:color w:val="1C1C1C"/>
          <w:sz w:val="21"/>
        </w:rPr>
        <w:t xml:space="preserve"> routes to the </w:t>
      </w:r>
      <w:r>
        <w:rPr>
          <w:rFonts w:ascii="Courier New" w:hAnsi="Courier New"/>
          <w:b/>
          <w:color w:val="1A4731"/>
          <w:sz w:val="20"/>
        </w:rPr>
        <w:t>markdown</w:t>
      </w:r>
      <w:r>
        <w:rPr>
          <w:rFonts w:ascii="Calibri" w:hAnsi="Calibri"/>
          <w:b w:val="0"/>
          <w:i w:val="0"/>
          <w:color w:val="1C1C1C"/>
          <w:sz w:val="21"/>
        </w:rPr>
        <w:t xml:space="preserve"> type rather than the generic </w:t>
      </w:r>
      <w:r>
        <w:rPr>
          <w:rFonts w:ascii="Courier New" w:hAnsi="Courier New"/>
          <w:b/>
          <w:color w:val="1A4731"/>
          <w:sz w:val="20"/>
        </w:rPr>
        <w:t>file</w:t>
      </w:r>
      <w:r>
        <w:rPr>
          <w:rFonts w:ascii="Calibri" w:hAnsi="Calibri"/>
          <w:b w:val="0"/>
          <w:i w:val="0"/>
          <w:color w:val="1C1C1C"/>
          <w:sz w:val="21"/>
        </w:rPr>
        <w:t xml:space="preserve"> fallback, and that two same-titled entries stay distinct through </w:t>
      </w:r>
      <w:r>
        <w:rPr>
          <w:rFonts w:ascii="Courier New" w:hAnsi="Courier New"/>
          <w:b/>
          <w:color w:val="1A4731"/>
          <w:sz w:val="20"/>
        </w:rPr>
        <w:t>GET /conversations/:id/assets</w:t>
      </w:r>
      <w:r>
        <w:rPr>
          <w:rFonts w:ascii="Calibri" w:hAnsi="Calibri"/>
          <w:b w:val="0"/>
          <w:i w:val="0"/>
          <w:color w:val="1C1C1C"/>
          <w:sz w:val="21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color w:val="1C1C1C"/>
          <w:sz w:val="21"/>
        </w:rPr>
        <w:t>Frontend.</w:t>
      </w:r>
      <w:r>
        <w:rPr>
          <w:rFonts w:ascii="Calibri" w:hAnsi="Calibri"/>
          <w:b w:val="0"/>
          <w:i w:val="0"/>
          <w:color w:val="1C1C1C"/>
          <w:sz w:val="21"/>
        </w:rPr>
        <w:t xml:space="preserve"> Confirmed via code inspection that canvas's live inline render is driven purely by the SSE </w:t>
      </w:r>
      <w:r>
        <w:rPr>
          <w:rFonts w:ascii="Courier New" w:hAnsi="Courier New"/>
          <w:b/>
          <w:color w:val="1A4731"/>
          <w:sz w:val="20"/>
        </w:rPr>
        <w:t>tool_call</w:t>
      </w:r>
      <w:r>
        <w:rPr>
          <w:rFonts w:ascii="Calibri" w:hAnsi="Calibri"/>
          <w:b w:val="0"/>
          <w:i w:val="0"/>
          <w:color w:val="1C1C1C"/>
          <w:sz w:val="21"/>
        </w:rPr>
        <w:t>/</w:t>
      </w:r>
      <w:r>
        <w:rPr>
          <w:rFonts w:ascii="Courier New" w:hAnsi="Courier New"/>
          <w:b/>
          <w:color w:val="1A4731"/>
          <w:sz w:val="20"/>
        </w:rPr>
        <w:t>tool_done</w:t>
      </w:r>
      <w:r>
        <w:rPr>
          <w:rFonts w:ascii="Calibri" w:hAnsi="Calibri"/>
          <w:b w:val="0"/>
          <w:i w:val="0"/>
          <w:color w:val="1C1C1C"/>
          <w:sz w:val="21"/>
        </w:rPr>
        <w:t xml:space="preserve"> stream and never reads </w:t>
      </w:r>
      <w:r>
        <w:rPr>
          <w:rFonts w:ascii="Courier New" w:hAnsi="Courier New"/>
          <w:b/>
          <w:color w:val="1A4731"/>
          <w:sz w:val="20"/>
        </w:rPr>
        <w:t>message.attachments</w:t>
      </w:r>
      <w:r>
        <w:rPr>
          <w:rFonts w:ascii="Calibri" w:hAnsi="Calibri"/>
          <w:b w:val="0"/>
          <w:i w:val="0"/>
          <w:color w:val="1C1C1C"/>
          <w:sz w:val="21"/>
        </w:rPr>
        <w:t xml:space="preserve">, so there is no double-render. The persisted attachment renders via the existing </w:t>
      </w:r>
      <w:r>
        <w:rPr>
          <w:rFonts w:ascii="Courier New" w:hAnsi="Courier New"/>
          <w:b/>
          <w:color w:val="1A4731"/>
          <w:sz w:val="20"/>
        </w:rPr>
        <w:t>InlineAttachmentCard</w:t>
      </w:r>
      <w:r>
        <w:rPr>
          <w:rFonts w:ascii="Calibri" w:hAnsi="Calibri"/>
          <w:b w:val="0"/>
          <w:i w:val="0"/>
          <w:color w:val="1C1C1C"/>
          <w:sz w:val="21"/>
        </w:rPr>
        <w:t xml:space="preserve"> and opens through the existing canvas panel and tab-strip machinery. Minor UI polish was needed on top of this — cosmetic, not structural.</w:t>
      </w:r>
    </w:p>
    <w:p>
      <w:pPr>
        <w:spacing w:before="0" w:after="120"/>
      </w:pPr>
      <w:r>
        <w:rPr>
          <w:rFonts w:ascii="Calibri" w:hAnsi="Calibri"/>
          <w:b/>
          <w:i w:val="0"/>
          <w:color w:val="1C1C1C"/>
          <w:sz w:val="21"/>
        </w:rPr>
        <w:t>Not done.</w:t>
      </w:r>
      <w:r>
        <w:rPr>
          <w:rFonts w:ascii="Calibri" w:hAnsi="Calibri"/>
          <w:b w:val="0"/>
          <w:i w:val="0"/>
          <w:color w:val="1C1C1C"/>
          <w:sz w:val="21"/>
        </w:rPr>
        <w:t xml:space="preserve"> A live end-to-end run through a real running orchestrator, API, and database stack. No such stack was available in the environment this was verified in. Recommended as a final manual check before treating this as fully battle-tested in a real deployment.</w:t>
      </w:r>
    </w:p>
    <w:p>
      <w:pPr>
        <w:sectPr>
          <w:headerReference w:type="default" r:id="rId39"/>
          <w:footerReference w:type="default" r:id="rId40"/>
          <w:pgSz w:w="11906" w:h="16838"/>
          <w:pgMar w:top="1134" w:right="1134" w:bottom="1134" w:left="1417" w:header="680" w:footer="680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54" w:type="dxa"/>
      </w:tblPr>
      <w:tblGrid>
        <w:gridCol w:w="9355"/>
      </w:tblGrid>
      <w:tr>
        <w:trPr>
          <w:trHeight w:val="14570" w:hRule="exact"/>
        </w:trPr>
        <w:tc>
          <w:tcPr>
            <w:tcW w:type="dxa" w:w="9355"/>
            <w:shd w:val="clear" w:color="auto" w:fill="1A4731"/>
            <w:tcMar>
              <w:top w:w="1700" w:type="dxa"/>
              <w:left w:w="1417" w:type="dxa"/>
              <w:bottom w:w="1133" w:type="dxa"/>
              <w:right w:w="1133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C9A84C"/>
                <w:sz w:val="192"/>
              </w:rPr>
              <w:t>06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CONSEQUENCES</w:t>
            </w:r>
          </w:p>
          <w:p>
            <w:pPr>
              <w:spacing w:before="80" w:after="80"/>
              <w:jc w:val="center"/>
              <w:pBdr>
                <w:bottom w:val="single" w:sz="6" w:space="1" w:color="C9A84C"/>
              </w:pBdr>
            </w:pPr>
          </w:p>
          <w:p>
            <w:pPr>
              <w:spacing w:before="200" w:after="0"/>
              <w:jc w:val="left"/>
            </w:pPr>
            <w:r>
              <w:rPr>
                <w:rFonts w:ascii="Calibri" w:hAnsi="Calibri"/>
                <w:b w:val="0"/>
                <w:i/>
                <w:color w:val="FFFFFF"/>
                <w:sz w:val="22"/>
              </w:rPr>
              <w:t>attachments becomes the general carrier for tool-produced files; artifactRef stays reserved for its three entity types.</w:t>
            </w:r>
          </w:p>
        </w:tc>
      </w:tr>
    </w:tbl>
    <w:p>
      <w:pPr>
        <w:sectPr>
          <w:headerReference w:type="first" r:id="rId41"/>
          <w:footerReference w:type="first" r:id="rId42"/>
          <w:headerReference w:type="default" r:id="rId43"/>
          <w:footerReference w:type="default" r:id="rId44"/>
          <w:pgSz w:w="11906" w:h="16838"/>
          <w:pgMar w:top="1134" w:right="1134" w:bottom="1134" w:left="1417" w:header="680" w:footer="680" w:gutter="0"/>
          <w:cols w:space="720"/>
          <w:titlePg/>
          <w:docGrid w:linePitch="360"/>
        </w:sectPr>
      </w:pPr>
    </w:p>
    <w:p>
      <w:pPr>
        <w:spacing w:before="0" w:after="60"/>
        <w:ind w:left="283" w:hanging="198"/>
      </w:pPr>
      <w:r>
        <w:rPr>
          <w:rFonts w:ascii="Calibri" w:hAnsi="Calibri"/>
          <w:b/>
          <w:i w:val="0"/>
          <w:color w:val="40916C"/>
          <w:sz w:val="21"/>
        </w:rPr>
        <w:t xml:space="preserve">▪  </w:t>
      </w:r>
      <w:r>
        <w:rPr>
          <w:rFonts w:ascii="Courier New" w:hAnsi="Courier New"/>
          <w:b/>
          <w:color w:val="1A4731"/>
          <w:sz w:val="20"/>
        </w:rPr>
        <w:t>attachments</w:t>
      </w:r>
      <w:r>
        <w:rPr>
          <w:rFonts w:ascii="Calibri" w:hAnsi="Calibri"/>
          <w:b w:val="0"/>
          <w:i w:val="0"/>
          <w:color w:val="1C1C1C"/>
          <w:sz w:val="21"/>
        </w:rPr>
        <w:t xml:space="preserve"> is now the general carrier for any tool-produced file, not just user uploads. A future tool that produces audio, video, or image output should call the same shared upload helper and land in the same </w:t>
      </w:r>
      <w:r>
        <w:rPr>
          <w:rFonts w:ascii="Courier New" w:hAnsi="Courier New"/>
          <w:b/>
          <w:color w:val="1A4731"/>
          <w:sz w:val="20"/>
        </w:rPr>
        <w:t>attachments</w:t>
      </w:r>
      <w:r>
        <w:rPr>
          <w:rFonts w:ascii="Calibri" w:hAnsi="Calibri"/>
          <w:b w:val="0"/>
          <w:i w:val="0"/>
          <w:color w:val="1C1C1C"/>
          <w:sz w:val="21"/>
        </w:rPr>
        <w:t>/gallery path, rather than reinventing persistence — that is the point of this design, not an accident of it.</w:t>
      </w:r>
    </w:p>
    <w:p>
      <w:pPr>
        <w:spacing w:before="0" w:after="60"/>
        <w:ind w:left="283" w:hanging="198"/>
      </w:pPr>
      <w:r>
        <w:rPr>
          <w:rFonts w:ascii="Calibri" w:hAnsi="Calibri"/>
          <w:b/>
          <w:i w:val="0"/>
          <w:color w:val="40916C"/>
          <w:sz w:val="21"/>
        </w:rPr>
        <w:t xml:space="preserve">▪  </w:t>
      </w:r>
      <w:r>
        <w:rPr>
          <w:rFonts w:ascii="Courier New" w:hAnsi="Courier New"/>
          <w:b/>
          <w:color w:val="1A4731"/>
          <w:sz w:val="20"/>
        </w:rPr>
        <w:t>artifactRef</w:t>
      </w:r>
      <w:r>
        <w:rPr>
          <w:rFonts w:ascii="Calibri" w:hAnsi="Calibri"/>
          <w:b w:val="0"/>
          <w:i w:val="0"/>
          <w:color w:val="1C1C1C"/>
          <w:sz w:val="21"/>
        </w:rPr>
        <w:t xml:space="preserve"> remains reserved for its original three singleton entity types — prd, roadmap, tasks — and should not be widened to carry arbitrary documents. Any future need for a genuinely singular, entity-like artifact type should get its own explicit decision rather than being folded into this one by default.</w:t>
      </w:r>
    </w:p>
    <w:sectPr w:rsidR="00FC693F" w:rsidRPr="0006063C" w:rsidSect="00034616">
      <w:headerReference w:type="default" r:id="rId45"/>
      <w:footerReference w:type="default" r:id="rId46"/>
      <w:pgSz w:w="11906" w:h="16838"/>
      <w:pgMar w:top="1134" w:right="1134" w:bottom="113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left"/>
      <w:tabs>
        <w:tab w:val="center" w:pos="4818"/>
        <w:tab w:val="right" w:pos="9354"/>
      </w:tabs>
    </w:pPr>
    <w:r>
      <w:rPr>
        <w:rFonts w:ascii="Calibri" w:hAnsi="Calibri"/>
        <w:b w:val="0"/>
        <w:i w:val="0"/>
        <w:color w:val="6B7280"/>
        <w:sz w:val="17"/>
      </w:rPr>
      <w:t>Confidential</w:t>
      <w:tab/>
    </w:r>
    <w:r>
      <w:rPr>
        <w:rFonts w:ascii="Calibri" w:hAnsi="Calibri"/>
        <w:b/>
        <w:i w:val="0"/>
        <w:color w:val="1C1C1C"/>
        <w:sz w:val="17"/>
      </w:rPr>
      <w:fldChar w:fldCharType="begin"/>
      <w:instrText xml:space="preserve"> PAGE </w:instrText>
      <w:fldChar w:fldCharType="end"/>
      <w:tab/>
    </w:r>
    <w:r>
      <w:rPr>
        <w:rFonts w:ascii="Calibri" w:hAnsi="Calibri"/>
        <w:b w:val="0"/>
        <w:i w:val="0"/>
        <w:color w:val="6B7280"/>
        <w:sz w:val="17"/>
      </w:rPr>
      <w:t>project-context —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Canvas Artifact Persistence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Context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Context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Decision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Decision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Alternatives Considered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Alternatives Considered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Implementation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Implementation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Verification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Verification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Consequences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  <w:pBdr>
        <w:bottom w:val="single" w:sz="4" w:space="1" w:color="40916C"/>
      </w:pBdr>
      <w:tabs>
        <w:tab w:val="right" w:pos="9354"/>
      </w:tabs>
    </w:pPr>
    <w:r>
      <w:rPr>
        <w:rFonts w:ascii="Calibri" w:hAnsi="Calibri"/>
        <w:b w:val="0"/>
        <w:i w:val="0"/>
        <w:color w:val="2D6A4F"/>
        <w:sz w:val="17"/>
      </w:rPr>
      <w:t>Consequences</w:t>
      <w:tab/>
    </w:r>
    <w:r>
      <w:rPr>
        <w:rFonts w:ascii="Calibri" w:hAnsi="Calibri"/>
        <w:b w:val="0"/>
        <w:i w:val="0"/>
        <w:color w:val="6B7280"/>
        <w:sz w:val="17"/>
      </w:rPr>
      <w:t>project-context — Architecture Decision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