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661984" cy="172760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61984" cy="1727602"/>
                    </a:xfrm>
                    <a:prstGeom prst="rect"/>
                  </pic:spPr>
                </pic:pic>
              </a:graphicData>
            </a:graphic>
          </wp:inline>
        </w:drawing>
      </w:r>
    </w:p>
    <w:p>
      <w:r>
        <w:t>Master Circular</w:t>
      </w:r>
    </w:p>
    <w:p>
      <w:r>
        <w:t>RBI/2004/88 RPCD. No. PLNFS.BC.69/09.04.01/2003-2004 March 5, 2004</w:t>
      </w:r>
    </w:p>
    <w:p>
      <w:r>
        <w:t>All Indian Scheduled Commercial Banks (excluding RRBs)</w:t>
      </w:r>
    </w:p>
    <w:p>
      <w:r>
        <w:t>Dear Sir,</w:t>
      </w:r>
    </w:p>
    <w:p>
      <w:pPr>
        <w:sectPr>
          <w:headerReference w:type="default" r:id="rId9"/>
          <w:footerReference w:type="default" r:id="rId10"/>
          <w:pgSz w:w="12240" w:h="15840"/>
          <w:pgMar w:top="792" w:right="835" w:bottom="792" w:left="835" w:header="720" w:footer="720" w:gutter="0"/>
          <w:cols w:space="720"/>
          <w:docGrid w:linePitch="360"/>
        </w:sectPr>
      </w:pPr>
    </w:p>
    <w:p>
      <w:pPr>
        <w:pStyle w:val="Heading3"/>
      </w:pPr>
      <w:r>
        <w:t>- Priority Sector Lending -</w:t>
      </w:r>
    </w:p>
    <w:p>
      <w:pPr>
        <w:pStyle w:val="Heading1"/>
      </w:pPr>
      <w:r>
        <w:t>Prime Minister's Rozgar Yojana (PMRY)</w:t>
      </w:r>
    </w:p>
    <w:p>
      <w:r>
        <w:t>Reserve Bank of India has, periodically issued instructions/directives to banks with regard to operationalisation of the PRIME MINISTER'S ROZGAR YOJANA scheme. To enable the banks to have current instructions at one place, a Master Circular incorporating all the existing guidelines/instructions/directives on the scheme was prepared and circulated vide our circular RPCD.PLNFS.BC. No.25/09.04.01/2002-2003 dated October 14, 2002. We advise that this Master Circular is now updated by consolidating all the previous instructions issued by RBI upto 29 February, 2004, which are listed in the Appendix to this circular.</w:t>
      </w:r>
    </w:p>
    <w:p>
      <w:r>
        <w:t>Please acknowledge receipt.</w:t>
      </w:r>
    </w:p>
    <w:p>
      <w:r>
        <w:t>Yours faithfully,</w:t>
      </w:r>
    </w:p>
    <w:p>
      <w:r>
        <w:t>(G.Srinavasan)</w:t>
      </w:r>
    </w:p>
    <w:p>
      <w:r>
        <w:t>Chief General Manager</w:t>
      </w:r>
    </w:p>
    <w:p>
      <w:pPr>
        <w:pStyle w:val="Heading6"/>
      </w:pPr>
      <w:r>
        <w:t>Master Circular PRIME MINISTER'S ROZGAR YOJANA (PMRY) Contents</w:t>
      </w:r>
    </w:p>
    <w:p>
      <w:pPr>
        <w:pStyle w:val="ListBullet"/>
      </w:pPr>
      <w:r>
        <w:t>SECTION - I</w:t>
      </w:r>
    </w:p>
    <w:p>
      <w:r>
        <w:t>Guidelines on Prime Minister's Rozgar Yojana (PMRY) 1 - 13 (as amended from time to time).</w:t>
      </w:r>
    </w:p>
    <w:p>
      <w:pPr>
        <w:pStyle w:val="ListBullet"/>
      </w:pPr>
      <w:r>
        <w:t>SECTION - II</w:t>
      </w:r>
    </w:p>
    <w:p>
      <w:r>
        <w:t>PMRY - Implementing Agencies and Operational Guidelines 13 - 18</w:t>
      </w:r>
    </w:p>
    <w:p>
      <w:pPr>
        <w:pStyle w:val="ListBullet"/>
      </w:pPr>
      <w:r>
        <w:t>SECTION - III</w:t>
      </w:r>
    </w:p>
    <w:p>
      <w:r>
        <w:t>PMRY – Target Allocation &amp; Recovery Requirements 18 – 21</w:t>
      </w:r>
    </w:p>
    <w:p>
      <w:r>
        <w:t>PMRY - Target Allocation &amp; Recovery Requirements</w:t>
      </w:r>
    </w:p>
    <w:p>
      <w:r>
        <w:t>18 - 21</w:t>
      </w:r>
    </w:p>
    <w:p>
      <w:r>
        <w:t>Section - IV -</w:t>
      </w:r>
    </w:p>
    <w:p>
      <w:r>
        <w:t>22</w:t>
      </w:r>
    </w:p>
    <w:p>
      <w:r>
        <w:t>23 - 25</w:t>
      </w:r>
    </w:p>
    <w:p>
      <w:r>
        <w:t>Annexure II</w:t>
      </w:r>
    </w:p>
    <w:p>
      <w:r>
        <w:t>26 - 27</w:t>
      </w:r>
    </w:p>
    <w:p>
      <w:r>
        <w:t>Annexure III</w:t>
      </w:r>
    </w:p>
    <w:p>
      <w:pPr>
        <w:sectPr>
          <w:headerReference w:type="default" r:id="rId12"/>
          <w:footerReference w:type="default" r:id="rId13"/>
          <w:pgSz w:w="12240" w:h="15840"/>
          <w:pgMar w:top="792" w:right="835" w:bottom="792" w:left="835" w:header="720" w:footer="720" w:gutter="0"/>
          <w:cols w:space="720"/>
          <w:docGrid w:linePitch="360"/>
        </w:sectPr>
      </w:pPr>
    </w:p>
    <w:p>
      <w:r>
        <w:t>Annexure V 31 - 32 Annexure VI 33 - 34 Annexure VII 35 Annexure VIII 36 Annexure IX 37 - 38 Annexure X 39 Annexure XI 40 Annexure XII 41 Annexure XIII Annexure XIV 44 - 46 Appendix 47 - 50</w:t>
      </w:r>
    </w:p>
    <w:p>
      <w:pPr>
        <w:sectPr>
          <w:headerReference w:type="default" r:id="rId14"/>
          <w:footerReference w:type="default" r:id="rId15"/>
          <w:pgSz w:w="12240" w:h="15840"/>
          <w:pgMar w:top="792" w:right="835" w:bottom="792" w:left="835" w:header="720" w:footer="720" w:gutter="0"/>
          <w:cols w:space="720"/>
          <w:docGrid w:linePitch="360"/>
        </w:sectPr>
      </w:pPr>
    </w:p>
    <w:p>
      <w:pPr>
        <w:pStyle w:val="Heading6"/>
      </w:pPr>
      <w:r>
        <w:t>Master Circular</w:t>
      </w:r>
    </w:p>
    <w:p>
      <w:pPr>
        <w:pStyle w:val="Heading5"/>
      </w:pPr>
      <w:r>
        <w:t>PRIORITY SECTOR LENDINGS - SPECIAL PROGRAMMES</w:t>
      </w:r>
    </w:p>
    <w:p>
      <w:pPr>
        <w:pStyle w:val="Heading1"/>
      </w:pPr>
      <w:r>
        <w:t>Section - I</w:t>
      </w:r>
    </w:p>
    <w:p>
      <w:pPr>
        <w:pStyle w:val="Heading1"/>
      </w:pPr>
      <w:r>
        <w:t>Guidelines on Prime Minister's Rozgar Yojana (PMRY)</w:t>
      </w:r>
    </w:p>
    <w:p>
      <w:pPr>
        <w:pStyle w:val="Heading2"/>
      </w:pPr>
      <w:r>
        <w:t>1. Objective</w:t>
      </w:r>
    </w:p>
    <w:p>
      <w:r>
        <w:t>The Prime Minister's, Rozgar Yojana (PMRY) has been designed to provide employment to educated unemployed youth by setting up of micro enterprises by the educated unemployed poor. It relates to the setting up of the self-employment ventures for industries, services and business.</w:t>
      </w:r>
    </w:p>
    <w:p>
      <w:pPr>
        <w:pStyle w:val="Heading2"/>
      </w:pPr>
      <w:r>
        <w:t>2. Coverage</w:t>
      </w:r>
    </w:p>
    <w:p>
      <w:r>
        <w:t>The scheme covers whole of the country.</w:t>
      </w:r>
    </w:p>
    <w:p>
      <w:pPr>
        <w:pStyle w:val="Heading2"/>
      </w:pPr>
      <w:r>
        <w:t>3. Target Group</w:t>
      </w:r>
    </w:p>
    <w:p>
      <w:r>
        <w:t>The scheme covers all educated unemployed youth with a minimum qualification of VIIIth Standard (passed). Preference will be given to women, ITI passed and persons who have undergone the Government sponsored technical course for a minimum duration of 6 months.</w:t>
      </w:r>
    </w:p>
    <w:p>
      <w:pPr>
        <w:pStyle w:val="Heading2"/>
      </w:pPr>
      <w:r>
        <w:t>4. Eligibility Norms</w:t>
      </w:r>
    </w:p>
    <w:p>
      <w:pPr>
        <w:pStyle w:val="Heading3"/>
      </w:pPr>
      <w:r>
        <w:t>(i) Age</w:t>
      </w:r>
    </w:p>
    <w:p>
      <w:r>
        <w:t>All educated unemployed youth between the age of 18 and 35 years on the date of receipt of application by the concerned DIC will be eligible for loan under the scheme in general with a 10 years relaxation for SC/ST/Ex-servicemen/physically handicapped and women i.e. upto the age of 45.</w:t>
      </w:r>
    </w:p>
    <w:p>
      <w:pPr>
        <w:pStyle w:val="Heading3"/>
      </w:pPr>
      <w:r>
        <w:t>(ii) Education</w:t>
      </w:r>
    </w:p>
    <w:p>
      <w:r>
        <w:t>Educated/unemployed youth with a minimum qualification of VIIIth Standard (passed). Preference is to be given to persons who have received training in any trade in Government recognised/approved institutions (ITI, etc.) for a minimum duration of six months. Applicants with higher qualifications or who are still pursuing further course of studies after their matriculation are also eligible for assistance.</w:t>
      </w:r>
    </w:p>
    <w:p>
      <w:pPr>
        <w:pStyle w:val="Heading3"/>
      </w:pPr>
      <w:r>
        <w:t>(iii) Annual family income</w:t>
      </w:r>
    </w:p>
    <w:p>
      <w:r>
        <w:t>(a) Income upto Rs. 40,000/- per annum of family and upto Rs.40,000/- per annum of parents of beneficiary on the date of application should be taken into account. Family for this purpose would mean the beneficiary and spouse. Family income would include income from all sources whether wages, salary, pension, agriculture, business, rent, etc.</w:t>
      </w:r>
    </w:p>
    <w:p>
      <w:pPr>
        <w:pStyle w:val="ListBullet"/>
      </w:pPr>
      <w:r>
        <w:t>(b) As per this definition, family income should be upto Rs. 40,000/- per annum of the beneficiary; the beneficiary and spouse together, if married and upto Rs. 40,000/- per annum of parents of the beneficiary separately. This criterion of income ceiling for determining the eligibility under PMRY is applicable whether the beneficiary is staying separately or with the parents.</w:t>
      </w:r>
    </w:p>
    <w:p>
      <w:pPr>
        <w:pStyle w:val="ListBullet"/>
      </w:pPr>
      <w:r>
        <w:t>(c) Further, the family would mean the applicant and the spouse, even if two or more brothers/sisters live together, they will constitute different families and hence will be eligible for assistance under PMRY, if they satisfy other eligibility criteria laid down under the PMRY Scheme.</w:t>
      </w:r>
    </w:p>
    <w:p>
      <w:pPr>
        <w:sectPr>
          <w:headerReference w:type="default" r:id="rId16"/>
          <w:footerReference w:type="default" r:id="rId17"/>
          <w:pgSz w:w="12240" w:h="15840"/>
          <w:pgMar w:top="792" w:right="835" w:bottom="792" w:left="835" w:header="720" w:footer="720" w:gutter="0"/>
          <w:cols w:space="720"/>
          <w:docGrid w:linePitch="360"/>
        </w:sectPr>
      </w:pPr>
    </w:p>
    <w:p>
      <w:pPr>
        <w:pStyle w:val="ListBullet"/>
      </w:pPr>
      <w:r>
        <w:t>(d) For the married women candidates, the income of their parents-in-law shall be considered.</w:t>
      </w:r>
    </w:p>
    <w:p>
      <w:pPr>
        <w:pStyle w:val="ListBullet"/>
      </w:pPr>
      <w:r>
        <w:t>(e) If the applicant was adopted 3 years prior to the date of his/her application for loan under PMRY, the annual income of the adopted parents would be taken into account to determine family income. If a period of adoption was less than 3 years, as on the date of his/her application for loan under PMRY, the annual income of his/her own parents will be taken into account to determine family income.</w:t>
      </w:r>
    </w:p>
    <w:p>
      <w:pPr>
        <w:pStyle w:val="ListBullet"/>
      </w:pPr>
      <w:r>
        <w:t>(f) Applicant's family income statement is to be supported by an affidavit. It is for the Task Force to be satisfied about the applicant meeting the family income criteria. In case of doubt, the Task Force can ask for additional documents or follow an appropriate procedure. Once a case is recommended by the Task Force, it should be presumed that the applicant meets the income criteria unless there is evidence to the contrary. Banks need not question the recommendations of the Task Force on grounds of family income, unless they have concrete and objective evidence. In such a case, the case shall be referred back to the Task Force with the evidence for appropriate action. Government of India have decided to allow applicants to submit a declaration on plain paper incorporating the contents of the affidavit along with the applications submitted to the DIC/banks. The formal affidavit on the relevant non-judiciary paper shall be submitted to the bank only when the loan amount is sanctioned.</w:t>
      </w:r>
    </w:p>
    <w:p>
      <w:pPr>
        <w:pStyle w:val="Heading3"/>
      </w:pPr>
      <w:r>
        <w:t>iv). Residency</w:t>
      </w:r>
    </w:p>
    <w:p>
      <w:r>
        <w:t>a. Beneficiary should be a permanent resident of the area for three years. Here</w:t>
      </w:r>
    </w:p>
    <w:p>
      <w:pPr>
        <w:pStyle w:val="ListBullet"/>
      </w:pPr>
      <w:r>
        <w:t>Beneficiary should be a permanent resident of the area for three years. Here 'Area' means the district. If the applicant is desirous of setting up venture at any place in the district in which he is residing for the last 3 years, he is eligible for assistance. Newly married women beneficiaries are exempted from fulfilling the above criterion of residency and instead the residency criterion is applied to the in-laws/husband of the married beneficiaries.</w:t>
      </w:r>
    </w:p>
    <w:p>
      <w:r>
        <w:t>b. Document like ration card will constitute enough proof for this purpose. In its</w:t>
      </w:r>
    </w:p>
    <w:p>
      <w:pPr>
        <w:pStyle w:val="ListBullet"/>
      </w:pPr>
      <w:r>
        <w:t>Document like ration card will constitute enough proof for this purpose. In its absence, Residency Certificate issued by the Deputy Commissioner/ District Magistrate or any other appropriate authority designated by the State Government may be accepted. In the absence of ration card, any other document to the satisfaction of District Committees/Task Force may be accepted as a proof of residence.</w:t>
      </w:r>
    </w:p>
    <w:p>
      <w:r>
        <w:t>c. The residency criteria for married men in Meghalaya is relaxed in line with the</w:t>
      </w:r>
    </w:p>
    <w:p>
      <w:pPr>
        <w:pStyle w:val="ListBullet"/>
      </w:pPr>
      <w:r>
        <w:t>The residency criteria for married men in Meghalaya is relaxed in line with the married women in the rest of the country. In Meghalaya, the residency criteria, i.e. the applicant should be resident of the area for the last three years, may be applicable to in-laws/wives of the married male applicants under PMRY.</w:t>
      </w:r>
    </w:p>
    <w:p>
      <w:pPr>
        <w:pStyle w:val="Heading3"/>
      </w:pPr>
      <w:r>
        <w:t>(v) Other conditions</w:t>
      </w:r>
    </w:p>
    <w:p>
      <w:r>
        <w:t>a. A defaulter to a bank/financial institution will not be eligible for assistance</w:t>
      </w:r>
    </w:p>
    <w:p>
      <w:pPr>
        <w:pStyle w:val="ListBullet"/>
      </w:pPr>
      <w:r>
        <w:t>A defaulter to a bank/financial institution will not be eligible for assistance under the scheme. Further, if a member of a family is a defaulter other members of the family will not be eligible for assistance.</w:t>
      </w:r>
    </w:p>
    <w:p>
      <w:r>
        <w:t>b. More than one member of the same family may not be assisted under the</w:t>
      </w:r>
    </w:p>
    <w:p>
      <w:pPr>
        <w:pStyle w:val="ListBullet"/>
      </w:pPr>
      <w:r>
        <w:t>More than one member of the same family may not be assisted under the scheme. However, another member of the same family having been assisted under any other Central/State/State-owned Corporation sponsored scheme (with/without subsidy) need not be a bar to assistance under PMRY.</w:t>
      </w:r>
    </w:p>
    <w:p>
      <w:r>
        <w:t>c. A person who had been earlier assisted under a subsidy-linked programme will</w:t>
      </w:r>
    </w:p>
    <w:p>
      <w:pPr>
        <w:pStyle w:val="ListBullet"/>
      </w:pPr>
      <w:r>
        <w:t>A person who had been earlier assisted under a subsidy-linked programme will not be eligible for assistance under the PMRY.</w:t>
      </w:r>
    </w:p>
    <w:p>
      <w:pPr>
        <w:pStyle w:val="Heading2"/>
      </w:pPr>
      <w:r>
        <w:t>5. Eligible Activities</w:t>
      </w:r>
    </w:p>
    <w:p>
      <w:r>
        <w:t>Assistance will be provided for all economically viable activities including agricultural and allied activities but excluding direct agricultural operations like raising crop, purchase of manure, etc. However, it may be ensured that the beneficiary obtains statutory approvals that may be required under any law in force and disbursement by bank could be related to such clearances, if any. The implementing agencies will decide the eligibility and classification of the activity</w:t>
      </w:r>
    </w:p>
    <w:sectPr w:rsidR="00FC693F" w:rsidRPr="0006063C" w:rsidSect="00034616">
      <w:headerReference w:type="default" r:id="rId18"/>
      <w:footerReference w:type="default" r:id="rId19"/>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t>Annexure IV 28</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sz w:val="14"/>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sz w:val="14"/>
      </w:rPr>
      <w:t>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b/>
      <w:bCs/>
      <w:i/>
      <w:iCs/>
      <w:color w:val="4F81BD" w:themeColor="accent1"/>
      <w:sz w:val="19"/>
    </w:rPr>
  </w:style>
  <w:style w:type="paragraph" w:styleId="Heading5">
    <w:name w:val="heading 5"/>
    <w:basedOn w:val="Normal"/>
    <w:next w:val="Normal"/>
    <w:link w:val="Heading5Char"/>
    <w:uiPriority w:val="9"/>
    <w:semiHidden/>
    <w:unhideWhenUsed/>
    <w:qFormat/>
    <w:rsid w:val="00FC693F"/>
    <w:pPr>
      <w:keepNext/>
      <w:keepLines/>
      <w:spacing w:before="100" w:after="40"/>
      <w:outlineLvl w:val="4"/>
    </w:pPr>
    <w:rPr>
      <w:rFonts w:asciiTheme="majorHAnsi" w:eastAsiaTheme="majorEastAsia" w:hAnsiTheme="majorHAnsi" w:cstheme="majorBidi" w:ascii="Arial" w:hAnsi="Arial"/>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100" w:after="40"/>
      <w:outlineLvl w:val="5"/>
    </w:pPr>
    <w:rPr>
      <w:rFonts w:asciiTheme="majorHAnsi" w:eastAsiaTheme="majorEastAsia" w:hAnsiTheme="majorHAnsi" w:cstheme="majorBidi" w:ascii="Arial" w:hAnsi="Arial"/>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100" w:after="40"/>
      <w:outlineLvl w:val="6"/>
    </w:pPr>
    <w:rPr>
      <w:rFonts w:asciiTheme="majorHAnsi" w:eastAsiaTheme="majorEastAsia" w:hAnsiTheme="majorHAnsi" w:cstheme="majorBidi" w:ascii="Arial" w:hAnsi="Arial"/>
      <w:i/>
      <w:iCs/>
      <w:color w:val="404040" w:themeColor="text1" w:themeTint="BF"/>
      <w:sz w:val="18"/>
    </w:rPr>
  </w:style>
  <w:style w:type="paragraph" w:styleId="Heading8">
    <w:name w:val="heading 8"/>
    <w:basedOn w:val="Normal"/>
    <w:next w:val="Normal"/>
    <w:link w:val="Heading8Char"/>
    <w:uiPriority w:val="9"/>
    <w:semiHidden/>
    <w:unhideWhenUsed/>
    <w:qFormat/>
    <w:rsid w:val="00FC693F"/>
    <w:pPr>
      <w:keepNext/>
      <w:keepLines/>
      <w:spacing w:before="100" w:after="40"/>
      <w:outlineLvl w:val="7"/>
    </w:pPr>
    <w:rPr>
      <w:rFonts w:asciiTheme="majorHAnsi" w:eastAsiaTheme="majorEastAsia" w:hAnsiTheme="majorHAnsi" w:cstheme="majorBidi" w:ascii="Arial" w:hAnsi="Arial"/>
      <w:color w:val="4F81BD" w:themeColor="accent1"/>
      <w:sz w:val="18"/>
      <w:szCs w:val="20"/>
    </w:rPr>
  </w:style>
  <w:style w:type="paragraph" w:styleId="Heading9">
    <w:name w:val="heading 9"/>
    <w:basedOn w:val="Normal"/>
    <w:next w:val="Normal"/>
    <w:link w:val="Heading9Char"/>
    <w:uiPriority w:val="9"/>
    <w:semiHidden/>
    <w:unhideWhenUsed/>
    <w:qFormat/>
    <w:rsid w:val="00FC693F"/>
    <w:pPr>
      <w:keepNext/>
      <w:keepLines/>
      <w:spacing w:before="100" w:after="40"/>
      <w:outlineLvl w:val="8"/>
    </w:pPr>
    <w:rPr>
      <w:rFonts w:asciiTheme="majorHAnsi" w:eastAsiaTheme="majorEastAsia" w:hAnsiTheme="majorHAnsi" w:cstheme="majorBidi" w:ascii="Arial" w:hAnsi="Arial"/>
      <w:i/>
      <w:iCs/>
      <w:color w:val="404040" w:themeColor="text1" w:themeTint="B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100"/>
      <w:contextualSpacing/>
    </w:pPr>
    <w:rPr>
      <w:rFonts w:asciiTheme="majorHAnsi" w:eastAsiaTheme="majorEastAsia" w:hAnsiTheme="majorHAnsi" w:cstheme="majorBidi" w:ascii="Arial" w:hAnsi="Arial"/>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51916</dc:title>
  <dc:subject>Docling section-preservation proof of concept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