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Purpose</w:t>
      </w:r>
    </w:p>
    <w:p>
      <w:r>
        <w:t>Validate extraction of text, heading hierarchy, page provenance, and reading order. This fixture includes four heading levels, repeated running headers and footers, a table, a vector chart, hyperlinks, a footnote, lists, and a callout.</w:t>
      </w:r>
    </w:p>
    <w:p>
      <w:pPr>
        <w:pStyle w:val="Heading3"/>
      </w:pPr>
      <w:r>
        <w:t>Elements included</w:t>
      </w:r>
    </w:p>
    <w:p>
      <w:r>
        <w:t>Section headings (levels 1-4), paragraphs, lists, a structured table, chart and caption, footnote reference and note, hyperlink, shaded callout, running header, footer, and page number.</w:t>
      </w:r>
    </w:p>
    <w:p>
      <w:pPr>
        <w:pStyle w:val="Heading2"/>
      </w:pPr>
      <w:r>
        <w:t>1. Overview and Document Structure</w:t>
      </w:r>
    </w:p>
    <w:p>
      <w:r>
        <w:t>This section introduces the synthetic report and its intended use in extraction testing.</w:t>
      </w:r>
    </w:p>
    <w:p>
      <w:pPr>
        <w:pStyle w:val="Heading3"/>
      </w:pPr>
      <w:r>
        <w:t>1.1 Processing Objectives</w:t>
      </w:r>
    </w:p>
    <w:p>
      <w:r>
        <w:t>The parser should preserve text, hierarchy, page provenance, and reading order while distinguishing body content from repeated page furniture.</w:t>
      </w:r>
    </w:p>
    <w:p>
      <w:pPr>
        <w:pStyle w:val="Heading4"/>
      </w:pPr>
      <w:r>
        <w:t>1.1.1 Element Classification</w:t>
      </w:r>
    </w:p>
    <w:p>
      <w:r>
        <w:t>Classify paragraphs, headings, list items, tables, images, captions, links, and footnotes as distinct logical elements where supported.</w:t>
      </w:r>
    </w:p>
    <w:p>
      <w:pPr>
        <w:pStyle w:val="Heading5"/>
      </w:pPr>
      <w:r>
        <w:t>1.1.1.1 Provenance and Coordinates</w:t>
      </w:r>
    </w:p>
    <w:p>
      <w:r>
        <w:t>Each detected element should retain its page number and, when available, a bounding box. This is a test requirement, not a guarantee of parser behavior.</w:t>
      </w:r>
    </w:p>
    <w:p>
      <w:pPr>
        <w:pStyle w:val="Heading4"/>
      </w:pPr>
      <w:r>
        <w:t>Key objectives</w:t>
      </w:r>
    </w:p>
    <w:p>
      <w:pPr>
        <w:pStyle w:val="ListBullet"/>
      </w:pPr>
      <w:r>
        <w:t>Preserve section hierarchy and heading text.</w:t>
      </w:r>
    </w:p>
    <w:p>
      <w:pPr>
        <w:pStyle w:val="ListBullet"/>
      </w:pPr>
      <w:r>
        <w:t>Detect headers and footers without duplicating them in body text.</w:t>
      </w:r>
    </w:p>
    <w:p>
      <w:pPr>
        <w:pStyle w:val="ListBullet"/>
      </w:pPr>
      <w:r>
        <w:t>Recover table cells and identify figures or chart regions.</w:t>
      </w:r>
    </w:p>
    <w:p>
      <w:pPr>
        <w:pStyle w:val="Heading3"/>
      </w:pPr>
      <w:r>
        <w:t>1.2 Example Footnote References</w:t>
      </w:r>
    </w:p>
    <w:p>
      <w:r>
        <w:t>The reported metric is illustrative and should not be interpreted as a real performance result. 1</w:t>
      </w:r>
    </w:p>
    <w:p>
      <w:pPr>
        <w:pStyle w:val="Heading3"/>
      </w:pPr>
      <w:r>
        <w:t>1.3 Validation Callout</w:t>
      </w:r>
    </w:p>
    <w:p>
      <w:r>
        <w:t>Callout: Compare extracted output with the source page. Successful conversion alone does not establish content completeness.</w:t>
      </w:r>
    </w:p>
    <w:p>
      <w:pPr>
        <w:pStyle w:val="Heading2"/>
      </w:pPr>
      <w:r>
        <w:t>2. Sample Data Table and Chart</w:t>
      </w:r>
    </w:p>
    <w:p>
      <w:r>
        <w:t>Table 1. Illustrative quarterly metric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Quarter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Records processed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Review rate</w:t>
            </w:r>
          </w:p>
        </w:tc>
      </w:tr>
      <w:tr>
        <w:tc>
          <w:tcPr>
            <w:tcW w:type="dxa" w:w="3249"/>
          </w:tcPr>
          <w:p>
            <w:r>
              <w:t>Q1</w:t>
            </w:r>
          </w:p>
        </w:tc>
        <w:tc>
          <w:tcPr>
            <w:tcW w:type="dxa" w:w="3249"/>
          </w:tcPr>
          <w:p>
            <w:r>
              <w:t>1,240</w:t>
            </w:r>
          </w:p>
        </w:tc>
        <w:tc>
          <w:tcPr>
            <w:tcW w:type="dxa" w:w="3249"/>
          </w:tcPr>
          <w:p>
            <w:r>
              <w:t>4.8%</w:t>
            </w:r>
          </w:p>
        </w:tc>
      </w:tr>
      <w:tr>
        <w:tc>
          <w:tcPr>
            <w:tcW w:type="dxa" w:w="3249"/>
          </w:tcPr>
          <w:p>
            <w:r>
              <w:t>Q2</w:t>
            </w:r>
          </w:p>
        </w:tc>
        <w:tc>
          <w:tcPr>
            <w:tcW w:type="dxa" w:w="3249"/>
          </w:tcPr>
          <w:p>
            <w:r>
              <w:t>1,510</w:t>
            </w:r>
          </w:p>
        </w:tc>
        <w:tc>
          <w:tcPr>
            <w:tcW w:type="dxa" w:w="3249"/>
          </w:tcPr>
          <w:p>
            <w:r>
              <w:t>3.9%</w:t>
            </w:r>
          </w:p>
        </w:tc>
      </w:tr>
      <w:tr>
        <w:tc>
          <w:tcPr>
            <w:tcW w:type="dxa" w:w="3249"/>
          </w:tcPr>
          <w:p>
            <w:r>
              <w:t>Q3</w:t>
            </w:r>
          </w:p>
        </w:tc>
        <w:tc>
          <w:tcPr>
            <w:tcW w:type="dxa" w:w="3249"/>
          </w:tcPr>
          <w:p>
            <w:r>
              <w:t>1,735</w:t>
            </w:r>
          </w:p>
        </w:tc>
        <w:tc>
          <w:tcPr>
            <w:tcW w:type="dxa" w:w="3249"/>
          </w:tcPr>
          <w:p>
            <w:r>
              <w:t>3.4%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4142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1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Vector bars representing illustrative records processed.</w:t>
      </w:r>
    </w:p>
    <w:p>
      <w:pPr>
        <w:pStyle w:val="ListBullet"/>
      </w:pPr>
      <w:r>
        <w:t>These values are synthetic and exist only to test footnote extraction.</w:t>
      </w:r>
    </w:p>
    <w:p>
      <w:pPr>
        <w:pStyle w:val="Heading1"/>
      </w:pPr>
      <w:r>
        <w:t>PDF Layout &amp; Metadata Test Fixture</w:t>
      </w:r>
    </w:p>
    <w:p>
      <w:r>
        <w:t>Synthetic two-page document for testing section hierarchy, furniture, tables, figures, links, and footnotes.</w:t>
      </w:r>
    </w:p>
    <w:p>
      <w:pPr>
        <w:pStyle w:val="Heading2"/>
      </w:pPr>
      <w:r>
        <w:t>3. Two-Column Layout Test</w:t>
      </w:r>
    </w:p>
    <w:p>
      <w:r>
        <w:t>This page contains two aligned content blocks, followed by hyperlink and appendix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3.1 Left Column</w:t>
            </w:r>
          </w:p>
        </w:tc>
        <w:tc>
          <w:tcPr>
            <w:tcW w:type="dxa" w:w="4873"/>
          </w:tcPr>
          <w:p>
            <w:r>
              <w:t>3.2 Right Column</w:t>
            </w:r>
          </w:p>
        </w:tc>
      </w:tr>
      <w:tr>
        <w:tc>
          <w:tcPr>
            <w:tcW w:type="dxa" w:w="4873"/>
          </w:tcPr>
          <w:p>
            <w:r>
              <w:t>The left column contains prose and a short list. Reading order should remain consistent with the intended layout.</w:t>
            </w:r>
          </w:p>
        </w:tc>
        <w:tc>
          <w:tcPr>
            <w:tcW w:type="dxa" w:w="4873"/>
          </w:tcPr>
          <w:p>
            <w:r>
              <w:t>The right column contains a note that should not be merged into the left paragraph mid-sentence.</w:t>
            </w:r>
          </w:p>
        </w:tc>
      </w:tr>
      <w:tr>
        <w:tc>
          <w:tcPr>
            <w:tcW w:type="dxa" w:w="4873"/>
          </w:tcPr>
          <w:p>
            <w:r>
              <w:t>Left-column list</w:t>
            </w:r>
          </w:p>
        </w:tc>
        <w:tc>
          <w:tcPr>
            <w:tcW w:type="dxa" w:w="4873"/>
          </w:tcPr>
          <w:p>
            <w:r>
              <w:t>Right-column note</w:t>
            </w:r>
          </w:p>
        </w:tc>
      </w:tr>
      <w:tr>
        <w:tc>
          <w:tcPr>
            <w:tcW w:type="dxa" w:w="4873"/>
          </w:tcPr>
          <w:p>
            <w:r>
              <w:t>1. Detect the column boundary 2. Preserve paragraph grouping 3. Avoid interleaving adjacent lines</w:t>
            </w:r>
          </w:p>
        </w:tc>
        <w:tc>
          <w:tcPr>
            <w:tcW w:type="dxa" w:w="4873"/>
          </w:tcPr>
          <w:p>
            <w:r>
              <w:t>Note: this block is positioned beside the left column to test reading-order reconstruction.</w:t>
            </w:r>
          </w:p>
        </w:tc>
      </w:tr>
    </w:tbl>
    <w:p>
      <w:pPr>
        <w:pStyle w:val="Heading3"/>
      </w:pPr>
      <w:r>
        <w:t>3.3 Hyperlink and Reference Test</w:t>
      </w:r>
    </w:p>
    <w:p>
      <w:r>
        <w:t>Open the Reserve Bank of India website or visit https://example.org/docling-fixture for a visible URL test.</w:t>
      </w:r>
    </w:p>
    <w:p>
      <w:pPr>
        <w:pStyle w:val="Heading1"/>
      </w:pPr>
      <w:r>
        <w:t>Appendix A - Expected Metadata Fields</w:t>
      </w:r>
    </w:p>
    <w:p>
      <w:pPr>
        <w:pStyle w:val="Heading6"/>
      </w:pPr>
      <w:r>
        <w:t>A.1 Acceptance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Field</w:t>
            </w:r>
          </w:p>
        </w:tc>
        <w:tc>
          <w:tcPr>
            <w:tcW w:type="dxa" w:w="3249"/>
          </w:tcPr>
          <w:p>
            <w:r>
              <w:t>Expected evidence</w:t>
            </w:r>
          </w:p>
        </w:tc>
        <w:tc>
          <w:tcPr>
            <w:tcW w:type="dxa" w:w="3249"/>
          </w:tcPr>
          <w:p>
            <w:r>
              <w:t>Status</w:t>
            </w:r>
          </w:p>
        </w:tc>
      </w:tr>
      <w:tr>
        <w:tc>
          <w:tcPr>
            <w:tcW w:type="dxa" w:w="3249"/>
          </w:tcPr>
          <w:p>
            <w:r>
              <w:t>heading</w:t>
            </w:r>
          </w:p>
        </w:tc>
        <w:tc>
          <w:tcPr>
            <w:tcW w:type="dxa" w:w="3249"/>
          </w:tcPr>
          <w:p>
            <w:r>
              <w:t>Four-level heading hierarchy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  <w:tr>
        <w:tc>
          <w:tcPr>
            <w:tcW w:type="dxa" w:w="3249"/>
          </w:tcPr>
          <w:p>
            <w:r>
              <w:t>header/footer</w:t>
            </w:r>
          </w:p>
        </w:tc>
        <w:tc>
          <w:tcPr>
            <w:tcW w:type="dxa" w:w="3249"/>
          </w:tcPr>
          <w:p>
            <w:r>
              <w:t>Repeated running text and page number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  <w:tr>
        <w:tc>
          <w:tcPr>
            <w:tcW w:type="dxa" w:w="3249"/>
          </w:tcPr>
          <w:p>
            <w:r>
              <w:t>table</w:t>
            </w:r>
          </w:p>
        </w:tc>
        <w:tc>
          <w:tcPr>
            <w:tcW w:type="dxa" w:w="3249"/>
          </w:tcPr>
          <w:p>
            <w:r>
              <w:t>Rows, columns, and header cells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  <w:tr>
        <w:tc>
          <w:tcPr>
            <w:tcW w:type="dxa" w:w="3249"/>
          </w:tcPr>
          <w:p>
            <w:r>
              <w:t>image</w:t>
            </w:r>
          </w:p>
        </w:tc>
        <w:tc>
          <w:tcPr>
            <w:tcW w:type="dxa" w:w="3249"/>
          </w:tcPr>
          <w:p>
            <w:r>
              <w:t>Vector chart region and caption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  <w:tr>
        <w:tc>
          <w:tcPr>
            <w:tcW w:type="dxa" w:w="3249"/>
          </w:tcPr>
          <w:p>
            <w:r>
              <w:t>footnote</w:t>
            </w:r>
          </w:p>
        </w:tc>
        <w:tc>
          <w:tcPr>
            <w:tcW w:type="dxa" w:w="3249"/>
          </w:tcPr>
          <w:p>
            <w:r>
              <w:t>Superscript reference and note text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  <w:tr>
        <w:tc>
          <w:tcPr>
            <w:tcW w:type="dxa" w:w="3249"/>
          </w:tcPr>
          <w:p>
            <w:r>
              <w:t>hyperlink</w:t>
            </w:r>
          </w:p>
        </w:tc>
        <w:tc>
          <w:tcPr>
            <w:tcW w:type="dxa" w:w="3249"/>
          </w:tcPr>
          <w:p>
            <w:r>
              <w:t>Clickable link and visible URL</w:t>
            </w:r>
          </w:p>
        </w:tc>
        <w:tc>
          <w:tcPr>
            <w:tcW w:type="dxa" w:w="3249"/>
          </w:tcPr>
          <w:p>
            <w:r>
              <w:t>Test</w:t>
            </w:r>
          </w:p>
        </w:tc>
      </w:tr>
    </w:tbl>
    <w:p>
      <w:pPr>
        <w:pStyle w:val="Heading6"/>
      </w:pPr>
      <w:r>
        <w:t>A.1.1 Pass Criteria</w:t>
      </w:r>
    </w:p>
    <w:p>
      <w:r>
        <w:t>Verify hierarchy, page association, table structure, link targets, and separation of body content from page furniture.</w:t>
      </w:r>
    </w:p>
    <w:p>
      <w:pPr>
        <w:pStyle w:val="Heading6"/>
      </w:pPr>
      <w:r>
        <w:t>A.1.1.1 Failure Recording</w:t>
      </w:r>
    </w:p>
    <w:p>
      <w:r>
        <w:t>Record missing, duplicated, misclassified, reordered, or corrupted content with the affected page number and source-page evidence.</w:t>
      </w:r>
    </w:p>
    <w:p>
      <w:r>
        <w:t>End of fixture.</w:t>
      </w:r>
    </w:p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docling_layout_metadata_test_fixture_2pages</dc:title>
  <dc:subject>Docling section-preservation proof of concept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