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85711" cy="47325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5711" cy="473258"/>
                    </a:xfrm>
                    <a:prstGeom prst="rect"/>
                  </pic:spPr>
                </pic:pic>
              </a:graphicData>
            </a:graphic>
          </wp:inline>
        </w:drawing>
      </w:r>
    </w:p>
    <w:p>
      <w:r>
        <w:t>In exercise of the powers conferred by Section 27 and Section 35-A of the Banking Regulation Act, 1949, the Reserve Bank of India Act, 1934, and all other provisions / laws enabling the Reserve Bank of India ('RBI') in this regard, RBI being satisfied that it is necessary and expedient in the public interest so to do, hereby issues Directions hereinafter specified.</w:t>
      </w:r>
    </w:p>
    <w:p>
      <w:pPr>
        <w:pStyle w:val="Title"/>
      </w:pPr>
      <w:r>
        <w:t>Chapter I - Preliminary</w:t>
      </w:r>
    </w:p>
    <w:p>
      <w:pPr>
        <w:pStyle w:val="Heading2"/>
      </w:pPr>
      <w:r>
        <w:t>A. Short Title and Commencement</w:t>
      </w:r>
    </w:p>
    <w:p>
      <w:pPr>
        <w:pStyle w:val="ListBullet"/>
      </w:pPr>
      <w:r>
        <w:t>These Directions shall be called the Reserve Bank of India (Commercial Banks - Cybersecurity, Technology: Risk, Resilience and Assurance Framework) Directions, 2026.</w:t>
      </w:r>
    </w:p>
    <w:p>
      <w:pPr>
        <w:pStyle w:val="ListBullet"/>
      </w:pPr>
      <w:r>
        <w:t>These Directions shall come into effect immediately upon issuance.</w:t>
      </w:r>
    </w:p>
    <w:p>
      <w:pPr>
        <w:pStyle w:val="Heading2"/>
      </w:pPr>
      <w:r>
        <w:t>B. Applicability</w:t>
      </w:r>
    </w:p>
    <w:p>
      <w:pPr>
        <w:pStyle w:val="ListBullet"/>
      </w:pPr>
      <w:r>
        <w:t>These Directions shall be applicable to Commercial Banks (hereinafter collectively referred to as 'banks' and individually as a 'bank').</w:t>
      </w:r>
    </w:p>
    <w:p>
      <w:r>
        <w:t>For the purpose of these Directions, 'Commercial Banks' means banking companies (other than Small Finance Banks, Payments Banks, and Local Area Banks), corresponding new banks, and the State Bank of India, as defined respectively under clauses (c), (da), and (nc) of Section 5 of the Banking Regulation Act, 1949.</w:t>
      </w:r>
    </w:p>
    <w:p>
      <w:pPr>
        <w:pStyle w:val="ListBullet"/>
      </w:pPr>
      <w:r>
        <w:t>In the case of a foreign bank operating in India through branch mode, reference to the Board or Board of Directors in these Directions should be read as reference to the controlling office / head office which has the oversight over the branch operations in India. Further, such foreign bank shall be subject to a 'comply or explain' approach in terms of the applicability of Chapter II, Chapter III, Chapter IV, and Chapter VII and for the following select paragraphs in Chapter V of these Directions:</w:t>
      </w:r>
    </w:p>
    <w:p>
      <w:pPr>
        <w:pStyle w:val="ListBullet"/>
      </w:pPr>
      <w:r>
        <w:t>Inventory Management of Information Assets - Paragraph 49</w:t>
      </w:r>
    </w:p>
    <w:p>
      <w:r>
        <w:t>(1) Inventory Management of Information Assets – Paragraph 49</w:t>
      </w:r>
    </w:p>
    <w:p>
      <w:pPr>
        <w:pStyle w:val="ListBullet"/>
      </w:pPr>
      <w:r>
        <w:t>Data Migration Controls - Paragraph 55</w:t>
      </w:r>
    </w:p>
    <w:p>
      <w:r>
        <w:t>(2) Data Migration Controls – Paragraph 55</w:t>
      </w:r>
    </w:p>
    <w:p>
      <w:pPr>
        <w:sectPr>
          <w:headerReference w:type="default" r:id="rId9"/>
          <w:footerReference w:type="default" r:id="rId10"/>
          <w:pgSz w:w="11906" w:h="16838"/>
          <w:pgMar w:top="792" w:right="835" w:bottom="792" w:left="835" w:header="720" w:footer="720" w:gutter="0"/>
          <w:cols w:space="720"/>
          <w:docGrid w:linePitch="360"/>
        </w:sectPr>
      </w:pPr>
    </w:p>
    <w:p>
      <w:r>
        <w:drawing>
          <wp:inline xmlns:a="http://schemas.openxmlformats.org/drawingml/2006/main" xmlns:pic="http://schemas.openxmlformats.org/drawingml/2006/picture">
            <wp:extent cx="484757" cy="472328"/>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4757" cy="472328"/>
                    </a:xfrm>
                    <a:prstGeom prst="rect"/>
                  </pic:spPr>
                </pic:pic>
              </a:graphicData>
            </a:graphic>
          </wp:inline>
        </w:drawing>
      </w:r>
    </w:p>
    <w:p>
      <w:pPr>
        <w:pStyle w:val="ListBullet"/>
      </w:pPr>
      <w:r>
        <w:t>Physical and Environmental Controls - Paragraphs 62, 63</w:t>
      </w:r>
    </w:p>
    <w:p>
      <w:r>
        <w:t>(3) Physical and Environmental Controls – Paragraphs 62, 63</w:t>
      </w:r>
    </w:p>
    <w:p>
      <w:pPr>
        <w:pStyle w:val="ListBullet"/>
      </w:pPr>
      <w:r>
        <w:t>Capacity Management - Paragraphs 64 and 65</w:t>
      </w:r>
    </w:p>
    <w:p>
      <w:r>
        <w:t>(4) Capacity Management – Paragraphs 64 and 65</w:t>
      </w:r>
    </w:p>
    <w:p>
      <w:pPr>
        <w:pStyle w:val="ListBullet"/>
      </w:pPr>
      <w:r>
        <w:t>Application Security Life Cycle - Paragraphs 89, 90, 92</w:t>
      </w:r>
    </w:p>
    <w:p>
      <w:pPr>
        <w:pStyle w:val="ListBullet"/>
      </w:pPr>
      <w:r>
        <w:t>Maintenance, Monitoring, and Analysis of Audit Logs - Paragraphs 93 and 95</w:t>
      </w:r>
    </w:p>
    <w:p>
      <w:r>
        <w:t>(6) Maintenance, Monitoring, and Analysis of Audit Logs – Paragraphs 93 and</w:t>
      </w:r>
    </w:p>
    <w:p>
      <w:pPr>
        <w:pStyle w:val="ListBullet"/>
      </w:pPr>
      <w:r>
        <w:t>Patch, Vulnerability and Change Management - Paragraph 98</w:t>
      </w:r>
    </w:p>
    <w:p>
      <w:r>
        <w:t>(7) Patch, Vulnerability and Change Management – Paragraph 98</w:t>
      </w:r>
    </w:p>
    <w:p>
      <w:pPr>
        <w:pStyle w:val="ListBullet"/>
      </w:pPr>
      <w:r>
        <w:t>User Access Control / Management - Paragraphs 104, 105 and 110</w:t>
      </w:r>
    </w:p>
    <w:p>
      <w:pPr>
        <w:pStyle w:val="ListBullet"/>
      </w:pPr>
      <w:r>
        <w:t>Controls on Teleworking - Paragraph 114</w:t>
      </w:r>
    </w:p>
    <w:p>
      <w:r>
        <w:t>(9) Controls on Teleworking – Paragraph 114</w:t>
      </w:r>
    </w:p>
    <w:p>
      <w:pPr>
        <w:pStyle w:val="ListBullet"/>
      </w:pPr>
      <w:r>
        <w:t>Third-Party Arrangements - Paragraph 126</w:t>
      </w:r>
    </w:p>
    <w:p>
      <w:r>
        <w:t>(10) Third-Party Arrangements – Paragraph 126</w:t>
      </w:r>
    </w:p>
    <w:p>
      <w:pPr>
        <w:pStyle w:val="ListBullet"/>
      </w:pPr>
      <w:r>
        <w:t>Cryptographic Controls - Paragraph 140</w:t>
      </w:r>
    </w:p>
    <w:p>
      <w:r>
        <w:t>(11) Cryptographic Controls – Paragraph 140</w:t>
      </w:r>
    </w:p>
    <w:p>
      <w:pPr>
        <w:pStyle w:val="ListBullet"/>
      </w:pPr>
      <w:r>
        <w:t>Straight Through Processing - Paragraphs 141 and 142</w:t>
      </w:r>
    </w:p>
    <w:p>
      <w:r>
        <w:t>(12) Straight Through Processing - Paragraphs 141 and 142</w:t>
      </w:r>
    </w:p>
    <w:p>
      <w:pPr>
        <w:pStyle w:val="ListBullet"/>
      </w:pPr>
      <w:r>
        <w:t>Vulnerability Assessment (VA) and Penetration Test (PT) - Paragraphs 151 to 155</w:t>
      </w:r>
    </w:p>
    <w:p>
      <w:r>
        <w:t>(13) Vulnerability Assessment (VA) and Penetration Test (PT) - Paragraphs 151</w:t>
      </w:r>
    </w:p>
    <w:p>
      <w:pPr>
        <w:pStyle w:val="ListBullet"/>
      </w:pPr>
      <w:r>
        <w:t>Business Continuity (BCP) and Disaster Recovery (DR) - Paragraphs 163 to 174</w:t>
      </w:r>
    </w:p>
    <w:p>
      <w:r>
        <w:t>(14) Business Continuity (BCP) and Disaster Recovery (DR) – Paragraphs 163</w:t>
      </w:r>
    </w:p>
    <w:p>
      <w:pPr>
        <w:pStyle w:val="ListBullet"/>
      </w:pPr>
      <w:r>
        <w:t>Cyber Incident Response and Recovery Management - Paragraphs 175, 181, 183, 187, and 190</w:t>
      </w:r>
    </w:p>
    <w:p>
      <w:r>
        <w:t>(15) Cyber Incident Response and Recovery Management – Paragraphs 175,</w:t>
      </w:r>
    </w:p>
    <w:p>
      <w:pPr>
        <w:pStyle w:val="ListBullet"/>
      </w:pPr>
      <w:r>
        <w:t>Metrics - Paragraphs 195 and 196</w:t>
      </w:r>
    </w:p>
    <w:p>
      <w:r>
        <w:t>(16) Metrics – Paragraphs 195 and 196</w:t>
      </w:r>
    </w:p>
    <w:p>
      <w:r>
        <w:t>The 'comply or explain' approach shall allow such foreign bank to deviate from any specific part of the above referred Chapters and select paragraphs of Chapter V of these Directions subject to examination and acceptance by RBI of a reasonably justifiable explanation for the same, as part of the supervisory process.</w:t>
      </w:r>
    </w:p>
    <w:p>
      <w:pPr>
        <w:sectPr>
          <w:headerReference w:type="default" r:id="rId12"/>
          <w:footerReference w:type="default" r:id="rId13"/>
          <w:pgSz w:w="11906" w:h="16838"/>
          <w:pgMar w:top="792" w:right="835" w:bottom="792" w:left="835" w:header="720" w:footer="720" w:gutter="0"/>
          <w:cols w:space="720"/>
          <w:docGrid w:linePitch="360"/>
        </w:sectPr>
      </w:pPr>
    </w:p>
    <w:p>
      <w:r>
        <w:drawing>
          <wp:inline xmlns:a="http://schemas.openxmlformats.org/drawingml/2006/main" xmlns:pic="http://schemas.openxmlformats.org/drawingml/2006/picture">
            <wp:extent cx="485516" cy="47306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5516" cy="473068"/>
                    </a:xfrm>
                    <a:prstGeom prst="rect"/>
                  </pic:spPr>
                </pic:pic>
              </a:graphicData>
            </a:graphic>
          </wp:inline>
        </w:drawing>
      </w:r>
    </w:p>
    <w:p>
      <w:r>
        <w:t>RBI (CBs - Cybersecurity, Technology: Risk, Resilience RBI (CBs - Cybersecurity, Technology: Risk, Resilience and Assurance Framework) Directions, 2026</w:t>
      </w:r>
    </w:p>
    <w:p>
      <w:pPr>
        <w:pStyle w:val="Heading2"/>
      </w:pPr>
      <w:r>
        <w:t>C. Definitions</w:t>
      </w:r>
    </w:p>
    <w:p>
      <w:pPr>
        <w:pStyle w:val="ListBullet"/>
      </w:pPr>
      <w:r>
        <w:t>The following definitions are sourced from FSB Cyber Lexicon unless explicitly mentioned otherwise. In these Directions, unless the context states otherwise, the terms herein shall bear the meanings assigned to them below.</w:t>
      </w:r>
    </w:p>
    <w:p>
      <w:pPr>
        <w:pStyle w:val="ListBullet"/>
      </w:pPr>
      <w:r>
        <w:t>'Audit Trail' - A chronological record that reconstructs and examines the sequence of activities surrounding or leading to a specific operation, procedure, or event in a security-relevant transaction from inception to result.</w:t>
      </w:r>
    </w:p>
    <w:p>
      <w:r>
        <w:t>(1) ‘Audit Trail’ - A chronological record that reconstructs and examines the</w:t>
      </w:r>
    </w:p>
    <w:p>
      <w:r>
        <w:t>(Source: NIST SP 800-53r5 on Security and Privacy Controls for Information Systems and Organizations)</w:t>
      </w:r>
    </w:p>
    <w:p>
      <w:pPr>
        <w:pStyle w:val="ListBullet"/>
      </w:pPr>
      <w:r>
        <w:t>'Availability' - Property of being accessible and usable on demand by an authorised entity.</w:t>
      </w:r>
    </w:p>
    <w:p>
      <w:r>
        <w:t>(2) ‘Availability’ - Property of being accessible and usable on demand by an</w:t>
      </w:r>
    </w:p>
    <w:p>
      <w:pPr>
        <w:pStyle w:val="ListBullet"/>
      </w:pPr>
      <w:r>
        <w:t>'Confidentiality' - Property that information is neither made available nor disclosed to unauthorised individuals, entities, processes, or systems.</w:t>
      </w:r>
    </w:p>
    <w:p>
      <w:r>
        <w:t>(3) ‘Confidentiality’ - Property that information is neither made available nor</w:t>
      </w:r>
    </w:p>
    <w:p>
      <w:pPr>
        <w:pStyle w:val="ListBullet"/>
      </w:pPr>
      <w:r>
        <w:t>'Cyber' - Relating to, within, or through the medium of the interconnected information infrastructure of interactions among persons, processes, data, and information systems.</w:t>
      </w:r>
    </w:p>
    <w:p>
      <w:r>
        <w:t>(4) ‘Cyber’ - Relating to, within, or through the medium of the interconnected</w:t>
      </w:r>
    </w:p>
    <w:p>
      <w:pPr>
        <w:pStyle w:val="ListBullet"/>
      </w:pPr>
      <w:r>
        <w:t>'Cyber Event' - Any observable occurrence in an information system. Cyber events sometimes provide indication that a cyber incident is occurring.</w:t>
      </w:r>
    </w:p>
    <w:p>
      <w:r>
        <w:t>(5) ‘Cyber Event’ – Any observable occurrence in an information system. Cyber</w:t>
      </w:r>
    </w:p>
    <w:p>
      <w:pPr>
        <w:pStyle w:val="ListBullet"/>
      </w:pPr>
      <w:r>
        <w:t>'Cybersecurity' - Preservation of confidentiality, integrity, and availability of information and / or information systems through the cyber medium. In addition, other properties, such as authenticity, accountability, nonrepudiation, and reliability can also be involved.</w:t>
      </w:r>
    </w:p>
    <w:p>
      <w:r>
        <w:t>(6) ‘Cybersecurity’ - Preservation of confidentiality, integrity, and availability of</w:t>
      </w:r>
    </w:p>
    <w:p>
      <w:pPr>
        <w:pStyle w:val="ListBullet"/>
      </w:pPr>
      <w:r>
        <w:t>'Cyber Incident' - A cyber event that adversely affects the cybersecurity of an information asset whether resulting from malicious activity or not.</w:t>
      </w:r>
    </w:p>
    <w:p>
      <w:r>
        <w:t>(7) ‘Cyber Incident’ - A cyber event that adversely affects the cybersecurity of</w:t>
      </w:r>
    </w:p>
    <w:p>
      <w:r>
        <w:t>(Source: Cyber incident definition is adapted from FSB Cyber Lexicon. By the definition, it includes cybersecurity incidents as well as IT incidents)</w:t>
      </w:r>
    </w:p>
    <w:p>
      <w:pPr>
        <w:sectPr>
          <w:headerReference w:type="default" r:id="rId14"/>
          <w:footerReference w:type="default" r:id="rId15"/>
          <w:pgSz w:w="11906" w:h="16838"/>
          <w:pgMar w:top="792" w:right="835" w:bottom="792" w:left="835" w:header="720" w:footer="720" w:gutter="0"/>
          <w:cols w:space="720"/>
          <w:docGrid w:linePitch="360"/>
        </w:sectPr>
      </w:pPr>
    </w:p>
    <w:p>
      <w:r>
        <w:drawing>
          <wp:inline xmlns:a="http://schemas.openxmlformats.org/drawingml/2006/main" xmlns:pic="http://schemas.openxmlformats.org/drawingml/2006/picture">
            <wp:extent cx="486267" cy="47380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267" cy="473800"/>
                    </a:xfrm>
                    <a:prstGeom prst="rect"/>
                  </pic:spPr>
                </pic:pic>
              </a:graphicData>
            </a:graphic>
          </wp:inline>
        </w:drawing>
      </w:r>
    </w:p>
    <w:p>
      <w:r>
        <w:t>(8) 'Cyber Resilience' - The ability of an organisation to continue to carry out</w:t>
      </w:r>
    </w:p>
    <w:p>
      <w:r>
        <w:t>its mission by anticipating and adapting to cyber threats and other relevant</w:t>
      </w:r>
    </w:p>
    <w:p>
      <w:r>
        <w:t>changes in the environment and by withstanding, containing, and rapidly</w:t>
      </w:r>
    </w:p>
    <w:p>
      <w:r>
        <w:t>recovering from cyber incidents.</w:t>
      </w:r>
    </w:p>
    <w:p>
      <w:r>
        <w:t>(9) 'Cyber-attack' - Malicious attempt(s) to exploit vulnerabilities through the</w:t>
      </w:r>
    </w:p>
    <w:p>
      <w:r>
        <w:t>cyber medium to damage, disrupt, or gain unauthorised access to assets.</w:t>
      </w:r>
    </w:p>
    <w:p>
      <w:r>
        <w:t>(10) 'Cyber Threat' - A circumstance with the potential to exploit one or more</w:t>
      </w:r>
    </w:p>
    <w:p>
      <w:r>
        <w:t>vulnerabilities that adversely affects cybersecurity.</w:t>
      </w:r>
    </w:p>
    <w:p>
      <w:r>
        <w:t>(11) 'Data Dictionary' - A description of data in business terms, including</w:t>
      </w:r>
    </w:p>
    <w:p>
      <w:r>
        <w:t>information about the data. It includes elements like data types, structure</w:t>
      </w:r>
    </w:p>
    <w:p>
      <w:r>
        <w:t>details, and security restrictions.</w:t>
      </w:r>
    </w:p>
    <w:p>
      <w:r>
        <w:t>(Source: ISACA glossary)</w:t>
      </w:r>
    </w:p>
    <w:p>
      <w:pPr>
        <w:pStyle w:val="ListBullet"/>
      </w:pPr>
      <w:r>
        <w:t>'De-militarized Zone' or 'DMZ' - A perimeter network segment that is logically between internal and external networks.</w:t>
      </w:r>
    </w:p>
    <w:p>
      <w:r>
        <w:t>(12) ‘De-militarized Zone’ or ‘DMZ’ - A perimeter network segment that is</w:t>
      </w:r>
    </w:p>
    <w:p>
      <w:r>
        <w:t>(Source: NIST SP 800-82 Rev. 2)</w:t>
      </w:r>
    </w:p>
    <w:p>
      <w:r>
        <w:t>(13) 'Distributed Denial of Service (DDoS)' - A denial of service that is carried</w:t>
      </w:r>
    </w:p>
    <w:p>
      <w:r>
        <w:t>out using numerous sources simultaneously.</w:t>
      </w:r>
    </w:p>
    <w:p>
      <w:r>
        <w:t>(14) 'Digital Forensics' - The process used to acquire, preserve, analyse, and</w:t>
      </w:r>
    </w:p>
    <w:p>
      <w:r>
        <w:t>report on evidence using scientific methods that are demonstrably reliable,</w:t>
      </w:r>
    </w:p>
    <w:p>
      <w:r>
        <w:t>accurate, and repeatable.</w:t>
      </w:r>
    </w:p>
    <w:p>
      <w:r>
        <w:t>(Source: adapted from NIST Cloud Computing Forensic Science Challenges)</w:t>
      </w:r>
    </w:p>
    <w:p>
      <w:r>
        <w:t>(15) 'Framework' - A structured set of strategies, policies, processes, methods,</w:t>
      </w:r>
    </w:p>
    <w:p>
      <w:r>
        <w:t>and best practices that guides organisational activities, enables</w:t>
      </w:r>
    </w:p>
    <w:p>
      <w:r>
        <w:t>governance and control, and supports the achievement of defined</w:t>
      </w:r>
    </w:p>
    <w:p>
      <w:r>
        <w:t>objectives.</w:t>
      </w:r>
    </w:p>
    <w:p>
      <w:r>
        <w:t>(Source: adapted from ISACA glossary and ISO 22340:2024)</w:t>
      </w:r>
    </w:p>
    <w:p>
      <w:pPr>
        <w:sectPr>
          <w:headerReference w:type="default" r:id="rId16"/>
          <w:footerReference w:type="default" r:id="rId17"/>
          <w:pgSz w:w="11906" w:h="16838"/>
          <w:pgMar w:top="792" w:right="835" w:bottom="792" w:left="835" w:header="720" w:footer="720" w:gutter="0"/>
          <w:cols w:space="720"/>
          <w:docGrid w:linePitch="360"/>
        </w:sectPr>
      </w:pPr>
    </w:p>
    <w:p>
      <w:r>
        <w:drawing>
          <wp:inline xmlns:a="http://schemas.openxmlformats.org/drawingml/2006/main" xmlns:pic="http://schemas.openxmlformats.org/drawingml/2006/picture">
            <wp:extent cx="486622" cy="474145"/>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622" cy="474145"/>
                    </a:xfrm>
                    <a:prstGeom prst="rect"/>
                  </pic:spPr>
                </pic:pic>
              </a:graphicData>
            </a:graphic>
          </wp:inline>
        </w:drawing>
      </w:r>
    </w:p>
    <w:p>
      <w:r>
        <w:t>(16) 'Honeypot' - A specially configured server, also known as a decoy server,</w:t>
      </w:r>
    </w:p>
    <w:p>
      <w:r>
        <w:t>designed to attract and monitor intruders in a manner so that their actions</w:t>
      </w:r>
    </w:p>
    <w:p>
      <w:r>
        <w:t>do not affect production systems.</w:t>
      </w:r>
    </w:p>
    <w:p>
      <w:r>
        <w:t>(Source: ISACA glossary)</w:t>
      </w:r>
    </w:p>
    <w:p>
      <w:r>
        <w:t>(17) 'Indicators of Compromise (IOCs)' - Identifying signs that a cyber incident</w:t>
      </w:r>
    </w:p>
    <w:p>
      <w:r>
        <w:t>may have occurred or may be currently occurring.</w:t>
      </w:r>
    </w:p>
    <w:p>
      <w:r>
        <w:t>(18) 'Information Asset' - Any piece of data, device, or other component of the</w:t>
      </w:r>
    </w:p>
    <w:p>
      <w:r>
        <w:t>environment that supports information-related activities. Information Assets</w:t>
      </w:r>
    </w:p>
    <w:p>
      <w:r>
        <w:t>include information system, data, hardware, and software.</w:t>
      </w:r>
    </w:p>
    <w:p>
      <w:r>
        <w:t>(Source: Information Asset definition is adapted from "Guidance on cyber</w:t>
      </w:r>
    </w:p>
    <w:p>
      <w:r>
        <w:t>resilience for financial market infrastructures" publication of Bank for</w:t>
      </w:r>
    </w:p>
    <w:p>
      <w:r>
        <w:t>International Settlements and International Organization of Securities</w:t>
      </w:r>
    </w:p>
    <w:p>
      <w:r>
        <w:t>Commissions of June 2016)</w:t>
      </w:r>
    </w:p>
    <w:p>
      <w:r>
        <w:t>(19) 'Information System' - Set of applications, services, information technology</w:t>
      </w:r>
    </w:p>
    <w:p>
      <w:r>
        <w:t>assets, or other information-handling components, which includes the</w:t>
      </w:r>
    </w:p>
    <w:p>
      <w:r>
        <w:t>operating environment and networks.</w:t>
      </w:r>
    </w:p>
    <w:p>
      <w:pPr>
        <w:pStyle w:val="ListBullet"/>
      </w:pPr>
      <w:r>
        <w:t>'Integrity' - Property of accuracy and completeness.</w:t>
      </w:r>
    </w:p>
    <w:p>
      <w:r>
        <w:t>(20) ‘Integrity’ - Property of accuracy and completeness.</w:t>
      </w:r>
    </w:p>
    <w:p>
      <w:r>
        <w:t>(21) 'IT Governance' - The responsibility of executives and the board of</w:t>
      </w:r>
    </w:p>
    <w:p>
      <w:r>
        <w:t>directors; consists of the leadership, organisational structures, and</w:t>
      </w:r>
    </w:p>
    <w:p>
      <w:r>
        <w:t>processes that ensure that the enterprise's IT sustains and extends the</w:t>
      </w:r>
    </w:p>
    <w:p>
      <w:r>
        <w:t>enterprise's strategies and objectives.</w:t>
      </w:r>
    </w:p>
    <w:p>
      <w:r>
        <w:t>(Source: ISACA glossary and COBIT)</w:t>
      </w:r>
    </w:p>
    <w:p>
      <w:pPr>
        <w:pStyle w:val="ListBullet"/>
      </w:pPr>
      <w:r>
        <w:t>'IT Risk' - The business risk associated with the use, ownership, operation, involvement, influence, and adoption of IT within an enterprise.</w:t>
      </w:r>
    </w:p>
    <w:p>
      <w:r>
        <w:t>(22) ‘IT Risk’ - The business risk associated with the use, ownership, operation,</w:t>
      </w:r>
    </w:p>
    <w:p>
      <w:r>
        <w:t>(Source: ISACA glossary)</w:t>
      </w:r>
    </w:p>
    <w:p>
      <w:pPr>
        <w:sectPr>
          <w:headerReference w:type="default" r:id="rId18"/>
          <w:footerReference w:type="default" r:id="rId19"/>
          <w:pgSz w:w="11906" w:h="16838"/>
          <w:pgMar w:top="792" w:right="835" w:bottom="792" w:left="835" w:header="720" w:footer="720" w:gutter="0"/>
          <w:cols w:space="720"/>
          <w:docGrid w:linePitch="360"/>
        </w:sectPr>
      </w:pPr>
    </w:p>
    <w:p>
      <w:r>
        <w:drawing>
          <wp:inline xmlns:a="http://schemas.openxmlformats.org/drawingml/2006/main" xmlns:pic="http://schemas.openxmlformats.org/drawingml/2006/picture">
            <wp:extent cx="485590" cy="473140"/>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5590" cy="473140"/>
                    </a:xfrm>
                    <a:prstGeom prst="rect"/>
                  </pic:spPr>
                </pic:pic>
              </a:graphicData>
            </a:graphic>
          </wp:inline>
        </w:drawing>
      </w:r>
    </w:p>
    <w:p>
      <w:r>
        <w:t>(23) 'Malware' - Software designed with malicious intent containing features or</w:t>
      </w:r>
    </w:p>
    <w:p>
      <w:r>
        <w:t>capabilities that can potentially cause harm directly or indirectly to entities</w:t>
      </w:r>
    </w:p>
    <w:p>
      <w:r>
        <w:t>or their information systems.</w:t>
      </w:r>
    </w:p>
    <w:p>
      <w:r>
        <w:t>(24) 'Penetration Testing' - A test methodology in which assessors typically</w:t>
      </w:r>
    </w:p>
    <w:p>
      <w:r>
        <w:t>working under specific constraints, attempt to circumvent or defeat the</w:t>
      </w:r>
    </w:p>
    <w:p>
      <w:r>
        <w:t>security features of an information system.</w:t>
      </w:r>
    </w:p>
    <w:p>
      <w:r>
        <w:t>(25) 'Phishing' - A digital form of social engineering that attempts to acquire</w:t>
      </w:r>
    </w:p>
    <w:p>
      <w:r>
        <w:t>private or confidential information by pretending to be a trustworthy entity</w:t>
      </w:r>
    </w:p>
    <w:p>
      <w:r>
        <w:t>in an electronic communication.</w:t>
      </w:r>
    </w:p>
    <w:p>
      <w:pPr>
        <w:pStyle w:val="ListBullet"/>
      </w:pPr>
      <w:r>
        <w:t>'Privileged User' - A user who, by virtue of function, and / or role, has been allocated powers within an information system, which are significantly greater than those available to the majority of users.</w:t>
      </w:r>
    </w:p>
    <w:p>
      <w:r>
        <w:t>(26) ‘Privileged User’ - A user who, by virtue of function, and / or role, has been</w:t>
      </w:r>
    </w:p>
    <w:p>
      <w:r>
        <w:t>(Source: adapted from ISO/IEC 24775-2:2021)</w:t>
      </w:r>
    </w:p>
    <w:p>
      <w:r>
        <w:t>(27) 'Recovery Point Objective' - The point in time to which data must be</w:t>
      </w:r>
    </w:p>
    <w:p>
      <w:r>
        <w:t>recovered after an outage.</w:t>
      </w:r>
    </w:p>
    <w:p>
      <w:r>
        <w:t>(Source: NIST glossary)</w:t>
      </w:r>
    </w:p>
    <w:p>
      <w:pPr>
        <w:pStyle w:val="ListBullet"/>
      </w:pPr>
      <w:r>
        <w:t>'Recovery Time Objective' - The overall length of time an information system's components can be in the recovery phase before negatively impacting the organisation's mission or mission / business processes.</w:t>
      </w:r>
    </w:p>
    <w:p>
      <w:r>
        <w:t>(28) ‘Recovery Time Objective’ - The overall length of time an information</w:t>
      </w:r>
    </w:p>
    <w:p>
      <w:r>
        <w:t>(Source: NIST glossary)</w:t>
      </w:r>
    </w:p>
    <w:p>
      <w:pPr>
        <w:pStyle w:val="ListBullet"/>
      </w:pPr>
      <w:r>
        <w:t>'Red Team' - A group of people authorised and organised to emulate a potential adversary's attack or exploitation capabilities against an enterprise's security posture. The Red Team's objective is to improve enterprise cybersecurity by demonstrating the impacts of successful attacks and by demonstrating what works for the defenders (i.e., the Blue Team) in an operational environment.</w:t>
      </w:r>
    </w:p>
    <w:p>
      <w:r>
        <w:t>(29) ‘Red Team’ - A group of people authorised and organised to emulate a</w:t>
      </w:r>
    </w:p>
    <w:p>
      <w:r>
        <w:t>(Source: NIST glossary)</w:t>
      </w:r>
    </w:p>
    <w:p>
      <w:pPr>
        <w:sectPr>
          <w:headerReference w:type="default" r:id="rId20"/>
          <w:footerReference w:type="default" r:id="rId21"/>
          <w:pgSz w:w="11906" w:h="16838"/>
          <w:pgMar w:top="792" w:right="835" w:bottom="792" w:left="835" w:header="720" w:footer="720" w:gutter="0"/>
          <w:cols w:space="720"/>
          <w:docGrid w:linePitch="360"/>
        </w:sectPr>
      </w:pPr>
    </w:p>
    <w:p>
      <w:r>
        <w:drawing>
          <wp:inline xmlns:a="http://schemas.openxmlformats.org/drawingml/2006/main" xmlns:pic="http://schemas.openxmlformats.org/drawingml/2006/picture">
            <wp:extent cx="487041" cy="474554"/>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7041" cy="474554"/>
                    </a:xfrm>
                    <a:prstGeom prst="rect"/>
                  </pic:spPr>
                </pic:pic>
              </a:graphicData>
            </a:graphic>
          </wp:inline>
        </w:drawing>
      </w:r>
    </w:p>
    <w:p>
      <w:pPr>
        <w:pStyle w:val="ListBullet"/>
      </w:pPr>
      <w:r>
        <w:t>'Red Teaming Exercise' - An exercise, reflecting real-world conditions, that is conducted as a simulated adversarial attempt by a red team to compromise organisational missions and / or business processes to provide a comprehensive assessment of the security capability of the information system and organisation.</w:t>
      </w:r>
    </w:p>
    <w:p>
      <w:r>
        <w:t>(30) ‘Red Teaming Exercise’ - An exercise, reflecting real-world conditions, that</w:t>
      </w:r>
    </w:p>
    <w:p>
      <w:r>
        <w:t>(Source: adapted from NIST glossary)</w:t>
      </w:r>
    </w:p>
    <w:p>
      <w:pPr>
        <w:pStyle w:val="ListBullet"/>
      </w:pPr>
      <w:r>
        <w:t>'Vulnerability' - A weakness, susceptibility, or flaw of an asset or control that can be exploited by one or more threats.</w:t>
      </w:r>
    </w:p>
    <w:p>
      <w:r>
        <w:t>(31) ‘Vulnerability’ - A weakness, susceptibility, or flaw of an asset or control that</w:t>
      </w:r>
    </w:p>
    <w:p>
      <w:pPr>
        <w:pStyle w:val="ListBullet"/>
      </w:pPr>
      <w:r>
        <w:t>'Vulnerability Assessment (VA)' - Systematic examination of an information system or product to determine the adequacy of security measures, identify security deficiencies, provide data from which to predict the effectiveness of proposed security measures and confirm the adequacy of such measures after implementation.</w:t>
      </w:r>
    </w:p>
    <w:p>
      <w:r>
        <w:t>(32) ‘Vulnerability Assessment (VA)’ - Systematic examination of an information</w:t>
      </w:r>
    </w:p>
    <w:p>
      <w:pPr>
        <w:pStyle w:val="ListBullet"/>
      </w:pPr>
      <w:r>
        <w:t>All other expressions unless defined herein shall have the same meaning as have been assigned to them under the Reserve Bank of India Act, 1934, the Banking Regulation Act, 1949, the Information Technology Act, 2000, the Companies Act, 2013 or any statutory modification or re-enactment thereto or other regulations issued by the RBI or the Glossary of Terms published by the RBI or as used in commercial parlance, as the case may be.</w:t>
      </w:r>
    </w:p>
    <w:sectPr w:rsidR="00FC693F" w:rsidRPr="0006063C" w:rsidSect="00034616">
      <w:headerReference w:type="default" r:id="rId22"/>
      <w:footerReference w:type="default" r:id="rId23"/>
      <w:pgSz w:w="11906" w:h="16838"/>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sz w:val="14"/>
      </w:rPr>
      <w:t>4</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sz w:val="14"/>
      </w:rPr>
      <w:t>5</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sz w:val="14"/>
      </w:rPr>
      <w:t>6</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sz w:val="14"/>
      </w:rPr>
      <w:t>7</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sz w:val="14"/>
      </w:rPr>
      <w:t>8</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sz w:val="14"/>
      </w:rPr>
      <w:t>9</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sz w:val="14"/>
      </w:rPr>
      <w:t>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rFonts w:ascii="Arial" w:hAnsi="Arial"/>
        <w:sz w:val="14"/>
      </w:rPr>
      <w:t>RBI (CBs – Cybersecurity, Technology: Risk, Resilience   |   and Assurance Framework) Directions,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rFonts w:ascii="Arial" w:hAnsi="Arial"/>
        <w:sz w:val="14"/>
      </w:rPr>
      <w:t>RBI (CBs – Cybersecurity, Technology: Risk, Resilience   |   and Assurance Framework) Directions, 2026</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rFonts w:ascii="Arial" w:hAnsi="Arial"/>
        <w:sz w:val="14"/>
      </w:rPr>
      <w:t>RBI (CBs – Cybersecurity, Technology: Risk, Resilience   |   and Assurance Framework) Directions, 2026</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rFonts w:ascii="Arial" w:hAnsi="Arial"/>
        <w:sz w:val="14"/>
      </w:rPr>
      <w:t>RBI (CBs – Cybersecurity, Technology: Risk, Resilience   |   and Assurance Framework) Directions, 2026</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rFonts w:ascii="Arial" w:hAnsi="Arial"/>
        <w:sz w:val="14"/>
      </w:rPr>
      <w:t>RBI (CBs – Cybersecurity, Technology: Risk, Resilience   |   and Assurance Framework) Directions, 2026</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rFonts w:ascii="Arial" w:hAnsi="Arial"/>
        <w:sz w:val="14"/>
      </w:rPr>
      <w:t>RBI (CBs – Cybersecurity, Technology: Risk, Resilience   |   and Assurance Framework) Directions, 2026</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rFonts w:ascii="Arial" w:hAnsi="Arial"/>
        <w:sz w:val="14"/>
      </w:rPr>
      <w:t>RBI (CBs – Cybersecurity, Technology: Risk, Resilience   |   and Assurance Framework) Directions,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100" w:after="40"/>
      <w:outlineLvl w:val="3"/>
    </w:pPr>
    <w:rPr>
      <w:rFonts w:asciiTheme="majorHAnsi" w:eastAsiaTheme="majorEastAsia" w:hAnsiTheme="majorHAnsi" w:cstheme="majorBidi" w:ascii="Arial" w:hAnsi="Arial"/>
      <w:b/>
      <w:bCs/>
      <w:i/>
      <w:iCs/>
      <w:color w:val="4F81BD" w:themeColor="accent1"/>
      <w:sz w:val="19"/>
    </w:rPr>
  </w:style>
  <w:style w:type="paragraph" w:styleId="Heading5">
    <w:name w:val="heading 5"/>
    <w:basedOn w:val="Normal"/>
    <w:next w:val="Normal"/>
    <w:link w:val="Heading5Char"/>
    <w:uiPriority w:val="9"/>
    <w:semiHidden/>
    <w:unhideWhenUsed/>
    <w:qFormat/>
    <w:rsid w:val="00FC693F"/>
    <w:pPr>
      <w:keepNext/>
      <w:keepLines/>
      <w:spacing w:before="100" w:after="40"/>
      <w:outlineLvl w:val="4"/>
    </w:pPr>
    <w:rPr>
      <w:rFonts w:asciiTheme="majorHAnsi" w:eastAsiaTheme="majorEastAsia" w:hAnsiTheme="majorHAnsi" w:cstheme="majorBidi" w:ascii="Arial" w:hAnsi="Arial"/>
      <w:color w:val="243F60" w:themeColor="accent1" w:themeShade="7F"/>
      <w:sz w:val="18"/>
    </w:rPr>
  </w:style>
  <w:style w:type="paragraph" w:styleId="Heading6">
    <w:name w:val="heading 6"/>
    <w:basedOn w:val="Normal"/>
    <w:next w:val="Normal"/>
    <w:link w:val="Heading6Char"/>
    <w:uiPriority w:val="9"/>
    <w:semiHidden/>
    <w:unhideWhenUsed/>
    <w:qFormat/>
    <w:rsid w:val="00FC693F"/>
    <w:pPr>
      <w:keepNext/>
      <w:keepLines/>
      <w:spacing w:before="100" w:after="40"/>
      <w:outlineLvl w:val="5"/>
    </w:pPr>
    <w:rPr>
      <w:rFonts w:asciiTheme="majorHAnsi" w:eastAsiaTheme="majorEastAsia" w:hAnsiTheme="majorHAnsi" w:cstheme="majorBidi" w:ascii="Arial" w:hAnsi="Arial"/>
      <w:i/>
      <w:iCs/>
      <w:color w:val="243F60" w:themeColor="accent1" w:themeShade="7F"/>
      <w:sz w:val="18"/>
    </w:rPr>
  </w:style>
  <w:style w:type="paragraph" w:styleId="Heading7">
    <w:name w:val="heading 7"/>
    <w:basedOn w:val="Normal"/>
    <w:next w:val="Normal"/>
    <w:link w:val="Heading7Char"/>
    <w:uiPriority w:val="9"/>
    <w:semiHidden/>
    <w:unhideWhenUsed/>
    <w:qFormat/>
    <w:rsid w:val="00FC693F"/>
    <w:pPr>
      <w:keepNext/>
      <w:keepLines/>
      <w:spacing w:before="100" w:after="40"/>
      <w:outlineLvl w:val="6"/>
    </w:pPr>
    <w:rPr>
      <w:rFonts w:asciiTheme="majorHAnsi" w:eastAsiaTheme="majorEastAsia" w:hAnsiTheme="majorHAnsi" w:cstheme="majorBidi" w:ascii="Arial" w:hAnsi="Arial"/>
      <w:i/>
      <w:iCs/>
      <w:color w:val="404040" w:themeColor="text1" w:themeTint="BF"/>
      <w:sz w:val="18"/>
    </w:rPr>
  </w:style>
  <w:style w:type="paragraph" w:styleId="Heading8">
    <w:name w:val="heading 8"/>
    <w:basedOn w:val="Normal"/>
    <w:next w:val="Normal"/>
    <w:link w:val="Heading8Char"/>
    <w:uiPriority w:val="9"/>
    <w:semiHidden/>
    <w:unhideWhenUsed/>
    <w:qFormat/>
    <w:rsid w:val="00FC693F"/>
    <w:pPr>
      <w:keepNext/>
      <w:keepLines/>
      <w:spacing w:before="100" w:after="40"/>
      <w:outlineLvl w:val="7"/>
    </w:pPr>
    <w:rPr>
      <w:rFonts w:asciiTheme="majorHAnsi" w:eastAsiaTheme="majorEastAsia" w:hAnsiTheme="majorHAnsi" w:cstheme="majorBidi" w:ascii="Arial" w:hAnsi="Arial"/>
      <w:color w:val="4F81BD" w:themeColor="accent1"/>
      <w:sz w:val="18"/>
      <w:szCs w:val="20"/>
    </w:rPr>
  </w:style>
  <w:style w:type="paragraph" w:styleId="Heading9">
    <w:name w:val="heading 9"/>
    <w:basedOn w:val="Normal"/>
    <w:next w:val="Normal"/>
    <w:link w:val="Heading9Char"/>
    <w:uiPriority w:val="9"/>
    <w:semiHidden/>
    <w:unhideWhenUsed/>
    <w:qFormat/>
    <w:rsid w:val="00FC693F"/>
    <w:pPr>
      <w:keepNext/>
      <w:keepLines/>
      <w:spacing w:before="100" w:after="40"/>
      <w:outlineLvl w:val="8"/>
    </w:pPr>
    <w:rPr>
      <w:rFonts w:asciiTheme="majorHAnsi" w:eastAsiaTheme="majorEastAsia" w:hAnsiTheme="majorHAnsi" w:cstheme="majorBidi" w:ascii="Arial" w:hAnsi="Arial"/>
      <w:i/>
      <w:iCs/>
      <w:color w:val="404040" w:themeColor="text1" w:themeTint="BF"/>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before="100"/>
      <w:contextualSpacing/>
    </w:pPr>
    <w:rPr>
      <w:rFonts w:asciiTheme="majorHAnsi" w:eastAsiaTheme="majorEastAsia" w:hAnsiTheme="majorHAnsi" w:cstheme="majorBidi" w:ascii="Arial" w:hAnsi="Arial"/>
      <w:color w:val="000000"/>
      <w:spacing w:val="5"/>
      <w:kern w:val="28"/>
      <w:sz w:val="3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dc:title>
  <dc:subject>Docling section-preservation proof of concept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