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40"/>
          <w:szCs w:val="40"/>
        </w:rPr>
        <w:t xml:space="preserve">Loan Approval Dataset</w:t>
      </w:r>
    </w:p>
    <w:p>
      <w:pPr>
        <w:spacing w:after="120"/>
        <w:jc w:val="center"/>
      </w:pPr>
      <w:r>
        <w:rPr>
          <w:b/>
          <w:bCs/>
          <w:sz w:val="40"/>
          <w:szCs w:val="40"/>
        </w:rPr>
        <w:t xml:space="preserve">Column Meaning Reference</w:t>
      </w:r>
    </w:p>
    <w:p>
      <w:pPr>
        <w:spacing w:after="240"/>
        <w:jc w:val="center"/>
      </w:pPr>
      <w:r>
        <w:rPr>
          <w:i/>
          <w:iCs/>
          <w:sz w:val="20"/>
          <w:szCs w:val="20"/>
        </w:rPr>
        <w:t xml:space="preserve">Raw Dataset → Final Dataset → How the Dataset Was Synthesized</w:t>
      </w:r>
    </w:p>
    <w:p>
      <w:pPr>
        <w:spacing w:after="120"/>
      </w:pPr>
      <w:r>
        <w:t xml:space="preserve">This document explains every column in the raw loan-application dataset and in the final model-ready dataset. It also explains how the synthetic dataset was generated, labelled, made messy and preprocessed. It is based on the generator script (generate_raw.py, random seed 42), the preprocessing run and the preprocessing report (report.md). All counts are taken from the actual data files.</w:t>
      </w:r>
    </w:p>
    <w:p>
      <w:pPr>
        <w:pStyle w:val="Heading1"/>
      </w:pPr>
      <w:r>
        <w:t xml:space="preserve">1. Raw Dataset Columns</w:t>
      </w:r>
    </w:p>
    <w:p>
      <w:pPr>
        <w:spacing w:after="120"/>
      </w:pPr>
      <w:r>
        <w:t xml:space="preserve">The raw file (loan_applications_raw.csv) contains </w:t>
      </w:r>
      <w:r>
        <w:rPr>
          <w:b/>
          <w:bCs/>
        </w:rPr>
        <w:t xml:space="preserve">10,000 rows and 17 columns</w:t>
      </w:r>
      <w:r>
        <w:t xml:space="preserve">: Loan_ID + 15 input features + Loan_Status. The values below are the correct (canonical) values. The raw file also contains spelling variants and data-entry errors on purpose; these are listed in Section 5.</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350"/>
        <w:gridCol w:w="3350"/>
        <w:gridCol w:w="3674"/>
      </w:tblGrid>
      <w:tr>
        <w:trPr>
          <w:tblHeader/>
        </w:trPr>
        <w:tc>
          <w:tcPr>
            <w:tcW w:type="dxa" w:w="18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Column</w:t>
            </w:r>
          </w:p>
        </w:tc>
        <w:tc>
          <w:tcPr>
            <w:tcW w:type="dxa" w:w="13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Type</w:t>
            </w:r>
          </w:p>
        </w:tc>
        <w:tc>
          <w:tcPr>
            <w:tcW w:type="dxa" w:w="33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Meaning / Values</w:t>
            </w:r>
          </w:p>
        </w:tc>
        <w:tc>
          <w:tcPr>
            <w:tcW w:type="dxa" w:w="367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Purpose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Loan_ID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ID</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Application reference number, e.g. LN2025103031.</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Tracks the application and links raw, cleaned and predicted records (audit trail). Not a model feature.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Applicant age in years (20–70).</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Used for the minimum-age rule (R1) and the age-at-maturity rule (R2).</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Gender</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Male / Female / Transgender.</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KYC information. Protected attribute: kept only for the fairness audit, never a model input.</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Marital_Status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Married / Single / Divorced / Widowed.</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Application information. Married applicants are more likely to have a co-applicant and more dependents. Protected attribute: audit only.</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Dependents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Categorical-ordinal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 1, 2, 3+ (“3+” means three or more).</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Number of financially dependent people; household burden.</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Employment_Type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Salaried / Self-Employed Professional (SEP) / Self-Employed Non-Professional (SENP).</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Sets the age-at-maturity limit (60 vs 65) and the minimum experience (1 vs 3 years). Also affects income level and which loan types are taken.</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Work_Experience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Years.</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Salaried: total work experience. SEP/SENP: years in business (business vintage).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Monthly_Income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net per month, applicant only.</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Applicant’s repayment capacity.</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Coapplicant_Income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net per month. </w:t>
            </w:r>
            <w:r>
              <w:rPr>
                <w:sz w:val="19"/>
                <w:szCs w:val="19"/>
              </w:rPr>
              <w:t xml:space="preserve">Blank = no earning co-applicant</w:t>
            </w:r>
            <w:r>
              <w:rPr>
                <w:sz w:val="19"/>
                <w:szCs w:val="19"/>
              </w:rPr>
              <w:t xml:space="preserve"> (67.9% of rows).</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Added to the applicant’s income to form total income.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Existing_EMI</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per month. </w:t>
            </w:r>
            <w:r>
              <w:rPr>
                <w:sz w:val="19"/>
                <w:szCs w:val="19"/>
              </w:rPr>
              <w:t xml:space="preserve">Combined existing EMIs of the applicant and co-applicant.</w:t>
            </w:r>
            <w:r>
              <w:rPr>
                <w:sz w:val="19"/>
                <w:szCs w:val="19"/>
              </w:rPr>
              <w:t xml:space="preserve"> 0 = no existing loans (about 62% of applicants).</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Existing obligations; part of the FOIR numerator, together with the proposed new EMI.</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CIBIL_Score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300–900; −1 = no credit history (new to credit, about 6% of applicants).</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Credit-bureau score; used in rule R3 and in the credit score.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Loan_Type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Home Loan / Vehicle Loan / Personal Loan / Business Loan.</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Decides the interest rate used for the EMI, whether there is collateral, and whether the RBI LTV rule (R5) applies.</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requested.</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Basis for the proposed EMI, LTV, collateral coverage and loan-to-income.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Loan_Tenure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Months.</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Affects the proposed EMI and the age at maturity.</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Collateral_Value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Numeric</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Home loans: property value. Vehicle loans: vehicle value. Business loans: property value for about half, blank for the rest. Personal loans: always blank (unsecured).</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Used for LTV (rule R5) and collateral coverage.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Property_Area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Categorical</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Urban / Semi-Urban / Rural.</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Location of the applicant or property. Affects income level and, slightly, the credit score.</w:t>
            </w:r>
          </w:p>
        </w:tc>
      </w:tr>
      <w:tr>
        <w:trPr>
          <w:cantSplit/>
        </w:trPr>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Loan_Status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Target</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Approved / Rejected (18 rows blank).</w:t>
            </w:r>
          </w:p>
        </w:tc>
        <w:tc>
          <w:tcPr>
            <w:tcW w:type="dxa" w:w="36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Historical credit decision; the prediction target.</w:t>
            </w:r>
          </w:p>
        </w:tc>
      </w:tr>
    </w:tbl>
    <w:p>
      <w:pPr>
        <w:pStyle w:val="Heading1"/>
      </w:pPr>
      <w:r>
        <w:t xml:space="preserve">2. Final Dataset Columns</w:t>
      </w:r>
    </w:p>
    <w:p>
      <w:pPr>
        <w:spacing w:after="120"/>
      </w:pPr>
      <w:r>
        <w:t xml:space="preserve">The final file (loan_applications_final.csv) contains </w:t>
      </w:r>
      <w:r>
        <w:rPr>
          <w:b/>
          <w:bCs/>
        </w:rPr>
        <w:t xml:space="preserve">9,847 rows and 16 columns</w:t>
      </w:r>
      <w:r>
        <w:t xml:space="preserve">: loan_id + 14 model features + loan_status. Continuous features are capped where noted, log-transformed where skewed, then standardised (mean 0, standard deviation 1). Binary flags stay 0/1. Gender, Marital_Status, Age, Dependents and Property_Area are not model features; Section 6 explains why.</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050"/>
        <w:gridCol w:w="1700"/>
        <w:gridCol w:w="3300"/>
        <w:gridCol w:w="3174"/>
      </w:tblGrid>
      <w:tr>
        <w:trPr>
          <w:tblHeader/>
        </w:trPr>
        <w:tc>
          <w:tcPr>
            <w:tcW w:type="dxa" w:w="20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Final Column</w:t>
            </w:r>
          </w:p>
        </w:tc>
        <w:tc>
          <w:tcPr>
            <w:tcW w:type="dxa" w:w="17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Type</w:t>
            </w:r>
          </w:p>
        </w:tc>
        <w:tc>
          <w:tcPr>
            <w:tcW w:type="dxa" w:w="3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Meaning</w:t>
            </w:r>
          </w:p>
        </w:tc>
        <w:tc>
          <w:tcPr>
            <w:tcW w:type="dxa" w:w="317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Purpose / Interpretation</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loan_id</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Identifier</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Original Loan_ID.</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Drop before model fit(). Used to join predictions back to raw records and protected attributes.</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work_experience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Cleaned years of work experience or business vintage.</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Experience / stability.</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total_income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(capped, log,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Monthly_Income + Coapplicant_Income, capped at the 1st–99th percentile (₹14,000 – ₹3,59,258).</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Combined monthly eligibility income.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cibil_score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Cleaned CIBIL score. New-to-credit (−1), missing and invalid scores are replaced by the scored-applicant median (739).</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Bureau history.</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is_new_to_credit</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if the original CIBIL_Score was −1; otherwise 0.</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Keeps the “no credit history” information after the median replacement.</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loan_tenure_months</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(log,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Cleaned tenure in months (home-loan tenures typed in years were multiplied by 12).</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Repayment duration.</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foir</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(capped, log,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(Existing_EMI + proposed EMI) / total income, capped at 1.5.</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Fixed Obligation to Income Ratio: monthly repayment burden.</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collateral_coverage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(capped,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Collateral_Value / Loan_Amount, capped at 5; 0 = unsecured.</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How many times the collateral covers the loan.</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loan_to_income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(capped, log,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 / (12 × total income), capped at 5.62 (99th percentile).</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 size in years of income.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age_at_maturity</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Continuous (scaled)</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 Loan_Tenure / 12.</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Applicant’s age at the last EMI.</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emp_senp</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for Self-Employed Non-Professional.</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employment type; Salaried is the reference (both flags 0).</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emp_sep</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for Self-Employed Professional.</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employment type; Salaried is the reference.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loan_type_business</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for Business loan.</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loan type; Personal is the reference (all three flags 0).</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loan_type_home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for Home loan.</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loan type; Personal is the reference.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loan_type_vehicle</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Binary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for Vehicle loan.</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loan type; Personal is the reference.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loan_status</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Target 0/1</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 Approved; 0 = Rejected.</w:t>
            </w:r>
          </w:p>
        </w:tc>
        <w:tc>
          <w:tcPr>
            <w:tcW w:type="dxa" w:w="31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Prediction target (58.5% approved).</w:t>
            </w:r>
          </w:p>
        </w:tc>
      </w:tr>
    </w:tbl>
    <w:p>
      <w:pPr>
        <w:pStyle w:val="Heading1"/>
      </w:pPr>
      <w:r>
        <w:t xml:space="preserve">3. Important Derived Features — Quick Reference</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050"/>
        <w:gridCol w:w="4300"/>
        <w:gridCol w:w="3874"/>
      </w:tblGrid>
      <w:tr>
        <w:trPr>
          <w:tblHeader/>
        </w:trPr>
        <w:tc>
          <w:tcPr>
            <w:tcW w:type="dxa" w:w="20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Feature</w:t>
            </w:r>
          </w:p>
        </w:tc>
        <w:tc>
          <w:tcPr>
            <w:tcW w:type="dxa" w:w="4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Formula / Construction</w:t>
            </w:r>
          </w:p>
        </w:tc>
        <w:tc>
          <w:tcPr>
            <w:tcW w:type="dxa" w:w="387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Meaning</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total_income</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Monthly_Income + Coapplicant_Income</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Combined monthly eligibility income.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proposed_emi</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P·r·(1+r)^n / ((1+r)^n − 1)</w:t>
            </w:r>
          </w:p>
          <w:p>
            <w:pPr>
              <w:spacing w:after="0"/>
            </w:pPr>
            <w:r>
              <w:rPr>
                <w:sz w:val="19"/>
                <w:szCs w:val="19"/>
              </w:rPr>
              <w:t xml:space="preserve">P = Loan_Amount, n = tenure in months, r = annual rate ÷ 12.</w:t>
            </w:r>
          </w:p>
          <w:p>
            <w:pPr>
              <w:spacing w:after="0"/>
            </w:pPr>
            <w:r>
              <w:rPr>
                <w:sz w:val="19"/>
                <w:szCs w:val="19"/>
              </w:rPr>
              <w:t xml:space="preserve">Rates: Home 8.5%, Vehicle 9.5%, Personal 11.5%, Business 13%.</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EMI of the requested loan. Used inside FOIR; not a column in the final file.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foir</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(Existing_EMI + proposed_emi) / total_income</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Main affordability ratio.</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ltv (rules only)</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 / Collateral_Value</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Used only in rule R5 for home loans; not a model feature.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collateral_coverage</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Collateral_Value / Loan_Amount (0 if unsecured)</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Inverse of LTV; also defined for unsecured loans.</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loan_to_income</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 / (12 × total_income)</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 size relative to annual income.</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age_at_maturity</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 Loan_Tenure / 12</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at the last EMI.</w:t>
            </w:r>
          </w:p>
        </w:tc>
      </w:tr>
      <w:tr>
        <w:trPr>
          <w:cantSplit/>
        </w:trPr>
        <w:tc>
          <w:tcPr>
            <w:tcW w:type="dxa" w:w="20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is_new_to_credit</w:t>
            </w:r>
          </w:p>
        </w:tc>
        <w:tc>
          <w:tcPr>
            <w:tcW w:type="dxa" w:w="4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CIBIL_Score == −1 (checked before the score is replaced)</w:t>
            </w:r>
          </w:p>
        </w:tc>
        <w:tc>
          <w:tcPr>
            <w:tcW w:type="dxa" w:w="38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Flags applicants with no credit history.</w:t>
            </w:r>
          </w:p>
        </w:tc>
      </w:tr>
    </w:tbl>
    <w:p>
      <w:pPr>
        <w:spacing w:after="60"/>
      </w:pPr>
    </w:p>
    <w:p>
      <w:pPr>
        <w:spacing w:after="120"/>
      </w:pPr>
      <w:r>
        <w:t xml:space="preserve">All ratios are calculated from the real cleaned values first, and capping is applied afterwards. Otherwise a very high earner whose income was capped would get a wrongly inflated FOIR.</w:t>
      </w:r>
    </w:p>
    <w:p>
      <w:pPr>
        <w:pStyle w:val="Heading1"/>
      </w:pPr>
      <w:r>
        <w:t xml:space="preserve">4. How the Dataset Was Synthesized</w:t>
      </w:r>
    </w:p>
    <w:p>
      <w:pPr>
        <w:spacing w:after="120"/>
      </w:pPr>
      <w:r>
        <w:t xml:space="preserve">The raw dataset was produced by one script, generate_raw.py. Its random seed is fixed (42), so it produces exactly the same file every time. It works in three steps, in this order:</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824"/>
        <w:gridCol w:w="3100"/>
      </w:tblGrid>
      <w:tr>
        <w:trPr>
          <w:tblHeader/>
        </w:trPr>
        <w:tc>
          <w:tcPr>
            <w:tcW w:type="dxa" w:w="2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Step</w:t>
            </w:r>
          </w:p>
        </w:tc>
        <w:tc>
          <w:tcPr>
            <w:tcW w:type="dxa" w:w="48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What happens</w:t>
            </w:r>
          </w:p>
        </w:tc>
        <w:tc>
          <w:tcPr>
            <w:tcW w:type="dxa" w:w="31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Result</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Generate applicants</w:t>
            </w:r>
          </w:p>
        </w:tc>
        <w:tc>
          <w:tcPr>
            <w:tcW w:type="dxa" w:w="48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Creates 9,865 clean, unique applications with realistic links between the columns.</w:t>
            </w:r>
          </w:p>
        </w:tc>
        <w:tc>
          <w:tcPr>
            <w:tcW w:type="dxa" w:w="3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Clean applicant data</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 Decide approve / reject</w:t>
            </w:r>
          </w:p>
        </w:tc>
        <w:tc>
          <w:tcPr>
            <w:tcW w:type="dxa" w:w="48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Checks the 7 policy rules, then calculates a credit score, then draws the decision at random from the resulting approval chance.</w:t>
            </w:r>
          </w:p>
        </w:tc>
        <w:tc>
          <w:tcPr>
            <w:tcW w:type="dxa" w:w="3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Loan_Status for every application</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3. Make the data messy</w:t>
            </w:r>
          </w:p>
        </w:tc>
        <w:tc>
          <w:tcPr>
            <w:tcW w:type="dxa" w:w="48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Adds the errors a real bank export contains. This happens after the decisions are fixed.</w:t>
            </w:r>
          </w:p>
        </w:tc>
        <w:tc>
          <w:tcPr>
            <w:tcW w:type="dxa" w:w="3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loan_applications_raw.csv (10,000 rows, including 135 duplicates)</w:t>
            </w:r>
          </w:p>
        </w:tc>
      </w:tr>
    </w:tbl>
    <w:p>
      <w:pPr>
        <w:pStyle w:val="Heading2"/>
      </w:pPr>
      <w:r>
        <w:t xml:space="preserve">4.1 Step 1 — How each column was generated</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924"/>
      </w:tblGrid>
      <w:tr>
        <w:trPr>
          <w:tblHeader/>
        </w:trPr>
        <w:tc>
          <w:tcPr>
            <w:tcW w:type="dxa" w:w="2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Column(s)</w:t>
            </w:r>
          </w:p>
        </w:tc>
        <w:tc>
          <w:tcPr>
            <w:tcW w:type="dxa" w:w="79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How it was generated</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Employment_Type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Salaried 60%, SENP 25%, SEP 15%.</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Gender, Property_Area</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Male 71.5%, Female 28%, Transgender 0.5%. Urban 50%, Semi-Urban 30%, Rural 20%.</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Normal distribution by segment: Salaried average 35 (range 20–62), SEP average 40 (24–70), SENP average 42 (21–70).</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Work_Experience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minus the age the person started working (Salaried 21–25, SEP 26–30, SENP 20–29), ±1 year.</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Marital_Status, Dependents</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The chance of being married rises with age and levels off at about 90%. About 5% of applicants over 40 are divorced or widowed. Married applicants have more dependents.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Monthly_Income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Log-normal. Base median: Salaried ₹42,000, SEP ₹85,000, SENP ₹55,000; × area (Urban 1.20, Semi-Urban 0.95, Rural 0.72); × gender (Female 0.85, Transgender 0.80); grows 3.5% per year of experience; minimum ₹8,000.</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Loan_Type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Depends on segment. Salaried: mostly Personal (43%) and Home (30%). SEP: Home and Business 30% each. SENP: mostly Business (45%).</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Coapplicant_Income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Chance of a co-applicant: Home 65%, Business 35%, Vehicle 25%, Personal 10% (10 points higher if married, 15 lower if not). 15% of co-applicants earn nothing. Earning co-applicants: median about ₹35,000 × area factor.</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Existing_EMI</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30–60% of applicants have existing loans (more with age). Their EMI is a random share of combined income, about 18% on average.</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CIBIL_Score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Average 745, spread 55; slightly higher with income and lower with existing EMI burden. 10% come from a weaker group (average 625). Kept within 300–900. About 6% are set to −1 (new to credit); this is more likely if under 25, rural or with no existing loans.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 multiple of income (typical values): Home 35× combined income; Vehicle 10×, Personal 7× and Business 8× (applicant income + half of co-applicant income). 25% of vehicle loans are two-wheelers (₹50,000 – ₹1.5 lakh). Limits: Home ₹5 L – ₹3 Cr; Vehicle and Personal ₹50,000 – ₹40 L; Business ₹1 L – ₹2 Cr.</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Loan_Tenure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Picked from standard options: Home 10–30 years, Vehicle 3–7 years (two-wheelers 1–3), Personal 1–5 years, Business 1–10 years. 92% of applicants pick a tenure that keeps them within the age-at-maturity limit.</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Collateral_Value</w:t>
            </w:r>
          </w:p>
        </w:tc>
        <w:tc>
          <w:tcPr>
            <w:tcW w:type="dxa" w:w="79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 ÷ LTV. Home: LTV around 67% (35–98%), so some applications exceed the RBI caps. Vehicle: LTV 70–100%. Business: half are secured, with LTV 35–75%. Personal: no collateral.</w:t>
            </w:r>
          </w:p>
        </w:tc>
      </w:tr>
    </w:tbl>
    <w:p>
      <w:pPr>
        <w:pStyle w:val="Heading2"/>
      </w:pPr>
      <w:r>
        <w:t xml:space="preserve">4.2 Step 2 — The seven policy rules</w:t>
      </w:r>
    </w:p>
    <w:p>
      <w:pPr>
        <w:spacing w:after="120"/>
      </w:pPr>
      <w:r>
        <w:t xml:space="preserve">For every application the script first calculates the proposed EMI, FOIR, LTV and age at maturity, then checks seven hard rules. </w:t>
      </w:r>
      <w:r>
        <w:rPr>
          <w:b/>
          <w:bCs/>
        </w:rPr>
        <w:t xml:space="preserve">Only R5 is an RBI regulation</w:t>
      </w:r>
      <w:r>
        <w:t xml:space="preserve">; the other six are typical Indian bank credit-policy limits chosen for this dataset.</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774"/>
        <w:gridCol w:w="2450"/>
      </w:tblGrid>
      <w:tr>
        <w:trPr>
          <w:tblHeader/>
        </w:trPr>
        <w:tc>
          <w:tcPr>
            <w:tcW w:type="dxa" w:w="7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Rule</w:t>
            </w:r>
          </w:p>
        </w:tc>
        <w:tc>
          <w:tcPr>
            <w:tcW w:type="dxa" w:w="2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What it checks</w:t>
            </w:r>
          </w:p>
        </w:tc>
        <w:tc>
          <w:tcPr>
            <w:tcW w:type="dxa" w:w="477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Constraint</w:t>
            </w:r>
          </w:p>
        </w:tc>
        <w:tc>
          <w:tcPr>
            <w:tcW w:type="dxa" w:w="245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Violations (cleaned data)</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Minimum age</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 21 at application.</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151 (1.5%)</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at maturity</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 + tenure ≤ 60 for Salaried; ≤ 65 for SEP/SENP.</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204 (2.1%)</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Minimum CIBIL score</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 ≥ 650 when scored. New-to-credit (−1) applicants do not fail this rule; they are scored lower in the credit score instead.</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940 (9.5%)</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FOIR limit</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FOIR ≤ 50% if total income &lt; ₹50,000; ≤ 55% if ₹50,000 to below ₹1,00,000; ≤ 65% if ₹1,00,000 or more. FOIR includes the proposed new EMI; income is applicant + co-applicant.</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1,488 (15.1%)</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Home-loan LTV cap (RBI)</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LTV ≤ 90% for loans up to ₹30 lakh; ≤ 80% for ₹30–75 lakh; ≤ 75% above ₹75 lakh. Home loans only.</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258 (2.6%)</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Minimum income</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Total monthly income (applicant + co-applicant) ≥ ₹15,000.</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133 (1.4%)</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Minimum experience</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 1 year for Salaried; ≥ 3 years in business for SEP/SENP.</w:t>
            </w: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808 (8.2%)</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Any</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At least one rule broken</w:t>
            </w:r>
          </w:p>
        </w:tc>
        <w:tc>
          <w:tcPr>
            <w:tcW w:type="dxa" w:w="477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p>
        </w:tc>
        <w:tc>
          <w:tcPr>
            <w:tcW w:type="dxa" w:w="24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3,243 (32.9%)</w:t>
            </w:r>
          </w:p>
        </w:tc>
      </w:tr>
    </w:tbl>
    <w:p>
      <w:pPr>
        <w:spacing w:after="120"/>
      </w:pPr>
      <w:r>
        <w:rPr>
          <w:i/>
          <w:iCs/>
          <w:sz w:val="18"/>
          <w:szCs w:val="18"/>
        </w:rPr>
        <w:t xml:space="preserve">Counts are on the cleaned dataset (9,847 rows). One application can break more than one rule.</w:t>
      </w:r>
    </w:p>
    <w:p>
      <w:pPr>
        <w:pStyle w:val="Heading2"/>
      </w:pPr>
      <w:r>
        <w:t xml:space="preserve">4.3 Step 2 (continued) — From rules to the final decision</w:t>
      </w:r>
    </w:p>
    <w:p>
      <w:pPr>
        <w:pStyle w:val="ListParagraph"/>
        <w:numPr>
          <w:ilvl w:val="0"/>
          <w:numId w:val="2"/>
        </w:numPr>
        <w:spacing w:after="60"/>
      </w:pPr>
      <w:r>
        <w:rPr>
          <w:b/>
          <w:bCs/>
        </w:rPr>
        <w:t xml:space="preserve">If any rule is broken</w:t>
      </w:r>
      <w:r>
        <w:t xml:space="preserve">, the approval chance is only 3%. These represent past exceptions (legacy deviations). In the generated data, 33.3% of applications broke at least one rule and 2.9% of those were approved. After cleaning, 133 approved applications still break a rule; the rule engine must override such cases.</w:t>
      </w:r>
    </w:p>
    <w:p>
      <w:pPr>
        <w:pStyle w:val="ListParagraph"/>
        <w:numPr>
          <w:ilvl w:val="0"/>
          <w:numId w:val="2"/>
        </w:numPr>
        <w:spacing w:after="60"/>
      </w:pPr>
      <w:r>
        <w:rPr>
          <w:b/>
          <w:bCs/>
        </w:rPr>
        <w:t xml:space="preserve">If every rule is passed</w:t>
      </w:r>
      <w:r>
        <w:t xml:space="preserve">, a credit score sets the approval chance: approval chance = 1 / (1 + e^(−score)). The weights are in the table below.</w:t>
      </w:r>
    </w:p>
    <w:p>
      <w:pPr>
        <w:pStyle w:val="ListParagraph"/>
        <w:numPr>
          <w:ilvl w:val="0"/>
          <w:numId w:val="2"/>
        </w:numPr>
        <w:spacing w:after="60"/>
      </w:pPr>
      <w:r>
        <w:rPr>
          <w:b/>
          <w:bCs/>
        </w:rPr>
        <w:t xml:space="preserve">The final decision is drawn at random</w:t>
      </w:r>
      <w:r>
        <w:t xml:space="preserve"> from that chance, which adds realistic noise, like the judgement of a human loan officer. 86.2% of rule-passing applications were approved; overall, 58.5% of applications were approved.</w:t>
      </w:r>
    </w:p>
    <w:p>
      <w:pPr>
        <w:spacing w:after="60"/>
      </w:pP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Credit-score factor</w:t>
            </w:r>
          </w:p>
        </w:tc>
        <w:tc>
          <w:tcPr>
            <w:tcW w:type="dxa" w:w="72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Effect on the score (log-odds)</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Starting value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+0.70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 score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+0.028 per point above 720 (new-to-credit treated as 700)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FOIR</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−7.0 × (FOIR − 0.35)</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Total income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+0.6 × ln(total income ÷ ₹50,000)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Collateral coverage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+0.9 × (coverage − 1), counted between 0 and 1.5</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Work experience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+0.06 per year, up to 15 years</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Employment type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SEP +0.30, SENP −0.35, Salaried 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 type</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Home +0.50, Vehicle +0.30, Personal −0.10, Business −0.50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Property area</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Urban +0.15, Semi-Urban 0, Rural −0.20</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New to credit</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−0.40, plus a further −0.90 for Personal and Business loans</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Dependents</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−0.12 per dependent</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Gender (injected bias)</w:t>
            </w:r>
          </w:p>
        </w:tc>
        <w:tc>
          <w:tcPr>
            <w:tcW w:type="dxa" w:w="72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Female −0.35, Transgender −0.50, Male 0</w:t>
            </w:r>
          </w:p>
        </w:tc>
      </w:tr>
    </w:tbl>
    <w:p>
      <w:pPr>
        <w:pStyle w:val="Heading2"/>
      </w:pPr>
      <w:r>
        <w:t xml:space="preserve">4.4 Deliberately injected gender bias</w:t>
      </w:r>
    </w:p>
    <w:p>
      <w:pPr>
        <w:spacing w:after="120"/>
      </w:pPr>
      <w:r>
        <w:t xml:space="preserve">Gender has a small negative weight in the credit score on purpose, so the fairness audit has a known signal to detect. Approval rates in the cleaned dataset: Male 59.5%, Female 55.7%, Transgender 55.2% (only 58 applicants, too few for reliable estimates). Part of the gap comes from the built-in income gap and part from this injected bias. Gender and Marital_Status are not model features; they are kept in the raw file and joined by Loan_ID for the audit.</w:t>
      </w:r>
    </w:p>
    <w:p>
      <w:pPr>
        <w:pStyle w:val="Heading1"/>
      </w:pPr>
      <w:r>
        <w:t xml:space="preserve">5. How the Raw Data Was Made Messy (Step 3)</w:t>
      </w:r>
    </w:p>
    <w:p>
      <w:pPr>
        <w:spacing w:after="120"/>
      </w:pPr>
      <w:r>
        <w:t xml:space="preserve">The errors were added </w:t>
      </w:r>
      <w:r>
        <w:rPr>
          <w:b/>
          <w:bCs/>
        </w:rPr>
        <w:t xml:space="preserve">after</w:t>
      </w:r>
      <w:r>
        <w:t xml:space="preserve"> the decisions were fixed, so they never change a label. A real bank works the same way: the decision is made on correct information, and errors creep in later during data entry or export.</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4100"/>
        <w:gridCol w:w="2700"/>
        <w:gridCol w:w="3424"/>
      </w:tblGrid>
      <w:tr>
        <w:trPr>
          <w:tblHeader/>
        </w:trPr>
        <w:tc>
          <w:tcPr>
            <w:tcW w:type="dxa" w:w="41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Issue</w:t>
            </w:r>
          </w:p>
        </w:tc>
        <w:tc>
          <w:tcPr>
            <w:tcW w:type="dxa" w:w="27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Column(s)</w:t>
            </w:r>
          </w:p>
        </w:tc>
        <w:tc>
          <w:tcPr>
            <w:tcW w:type="dxa" w:w="34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Count in raw file</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Exact duplicate rows (application submitted twice)</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All</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135</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Missing decision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Loan_Status</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18</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Random missing values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Gender 1.8%, Marital_Status 1.2%, Dependents 2.4%, Work_Experience 3.0%, Monthly_Income 1.0%, Existing_EMI 2.5%, CIBIL_Score 1.0%, Loan_Amount 1.5%, Loan_Tenure 1.8%, Property_Area 1.5%; Collateral_Value of secured loans 4%</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2,011 cells (1,770 + 241 collateral)</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Spelling variants, e.g. M / male / MALE; HL / Housing Loan / home loan; Service = Salaried; SENP / Business Owner</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Gender, Marital_Status, Employment_Type, Loan_Type, Property_Area</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About 8% of cells; 137 spellings for 17 categories</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Extra spaces before or after the text</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Same 5 columns</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About 2% (195–202 per column)</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Amounts stored as text in Indian format (“12,50,000”, “Rs. 27,90,000”)</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Loan_Amount</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584 (94 with “Rs.”)</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Impossible ages (−30, 0, 1, 5, 150, 200, 999)</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Age</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29</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Negative income (sign error) / zero income</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Monthly_Income</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22 / 8</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 outside 300–900 (0, 100, 999, 1000, 9999)</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CIBIL_Score</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33</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Experience that is negative or more than Age − 18</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Work_Experience</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45</w:t>
            </w:r>
          </w:p>
        </w:tc>
      </w:tr>
      <w:tr>
        <w:trPr>
          <w:cantSplit/>
        </w:trPr>
        <w:tc>
          <w:tcPr>
            <w:tcW w:type="dxa" w:w="4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Home-loan tenure typed in years instead of months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Loan_Tenure</w:t>
            </w:r>
          </w:p>
        </w:tc>
        <w:tc>
          <w:tcPr>
            <w:tcW w:type="dxa" w:w="34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95</w:t>
            </w:r>
          </w:p>
        </w:tc>
      </w:tr>
    </w:tbl>
    <w:p>
      <w:pPr>
        <w:spacing w:after="60"/>
      </w:pPr>
    </w:p>
    <w:p>
      <w:pPr>
        <w:spacing w:after="120"/>
      </w:pPr>
      <w:r>
        <w:t xml:space="preserve">Two kinds of blanks are </w:t>
      </w:r>
      <w:r>
        <w:rPr>
          <w:b/>
          <w:bCs/>
        </w:rPr>
        <w:t xml:space="preserve">not</w:t>
      </w:r>
      <w:r>
        <w:t xml:space="preserve"> errors: a blank Coapplicant_Income means there is no earning co-applicant (67.9% of rows), and a blank Collateral_Value means the loan is unsecured (42.5% of rows). The exception is 241 genuinely missing values on secured loans: the 209 on home and vehicle loans are filled during preprocessing, and the 32 on business loans cannot be told apart from unsecured loans, so they are treated as unsecured (the cautious choice).</w:t>
      </w:r>
    </w:p>
    <w:p>
      <w:pPr>
        <w:pStyle w:val="Heading1"/>
      </w:pPr>
      <w:r>
        <w:t xml:space="preserve">6. Preprocessing Summary (Raw → Final)</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524"/>
        <w:gridCol w:w="2400"/>
      </w:tblGrid>
      <w:tr>
        <w:trPr>
          <w:tblHeader/>
        </w:trPr>
        <w:tc>
          <w:tcPr>
            <w:tcW w:type="dxa" w:w="2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Step</w:t>
            </w:r>
          </w:p>
        </w:tc>
        <w:tc>
          <w:tcPr>
            <w:tcW w:type="dxa" w:w="55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What was done</w:t>
            </w:r>
          </w:p>
        </w:tc>
        <w:tc>
          <w:tcPr>
            <w:tcW w:type="dxa" w:w="24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Result</w:t>
            </w:r>
          </w:p>
        </w:tc>
      </w:tr>
      <w:tr>
        <w:trPr>
          <w:cantSplit/>
        </w:trPr>
        <w:tc>
          <w:tcPr>
            <w:tcW w:type="dxa" w:w="10224"/>
            <w:gridSpan w:val="3"/>
            <w:tcBorders>
              <w:top w:val="single" w:color="7F7F7F" w:sz="4"/>
              <w:left w:val="single" w:color="7F7F7F" w:sz="4"/>
              <w:bottom w:val="single" w:color="7F7F7F" w:sz="4"/>
              <w:right w:val="single" w:color="7F7F7F" w:sz="4"/>
            </w:tcBorders>
            <w:shd w:fill="EEF4FB" w:color="auto" w:val="clear"/>
            <w:tcMar>
              <w:top w:type="dxa" w:w="50"/>
              <w:left w:type="dxa" w:w="90"/>
              <w:bottom w:type="dxa" w:w="50"/>
              <w:right w:type="dxa" w:w="90"/>
            </w:tcMar>
          </w:tcPr>
          <w:p>
            <w:pPr>
              <w:spacing w:after="0"/>
            </w:pPr>
            <w:r>
              <w:rPr>
                <w:b/>
                <w:bCs/>
                <w:color w:val="365F91"/>
                <w:sz w:val="19"/>
                <w:szCs w:val="19"/>
              </w:rPr>
              <w:t xml:space="preserve">Phase 3 — Clean &amp; transform</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Spaces and duplicates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Trimmed extra spaces; removed exact duplicate rows.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−135 rows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Target</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Removed rows with no decision (the label is never guessed). Approved = 1, Rejected = 0.</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−18 rows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Category labels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Mapped every spelling to its correct label.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137 → 17 categories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Data types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Removed “Rs.” and commas from Loan_Amount; “3+” → 3.</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All numeric</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Invalid values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Negative incomes made positive; home-loan tenures ≤ 30 multiplied by 12; impossible ages, CIBIL scores, experience and zero incomes set to missing.</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117 recovered, 113 set to missing</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Missing values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Structural blanks → 0; Gender and Marital_Status → “Unknown”; others filled from similar applicants (group median or mode, e.g. income by employment type × area).</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0 missing values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Outliers</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Real extreme values (high earners, large home loans) kept in the raw columns; capping applied to the ratio features after they are built.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See Section 2</w:t>
            </w:r>
          </w:p>
        </w:tc>
      </w:tr>
      <w:tr>
        <w:trPr>
          <w:cantSplit/>
        </w:trPr>
        <w:tc>
          <w:tcPr>
            <w:tcW w:type="dxa" w:w="10224"/>
            <w:gridSpan w:val="3"/>
            <w:tcBorders>
              <w:top w:val="single" w:color="7F7F7F" w:sz="4"/>
              <w:left w:val="single" w:color="7F7F7F" w:sz="4"/>
              <w:bottom w:val="single" w:color="7F7F7F" w:sz="4"/>
              <w:right w:val="single" w:color="7F7F7F" w:sz="4"/>
            </w:tcBorders>
            <w:shd w:fill="EEF4FB" w:color="auto" w:val="clear"/>
            <w:tcMar>
              <w:top w:type="dxa" w:w="50"/>
              <w:left w:type="dxa" w:w="90"/>
              <w:bottom w:type="dxa" w:w="50"/>
              <w:right w:type="dxa" w:w="90"/>
            </w:tcMar>
          </w:tcPr>
          <w:p>
            <w:pPr>
              <w:spacing w:after="0"/>
            </w:pPr>
            <w:r>
              <w:rPr>
                <w:b/>
                <w:bCs/>
                <w:color w:val="365F91"/>
                <w:sz w:val="19"/>
                <w:szCs w:val="19"/>
              </w:rPr>
              <w:t xml:space="preserve">Phase 4 — Feature engineering</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Construction</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Built total income, proposed EMI, FOIR, collateral coverage, loan-to-income, age at maturity and the new-to-credit flag.</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27 candidate features</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Selection</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Removed protected attributes; ratios replace their parts; removed highly correlated features and features with negligible relevance.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14 features (accuracy 88.1% → 87.9%)</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Extraction</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PCA tested (needs 5 of 8 components for 90% of the variance) and not used, to keep decision paths explainable.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Not applied</w:t>
            </w:r>
          </w:p>
        </w:tc>
      </w:tr>
      <w:tr>
        <w:trPr>
          <w:cantSplit/>
        </w:trPr>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Encoding and scaling</w:t>
            </w:r>
          </w:p>
        </w:tc>
        <w:tc>
          <w:tcPr>
            <w:tcW w:type="dxa" w:w="55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One-hot employment type (reference Salaried) and loan type (reference Personal); log transform on 4 skewed features; standard scaling.</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Final file</w:t>
            </w:r>
          </w:p>
        </w:tc>
      </w:tr>
    </w:tbl>
    <w:p>
      <w:pPr>
        <w:spacing w:after="60"/>
      </w:pPr>
    </w:p>
    <w:p>
      <w:pPr>
        <w:spacing w:after="120"/>
      </w:pPr>
      <w:r>
        <w:rPr>
          <w:b/>
          <w:bCs/>
        </w:rPr>
        <w:t xml:space="preserve">Why some raw columns are not model features:</w:t>
      </w:r>
      <w:r>
        <w:t xml:space="preserve"> Gender and Marital_Status are protected attributes (RBI Fair Practices Code: no discrimination on grounds of sex, caste or religion). Age is almost the same as work experience (correlation 0.94), and its information is kept in age_at_maturity. Dependents and Property_Area showed negligible relevance to the decision.</w:t>
      </w:r>
    </w:p>
    <w:p>
      <w:pPr>
        <w:pStyle w:val="Heading1"/>
      </w:pPr>
      <w:r>
        <w:t xml:space="preserve">7. Dataset Size Summary</w:t>
      </w:r>
    </w:p>
    <w:tbl>
      <w:tblPr>
        <w:tblW w:type="dxa" w:w="1022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5324"/>
      </w:tblGrid>
      <w:tr>
        <w:trPr>
          <w:tblHeader/>
        </w:trPr>
        <w:tc>
          <w:tcPr>
            <w:tcW w:type="dxa" w:w="26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Stage</w:t>
            </w:r>
          </w:p>
        </w:tc>
        <w:tc>
          <w:tcPr>
            <w:tcW w:type="dxa" w:w="2300"/>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Size</w:t>
            </w:r>
          </w:p>
        </w:tc>
        <w:tc>
          <w:tcPr>
            <w:tcW w:type="dxa" w:w="5324"/>
            <w:tcBorders>
              <w:top w:val="single" w:color="7F7F7F" w:sz="4"/>
              <w:left w:val="single" w:color="7F7F7F" w:sz="4"/>
              <w:bottom w:val="single" w:color="7F7F7F" w:sz="4"/>
              <w:right w:val="single" w:color="7F7F7F" w:sz="4"/>
            </w:tcBorders>
            <w:shd w:fill="D9EAF7" w:color="auto" w:val="clear"/>
            <w:tcMar>
              <w:top w:type="dxa" w:w="50"/>
              <w:left w:type="dxa" w:w="90"/>
              <w:bottom w:type="dxa" w:w="50"/>
              <w:right w:type="dxa" w:w="90"/>
            </w:tcMar>
            <w:vAlign w:val="center"/>
          </w:tcPr>
          <w:p>
            <w:pPr>
              <w:spacing w:after="0"/>
            </w:pPr>
            <w:r>
              <w:rPr>
                <w:b/>
                <w:bCs/>
                <w:sz w:val="19"/>
                <w:szCs w:val="19"/>
              </w:rPr>
              <w:t xml:space="preserve">Description</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Applications generated</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9,865</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Unique applications before duplicates were added</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Raw dataset</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10,000 × 17</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Loan_ID + 15 features + Loan_Status (includes 135 duplicates)</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Final dataset</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9,847 × 16</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loan_id + 14 model features + loan_status</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Rows removed</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153</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135 exact duplicates + 18 rows with missing target</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Class balance (final)</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5,757 / 4,090</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Approved 58.5% / Rejected 41.5%</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Target encoding</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1 / 0</w:t>
            </w:r>
          </w:p>
        </w:tc>
        <w:tc>
          <w:tcPr>
            <w:tcW w:type="dxa" w:w="532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0"/>
            </w:pPr>
            <w:r>
              <w:rPr>
                <w:sz w:val="19"/>
                <w:szCs w:val="19"/>
              </w:rPr>
              <w:t xml:space="preserve">Approved = 1, Rejected = 0</w:t>
            </w:r>
          </w:p>
        </w:tc>
      </w:tr>
    </w:tbl>
    <w:p>
      <w:pPr>
        <w:spacing w:after="60"/>
      </w:pPr>
    </w:p>
    <w:p>
      <w:pPr>
        <w:spacing w:after="120"/>
      </w:pPr>
      <w:r>
        <w:rPr>
          <w:b/>
          <w:bCs/>
          <w:sz w:val="18"/>
          <w:szCs w:val="18"/>
        </w:rPr>
        <w:t xml:space="preserve">Source:</w:t>
      </w:r>
      <w:r>
        <w:rPr>
          <w:sz w:val="18"/>
          <w:szCs w:val="18"/>
        </w:rPr>
        <w:t xml:space="preserve"> generate_raw.py (random seed 42); the preprocessing run that produced loan_applications_final.csv; Loan Approval Dataset — Raw to Final Preprocessing Report (report.md).</w:t>
      </w:r>
    </w:p>
    <w:sectPr>
      <w:pgSz w:w="12240" w:h="15840" w:orient="portrait"/>
      <w:pgMar w:top="936" w:right="1008" w:bottom="936"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365F91"/>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Approval Dataset - Column Meaning Reference</dc:title>
  <dc:creator>CogniLend project</dc:creator>
  <cp:lastModifiedBy>Un-named</cp:lastModifiedBy>
  <cp:revision>1</cp:revision>
  <dcterms:created xsi:type="dcterms:W3CDTF">2026-10-01T08:30:10.162Z</dcterms:created>
  <dcterms:modified xsi:type="dcterms:W3CDTF">2026-10-01T08:30:10.162Z</dcterms:modified>
</cp:coreProperties>
</file>

<file path=docProps/custom.xml><?xml version="1.0" encoding="utf-8"?>
<Properties xmlns="http://schemas.openxmlformats.org/officeDocument/2006/custom-properties" xmlns:vt="http://schemas.openxmlformats.org/officeDocument/2006/docPropsVTypes"/>
</file>