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8"/>
          <w:szCs w:val="48"/>
        </w:rPr>
        <w:t xml:space="preserve">EdTech Course Analytics</w:t>
      </w:r>
    </w:p>
    <w:p>
      <w:pPr>
        <w:spacing w:after="100"/>
      </w:pPr>
      <w:r>
        <w:rPr>
          <w:i/>
          <w:iCs/>
          <w:sz w:val="26"/>
          <w:szCs w:val="26"/>
        </w:rPr>
        <w:t xml:space="preserve">Analyzing Course Completion and Dropout on an Online Learning Platform</w:t>
      </w:r>
    </w:p>
    <w:p>
      <w:pPr>
        <w:spacing w:after="40"/>
      </w:pPr>
      <w:r>
        <w:rPr>
          <w:sz w:val="22"/>
          <w:szCs w:val="22"/>
        </w:rPr>
        <w:t xml:space="preserve">Prepared by: Suyashi Gupta</w:t>
      </w:r>
    </w:p>
    <w:p>
      <w:pPr>
        <w:spacing w:after="400"/>
      </w:pPr>
      <w:r>
        <w:rPr>
          <w:sz w:val="22"/>
          <w:szCs w:val="22"/>
        </w:rPr>
        <w:t xml:space="preserve">IBM SkillsBuild Data Analytics with AI Academic Internship — BharatCares / AICTE, 2026</w:t>
      </w:r>
    </w:p>
    <w:p>
      <w:pPr>
        <w:pStyle w:val="Heading1"/>
        <w:spacing w:after="150" w:before="300"/>
      </w:pPr>
      <w:r>
        <w:t xml:space="preserve">1. Introduction</w:t>
      </w:r>
    </w:p>
    <w:p>
      <w:pPr>
        <w:spacing w:after="120"/>
      </w:pPr>
      <w:r>
        <w:t xml:space="preserve">Online course platforms generate large amounts of behavioral and outcome data, but converting that data into actionable insight requires structured analysis. This project examines a synthetic dataset of 1,515 student records from an online course platform, covering demographics, course details, engagement, and outcomes, with the goal of understanding what drives course completion and dropout.</w:t>
      </w:r>
    </w:p>
    <w:p>
      <w:pPr>
        <w:spacing w:after="120"/>
      </w:pPr>
      <w:r>
        <w:t xml:space="preserve">The objective of this project was to: (1) clean and prepare the raw dataset for analysis, (2) explore relationships between student, course, and engagement attributes and outcomes, (3) visualize key patterns, and (4) translate findings into concrete, actionable recommendations, presented through both a written analysis and an interactive Power BI dashboard.</w:t>
      </w:r>
    </w:p>
    <w:p>
      <w:pPr>
        <w:pStyle w:val="Heading1"/>
        <w:spacing w:after="150" w:before="300"/>
      </w:pPr>
      <w:r>
        <w:t xml:space="preserve">2. Dataset Overview</w:t>
      </w:r>
    </w:p>
    <w:p>
      <w:pPr>
        <w:spacing w:after="120"/>
      </w:pPr>
      <w:r>
        <w:t xml:space="preserve">The dataset contains 1,515 rows and 21 columns, spanning four broad areas:</w:t>
      </w:r>
    </w:p>
    <w:p>
      <w:pPr>
        <w:pStyle w:val="ListParagraph"/>
        <w:numPr>
          <w:ilvl w:val="0"/>
          <w:numId w:val="2"/>
        </w:numPr>
        <w:spacing w:after="60"/>
      </w:pPr>
      <w:r>
        <w:t xml:space="preserve">Demographics: age, gender, country</w:t>
      </w:r>
    </w:p>
    <w:p>
      <w:pPr>
        <w:pStyle w:val="ListParagraph"/>
        <w:numPr>
          <w:ilvl w:val="0"/>
          <w:numId w:val="2"/>
        </w:numPr>
        <w:spacing w:after="60"/>
      </w:pPr>
      <w:r>
        <w:t xml:space="preserve">Course information: category, price (INR)</w:t>
      </w:r>
    </w:p>
    <w:p>
      <w:pPr>
        <w:pStyle w:val="ListParagraph"/>
        <w:numPr>
          <w:ilvl w:val="0"/>
          <w:numId w:val="2"/>
        </w:numPr>
        <w:spacing w:after="60"/>
      </w:pPr>
      <w:r>
        <w:t xml:space="preserve">Engagement: time spent (hours), completion percentage, completion status, number of quizzes taken, device used</w:t>
      </w:r>
    </w:p>
    <w:p>
      <w:pPr>
        <w:pStyle w:val="ListParagraph"/>
        <w:numPr>
          <w:ilvl w:val="0"/>
          <w:numId w:val="2"/>
        </w:numPr>
        <w:spacing w:after="60"/>
      </w:pPr>
      <w:r>
        <w:t xml:space="preserve">Outcomes: quiz average score, rating, dropout flag, certificate issued</w:t>
      </w:r>
    </w:p>
    <w:p>
      <w:pPr>
        <w:pStyle w:val="Heading1"/>
        <w:spacing w:after="150" w:before="300"/>
      </w:pPr>
      <w:r>
        <w:t xml:space="preserve">3. Methodology</w:t>
      </w:r>
    </w:p>
    <w:p>
      <w:pPr>
        <w:pStyle w:val="Heading2"/>
        <w:spacing w:after="100" w:before="200"/>
      </w:pPr>
      <w:r>
        <w:t xml:space="preserve">3.1 Tools Used</w:t>
      </w:r>
    </w:p>
    <w:p>
      <w:pPr>
        <w:pStyle w:val="ListParagraph"/>
        <w:numPr>
          <w:ilvl w:val="0"/>
          <w:numId w:val="2"/>
        </w:numPr>
        <w:spacing w:after="60"/>
      </w:pPr>
      <w:r>
        <w:t xml:space="preserve">Python (pandas, matplotlib, seaborn) in Google Colab — data cleaning, exploration, and visualization</w:t>
      </w:r>
    </w:p>
    <w:p>
      <w:pPr>
        <w:pStyle w:val="ListParagraph"/>
        <w:numPr>
          <w:ilvl w:val="0"/>
          <w:numId w:val="2"/>
        </w:numPr>
        <w:spacing w:after="60"/>
      </w:pPr>
      <w:r>
        <w:t xml:space="preserve">Power BI Desktop — interactive dashboard for stakeholder exploration</w:t>
      </w:r>
    </w:p>
    <w:p>
      <w:pPr>
        <w:pStyle w:val="Heading2"/>
        <w:spacing w:after="100" w:before="200"/>
      </w:pPr>
      <w:r>
        <w:t xml:space="preserve">3.2 Data Cleaning</w:t>
      </w:r>
    </w:p>
    <w:p>
      <w:pPr>
        <w:spacing w:after="120"/>
      </w:pPr>
      <w:r>
        <w:t xml:space="preserve">Before analysis, the raw dataset was inspected and cleaned to ensure reliable results. The following issues were identified and resolved:</w:t>
      </w:r>
    </w:p>
    <w:p>
      <w:pPr>
        <w:pStyle w:val="ListParagraph"/>
        <w:numPr>
          <w:ilvl w:val="0"/>
          <w:numId w:val="3"/>
        </w:numPr>
        <w:spacing w:after="60"/>
      </w:pPr>
      <w:r>
        <w:t xml:space="preserve">Missing values (7 columns affected): Numeric columns (age, time_spent_hours) were imputed using the column median, which is robust to outliers. Categorical columns (country, device_used, payment_method) were filled with "Unknown" rather than guessed values. For quiz_avg_score and rating, missingness was investigated and found to be fully explained by non-participation (0 quizzes taken) or non-enrollment (course not started) — these were left as missing, since imputing them would have fabricated data.</w:t>
      </w:r>
    </w:p>
    <w:p>
      <w:pPr>
        <w:pStyle w:val="ListParagraph"/>
        <w:numPr>
          <w:ilvl w:val="0"/>
          <w:numId w:val="3"/>
        </w:numPr>
        <w:spacing w:after="60"/>
      </w:pPr>
      <w:r>
        <w:t xml:space="preserve">Duplicate rows: 15 exact duplicate rows were identified and removed using pandas' drop_duplicates().</w:t>
      </w:r>
    </w:p>
    <w:p>
      <w:pPr>
        <w:pStyle w:val="ListParagraph"/>
        <w:numPr>
          <w:ilvl w:val="0"/>
          <w:numId w:val="3"/>
        </w:numPr>
        <w:spacing w:after="60"/>
      </w:pPr>
      <w:r>
        <w:t xml:space="preserve">Inconsistent category labels: The category column contained 19 messy variants of what were really 8 categories (e.g., "Web Dev", "web dev", "Web Development " with trailing spaces). These were standardized via case-normalization, whitespace stripping, and a mapping dictionary.</w:t>
      </w:r>
    </w:p>
    <w:p>
      <w:pPr>
        <w:pStyle w:val="ListParagraph"/>
        <w:numPr>
          <w:ilvl w:val="0"/>
          <w:numId w:val="3"/>
        </w:numPr>
        <w:spacing w:after="60"/>
      </w:pPr>
      <w:r>
        <w:t xml:space="preserve">Mixed data types: The quiz_avg_score column was found to contain both numeric scores and the literal text "Not Attempted", making the column impossible to analyze numerically. This was resolved by restoring proper NaN values for non-attempts and creating a separate boolean flag column, quiz_attempted, to preserve that information cleanly.</w:t>
      </w:r>
    </w:p>
    <w:p>
      <w:pPr>
        <w:pStyle w:val="ListParagraph"/>
        <w:numPr>
          <w:ilvl w:val="0"/>
          <w:numId w:val="3"/>
        </w:numPr>
        <w:spacing w:after="60"/>
      </w:pPr>
      <w:r>
        <w:t xml:space="preserve">Outliers: Statistical review (.describe()) revealed implausible ages (up to 120 years) and one inconsistent time_spent_hours value (102 hours logged against only 25% course completion). These were corrected by replacing them with the column median after manual verification that they were genuine anomalies rather than valid extreme values.</w:t>
      </w:r>
    </w:p>
    <w:p>
      <w:pPr>
        <w:spacing w:after="120"/>
      </w:pPr>
      <w:r>
        <w:t xml:space="preserve">After cleaning, the dataset comprised 1,500 rows across 22 columns (including the new quiz_attempted flag), ready for analysis.</w:t>
      </w:r>
    </w:p>
    <w:p>
      <w:pPr>
        <w:pStyle w:val="Heading1"/>
        <w:spacing w:after="150" w:before="300"/>
      </w:pPr>
      <w:r>
        <w:t xml:space="preserve">4. Exploratory Analysis and Key Findings</w:t>
      </w:r>
    </w:p>
    <w:p>
      <w:pPr>
        <w:pStyle w:val="Heading2"/>
        <w:spacing w:after="100" w:before="200"/>
      </w:pPr>
      <w:r>
        <w:t xml:space="preserve">4.1 Category and Completion</w:t>
      </w:r>
    </w:p>
    <w:p>
      <w:pPr>
        <w:spacing w:after="120"/>
      </w:pPr>
      <w:r>
        <w:t xml:space="preserve">Average completion percentage varied modestly across course categories, from a high of ~56% (IT &amp; Software) to a low of ~50% (Graphic Design), with most categories clustered around 52-55%. This suggests category has a real but modest effect on completion.</w:t>
      </w:r>
    </w:p>
    <w:p>
      <w:pPr>
        <w:pStyle w:val="Heading2"/>
        <w:spacing w:after="100" w:before="200"/>
      </w:pPr>
      <w:r>
        <w:t xml:space="preserve">4.2 Dropout by Category</w:t>
      </w:r>
    </w:p>
    <w:p>
      <w:pPr>
        <w:spacing w:after="120"/>
      </w:pPr>
      <w:r>
        <w:t xml:space="preserve">Dropout rate showed a much larger spread across categories. Data Science had the highest dropout rate at 4.9%, roughly five times higher than the lowest category, Digital Marketing (0.98%). Further investigation showed that Data Science students had average time spent, completion percentage, and quiz scores statistically similar to the platform-wide average — but 78.7% of Data Science students were stuck "In Progress," compared to lower proportions in other categories. This indicates the issue is a mid-course completion bottleneck specific to the course content or pacing, rather than a student engagement or ability problem.</w:t>
      </w:r>
    </w:p>
    <w:p>
      <w:pPr>
        <w:pStyle w:val="Heading2"/>
        <w:spacing w:after="100" w:before="200"/>
      </w:pPr>
      <w:r>
        <w:t xml:space="preserve">4.3 Engagement and Completion</w:t>
      </w:r>
    </w:p>
    <w:p>
      <w:pPr>
        <w:spacing w:after="120"/>
      </w:pPr>
      <w:r>
        <w:t xml:space="preserve">Time spent was one of the strongest behavioral predictors of completion. Students who completed their course spent an average of 27.1 hours engaged, compared to 11.3 hours for in-progress students and only 2.3 hours for students who never started — a clear, large gradient.</w:t>
      </w:r>
    </w:p>
    <w:p>
      <w:pPr>
        <w:pStyle w:val="Heading2"/>
        <w:spacing w:after="100" w:before="200"/>
      </w:pPr>
      <w:r>
        <w:t xml:space="preserve">4.4 Price and Age</w:t>
      </w:r>
    </w:p>
    <w:p>
      <w:pPr>
        <w:spacing w:after="120"/>
      </w:pPr>
      <w:r>
        <w:t xml:space="preserve">Average price paid was nearly identical across completion groups (Completed: ₹2,810; In Progress: ₹2,718; Not Started: ₹2,962), and a correlation analysis confirmed both price and age had negligible correlation (near 0) with completion, quiz performance, or rating. This indicates pricing and age-based strategies are unlikely to meaningfully influence retention.</w:t>
      </w:r>
    </w:p>
    <w:p>
      <w:pPr>
        <w:pStyle w:val="Heading2"/>
        <w:spacing w:after="100" w:before="200"/>
      </w:pPr>
      <w:r>
        <w:t xml:space="preserve">4.5 Correlation Analysis</w:t>
      </w:r>
    </w:p>
    <w:p>
      <w:pPr>
        <w:spacing w:after="120"/>
      </w:pPr>
      <w:r>
        <w:t xml:space="preserve">A correlation heatmap across numeric features revealed the following notable relationships: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00"/>
      </w:tblGrid>
      <w:tr>
        <w:tc>
          <w:tcPr>
            <w:tcW w:type="dxa" w:w="3200"/>
            <w:shd w:fill="1F4E78" w:val="clear"/>
          </w:tcPr>
          <w:p>
            <w:r>
              <w:rPr>
                <w:b/>
                <w:bCs/>
                <w:color w:val="FFFFFF"/>
                <w:sz w:val="20"/>
                <w:szCs w:val="20"/>
              </w:rPr>
              <w:t xml:space="preserve">Variable Pair</w:t>
            </w:r>
          </w:p>
        </w:tc>
        <w:tc>
          <w:tcPr>
            <w:tcW w:type="dxa" w:w="1800"/>
            <w:shd w:fill="1F4E78" w:val="clear"/>
          </w:tcPr>
          <w:p>
            <w:r>
              <w:rPr>
                <w:b/>
                <w:bCs/>
                <w:color w:val="FFFFFF"/>
                <w:sz w:val="20"/>
                <w:szCs w:val="20"/>
              </w:rPr>
              <w:t xml:space="preserve">Correlation</w:t>
            </w:r>
          </w:p>
        </w:tc>
        <w:tc>
          <w:tcPr>
            <w:tcW w:type="dxa" w:w="4000"/>
            <w:shd w:fill="1F4E78" w:val="clear"/>
          </w:tcPr>
          <w:p>
            <w:r>
              <w:rPr>
                <w:b/>
                <w:bCs/>
                <w:color w:val="FFFFFF"/>
                <w:sz w:val="20"/>
                <w:szCs w:val="20"/>
              </w:rPr>
              <w:t xml:space="preserve">Interpretation</w:t>
            </w:r>
          </w:p>
        </w:tc>
      </w:tr>
      <w:tr>
        <w:tc>
          <w:tcPr>
            <w:tcW w:type="dxa" w:w="3200"/>
          </w:tcPr>
          <w:p>
            <w:r>
              <w:rPr>
                <w:b w:val="false"/>
                <w:bCs w:val="false"/>
                <w:color w:val="000000"/>
                <w:sz w:val="20"/>
                <w:szCs w:val="20"/>
              </w:rPr>
              <w:t xml:space="preserve">completion_pct ↔ num_quizzes_taken</w:t>
            </w:r>
          </w:p>
        </w:tc>
        <w:tc>
          <w:tcPr>
            <w:tcW w:type="dxa" w:w="1800"/>
          </w:tcPr>
          <w:p>
            <w:r>
              <w:rPr>
                <w:b w:val="false"/>
                <w:bCs w:val="false"/>
                <w:color w:val="000000"/>
                <w:sz w:val="20"/>
                <w:szCs w:val="20"/>
              </w:rPr>
              <w:t xml:space="preserve">0.73</w:t>
            </w:r>
          </w:p>
        </w:tc>
        <w:tc>
          <w:tcPr>
            <w:tcW w:type="dxa" w:w="4000"/>
          </w:tcPr>
          <w:p>
            <w:r>
              <w:rPr>
                <w:b w:val="false"/>
                <w:bCs w:val="false"/>
                <w:color w:val="000000"/>
                <w:sz w:val="20"/>
                <w:szCs w:val="20"/>
              </w:rPr>
              <w:t xml:space="preserve">Strong — quiz participation closely tracks progress</w:t>
            </w:r>
          </w:p>
        </w:tc>
      </w:tr>
      <w:tr>
        <w:tc>
          <w:tcPr>
            <w:tcW w:type="dxa" w:w="3200"/>
          </w:tcPr>
          <w:p>
            <w:r>
              <w:rPr>
                <w:b w:val="false"/>
                <w:bCs w:val="false"/>
                <w:color w:val="000000"/>
                <w:sz w:val="20"/>
                <w:szCs w:val="20"/>
              </w:rPr>
              <w:t xml:space="preserve">completion_pct ↔ rating</w:t>
            </w:r>
          </w:p>
        </w:tc>
        <w:tc>
          <w:tcPr>
            <w:tcW w:type="dxa" w:w="1800"/>
          </w:tcPr>
          <w:p>
            <w:r>
              <w:rPr>
                <w:b w:val="false"/>
                <w:bCs w:val="false"/>
                <w:color w:val="000000"/>
                <w:sz w:val="20"/>
                <w:szCs w:val="20"/>
              </w:rPr>
              <w:t xml:space="preserve">0.60</w:t>
            </w:r>
          </w:p>
        </w:tc>
        <w:tc>
          <w:tcPr>
            <w:tcW w:type="dxa" w:w="4000"/>
          </w:tcPr>
          <w:p>
            <w:r>
              <w:rPr>
                <w:b w:val="false"/>
                <w:bCs w:val="false"/>
                <w:color w:val="000000"/>
                <w:sz w:val="20"/>
                <w:szCs w:val="20"/>
              </w:rPr>
              <w:t xml:space="preserve">Moderate — students who progress further rate higher</w:t>
            </w:r>
          </w:p>
        </w:tc>
      </w:tr>
      <w:tr>
        <w:tc>
          <w:tcPr>
            <w:tcW w:type="dxa" w:w="3200"/>
          </w:tcPr>
          <w:p>
            <w:r>
              <w:rPr>
                <w:b w:val="false"/>
                <w:bCs w:val="false"/>
                <w:color w:val="000000"/>
                <w:sz w:val="20"/>
                <w:szCs w:val="20"/>
              </w:rPr>
              <w:t xml:space="preserve">completion_pct ↔ time_spent_hours</w:t>
            </w:r>
          </w:p>
        </w:tc>
        <w:tc>
          <w:tcPr>
            <w:tcW w:type="dxa" w:w="1800"/>
          </w:tcPr>
          <w:p>
            <w:r>
              <w:rPr>
                <w:b w:val="false"/>
                <w:bCs w:val="false"/>
                <w:color w:val="000000"/>
                <w:sz w:val="20"/>
                <w:szCs w:val="20"/>
              </w:rPr>
              <w:t xml:space="preserve">0.47</w:t>
            </w:r>
          </w:p>
        </w:tc>
        <w:tc>
          <w:tcPr>
            <w:tcW w:type="dxa" w:w="4000"/>
          </w:tcPr>
          <w:p>
            <w:r>
              <w:rPr>
                <w:b w:val="false"/>
                <w:bCs w:val="false"/>
                <w:color w:val="000000"/>
                <w:sz w:val="20"/>
                <w:szCs w:val="20"/>
              </w:rPr>
              <w:t xml:space="preserve">Moderate — confirms engagement drives completion</w:t>
            </w:r>
          </w:p>
        </w:tc>
      </w:tr>
      <w:tr>
        <w:tc>
          <w:tcPr>
            <w:tcW w:type="dxa" w:w="3200"/>
          </w:tcPr>
          <w:p>
            <w:r>
              <w:rPr>
                <w:b w:val="false"/>
                <w:bCs w:val="false"/>
                <w:color w:val="000000"/>
                <w:sz w:val="20"/>
                <w:szCs w:val="20"/>
              </w:rPr>
              <w:t xml:space="preserve">completion_pct ↔ quiz_avg_score</w:t>
            </w:r>
          </w:p>
        </w:tc>
        <w:tc>
          <w:tcPr>
            <w:tcW w:type="dxa" w:w="1800"/>
          </w:tcPr>
          <w:p>
            <w:r>
              <w:rPr>
                <w:b w:val="false"/>
                <w:bCs w:val="false"/>
                <w:color w:val="000000"/>
                <w:sz w:val="20"/>
                <w:szCs w:val="20"/>
              </w:rPr>
              <w:t xml:space="preserve">0.42</w:t>
            </w:r>
          </w:p>
        </w:tc>
        <w:tc>
          <w:tcPr>
            <w:tcW w:type="dxa" w:w="4000"/>
          </w:tcPr>
          <w:p>
            <w:r>
              <w:rPr>
                <w:b w:val="false"/>
                <w:bCs w:val="false"/>
                <w:color w:val="000000"/>
                <w:sz w:val="20"/>
                <w:szCs w:val="20"/>
              </w:rPr>
              <w:t xml:space="preserve">Weak-moderate</w:t>
            </w:r>
          </w:p>
        </w:tc>
      </w:tr>
      <w:tr>
        <w:tc>
          <w:tcPr>
            <w:tcW w:type="dxa" w:w="3200"/>
          </w:tcPr>
          <w:p>
            <w:r>
              <w:rPr>
                <w:b w:val="false"/>
                <w:bCs w:val="false"/>
                <w:color w:val="000000"/>
                <w:sz w:val="20"/>
                <w:szCs w:val="20"/>
              </w:rPr>
              <w:t xml:space="preserve">age / price_inr ↔ outcomes</w:t>
            </w:r>
          </w:p>
        </w:tc>
        <w:tc>
          <w:tcPr>
            <w:tcW w:type="dxa" w:w="1800"/>
          </w:tcPr>
          <w:p>
            <w:r>
              <w:rPr>
                <w:b w:val="false"/>
                <w:bCs w:val="false"/>
                <w:color w:val="000000"/>
                <w:sz w:val="20"/>
                <w:szCs w:val="20"/>
              </w:rPr>
              <w:t xml:space="preserve">~0.00–0.05</w:t>
            </w:r>
          </w:p>
        </w:tc>
        <w:tc>
          <w:tcPr>
            <w:tcW w:type="dxa" w:w="4000"/>
          </w:tcPr>
          <w:p>
            <w:r>
              <w:rPr>
                <w:b w:val="false"/>
                <w:bCs w:val="false"/>
                <w:color w:val="000000"/>
                <w:sz w:val="20"/>
                <w:szCs w:val="20"/>
              </w:rPr>
              <w:t xml:space="preserve">Negligible — neither meaningfully predicts outcomes</w:t>
            </w:r>
          </w:p>
        </w:tc>
      </w:tr>
    </w:tbl>
    <w:p>
      <w:pPr>
        <w:spacing w:after="150"/>
      </w:pPr>
    </w:p>
    <w:p>
      <w:pPr>
        <w:pStyle w:val="Heading2"/>
        <w:spacing w:after="100" w:before="200"/>
      </w:pPr>
      <w:r>
        <w:t xml:space="preserve">4.6 Quiz Performance and Dropout</w:t>
      </w:r>
    </w:p>
    <w:p>
      <w:pPr>
        <w:spacing w:after="120"/>
      </w:pPr>
      <w:r>
        <w:t xml:space="preserve">Students who did not drop out averaged a quiz score of 76.5, compared to 68.2 for students who eventually dropped out — an 8-point gap. This is a correlation, not necessarily a cause: it may reflect either that academic struggle contributes to dropout, or that both quiz performance and dropout share a common underlying cause (disengagement).</w:t>
      </w:r>
    </w:p>
    <w:p>
      <w:pPr>
        <w:pStyle w:val="Heading2"/>
        <w:spacing w:after="100" w:before="200"/>
      </w:pPr>
      <w:r>
        <w:t xml:space="preserve">4.7 Overall Platform Status</w:t>
      </w:r>
    </w:p>
    <w:p>
      <w:pPr>
        <w:spacing w:after="120"/>
      </w:pPr>
      <w:r>
        <w:t xml:space="preserve">Across the full cleaned dataset, only 13.7% of students have fully completed their course, while 79.0% remain "In Progress" and 7.3% have "Not Started." Actual dropout flags are comparatively rare (1-5% depending on category). This reframes the platform's core challenge: the primary issue is not students explicitly quitting, but a very large population of stalled, partially-engaged students who have neither finished nor formally dropped out.</w:t>
      </w:r>
    </w:p>
    <w:p>
      <w:pPr>
        <w:pStyle w:val="Heading1"/>
        <w:spacing w:after="150" w:before="300"/>
      </w:pPr>
      <w:r>
        <w:t xml:space="preserve">5. Insights and Recommendations</w:t>
      </w:r>
    </w:p>
    <w:p>
      <w:pPr>
        <w:pStyle w:val="ListParagraph"/>
        <w:numPr>
          <w:ilvl w:val="0"/>
          <w:numId w:val="3"/>
        </w:numPr>
        <w:spacing w:after="60"/>
      </w:pPr>
      <w:r>
        <w:t xml:space="preserve">Time spent is the strongest driver of completion. Recommendation: Focus retention efforts on driving early, consistent engagement (e.g., onboarding nudges, a first-week streak goal) rather than pricing strategies.</w:t>
      </w:r>
    </w:p>
    <w:p>
      <w:pPr>
        <w:pStyle w:val="ListParagraph"/>
        <w:numPr>
          <w:ilvl w:val="0"/>
          <w:numId w:val="3"/>
        </w:numPr>
        <w:spacing w:after="60"/>
      </w:pPr>
      <w:r>
        <w:t xml:space="preserve">Data Science has a completion bottleneck, not an engagement problem. Recommendation: Audit the Data Science course structure and pacing specifically (e.g., module-by-module drop-off analysis) to identify where students stall.</w:t>
      </w:r>
    </w:p>
    <w:p>
      <w:pPr>
        <w:pStyle w:val="ListParagraph"/>
        <w:numPr>
          <w:ilvl w:val="0"/>
          <w:numId w:val="3"/>
        </w:numPr>
        <w:spacing w:after="60"/>
      </w:pPr>
      <w:r>
        <w:t xml:space="preserve">Price and age do not meaningfully affect outcomes. Recommendation: Avoid relying on discounting or age-based targeting as retention levers; invest in engagement-based interventions instead.</w:t>
      </w:r>
    </w:p>
    <w:p>
      <w:pPr>
        <w:pStyle w:val="ListParagraph"/>
        <w:numPr>
          <w:ilvl w:val="0"/>
          <w:numId w:val="3"/>
        </w:numPr>
        <w:spacing w:after="60"/>
      </w:pPr>
      <w:r>
        <w:t xml:space="preserve">Quiz participation and ratings are the strongest numeric predictors of completion. Recommendation: Introduce more frequent, lower-stakes quizzes throughout a course (not just at module ends) to sustain engagement and provide an early warning signal for at-risk students.</w:t>
      </w:r>
    </w:p>
    <w:p>
      <w:pPr>
        <w:pStyle w:val="ListParagraph"/>
        <w:numPr>
          <w:ilvl w:val="0"/>
          <w:numId w:val="3"/>
        </w:numPr>
        <w:spacing w:after="60"/>
      </w:pPr>
      <w:r>
        <w:t xml:space="preserve">The platform's real challenge is stalled engagement, not explicit dropout. Recommendation: Build a "resume course" nudge system targeting the large In-Progress population (79% of all students), since this segment represents the greatest opportunity for improving completion rates.</w:t>
      </w:r>
    </w:p>
    <w:p>
      <w:pPr>
        <w:pStyle w:val="Heading1"/>
        <w:spacing w:after="150" w:before="300"/>
      </w:pPr>
      <w:r>
        <w:t xml:space="preserve">6. Dashboard</w:t>
      </w:r>
    </w:p>
    <w:p>
      <w:pPr>
        <w:spacing w:after="120"/>
      </w:pPr>
      <w:r>
        <w:t xml:space="preserve">An interactive Power BI dashboard was built to accompany this analysis, allowing stakeholders to explore the data themselves. It includes: three headline KPI cards (Total Students, Average Completion %, Dropout Rate %), four supporting charts (completion % by category, dropout rate by category, average time spent by completion status, and overall completion status breakdown), and two interactive slicers (course category and device used) that filter all visuals simultaneously. The dashboard file (EdTech_Dashboard.pbix) is included in the project submission.</w:t>
      </w:r>
    </w:p>
    <w:p>
      <w:pPr>
        <w:pStyle w:val="Heading1"/>
        <w:spacing w:after="150" w:before="300"/>
      </w:pPr>
      <w:r>
        <w:t xml:space="preserve">7. Conclusion</w:t>
      </w:r>
    </w:p>
    <w:p>
      <w:pPr>
        <w:spacing w:after="120"/>
      </w:pPr>
      <w:r>
        <w:t xml:space="preserve">This analysis shows that student engagement — measured through time spent and quiz participation — is a far stronger predictor of course completion than price or demographic factors. While overall dropout is relatively rare, a large majority of students remain in a stalled, partially-completed state, representing the platform's biggest opportunity for improvement. Category-specific issues, particularly in Data Science, point to course design and pacing as an area warranting further investigation. These findings, combined with the accompanying interactive dashboard, provide a practical foundation for data-informed retention strategy on the platform.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2026-09-24T17:59:28.086Z</dcterms:created>
  <dcterms:modified xsi:type="dcterms:W3CDTF">2026-09-24T17:59:28.090Z</dcterms:modified>
</cp:coreProperties>
</file>

<file path=docProps/custom.xml><?xml version="1.0" encoding="utf-8"?>
<Properties xmlns="http://schemas.openxmlformats.org/officeDocument/2006/custom-properties" xmlns:vt="http://schemas.openxmlformats.org/officeDocument/2006/docPropsVTypes"/>
</file>