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1A3A5C" w:val="clear"/>
            <w:tcMar>
              <w:top w:type="dxa" w:w="280"/>
              <w:left w:type="dxa" w:w="360"/>
              <w:bottom w:type="dxa" w:w="180"/>
              <w:right w:type="dxa" w:w="360"/>
            </w:tcMar>
          </w:tcPr>
          <w:p>
            <w:r>
              <w:rPr>
                <w:rFonts w:ascii="Calibri" w:cs="Calibri" w:eastAsia="Calibri" w:hAnsi="Calibri"/>
                <w:b/>
                <w:bCs/>
                <w:color w:val="A8C4D8"/>
                <w:sz w:val="18"/>
                <w:szCs w:val="18"/>
              </w:rPr>
              <w:t xml:space="preserve">QUARTERLY INVESTMENT REPORT</w:t>
            </w:r>
          </w:p>
          <w:p>
            <w:pPr>
              <w:spacing w:before="80" w:after="0"/>
            </w:pPr>
            <w:r>
              <w:rPr>
                <w:rFonts w:ascii="Calibri" w:cs="Calibri" w:eastAsia="Calibri" w:hAnsi="Calibri"/>
                <w:b/>
                <w:bCs/>
                <w:color w:val="FFFFFF"/>
                <w:sz w:val="48"/>
                <w:szCs w:val="48"/>
              </w:rPr>
              <w:t xml:space="preserve">NMB Australia Growth Fund</w:t>
            </w:r>
          </w:p>
          <w:p>
            <w:pPr>
              <w:spacing w:before="80" w:after="0"/>
            </w:pPr>
            <w:r>
              <w:rPr>
                <w:rFonts w:ascii="Calibri" w:cs="Calibri" w:eastAsia="Calibri" w:hAnsi="Calibri"/>
                <w:color w:val="A8C4D8"/>
                <w:sz w:val="22"/>
                <w:szCs w:val="22"/>
              </w:rPr>
              <w:t xml:space="preserve">Q3 2024  ·  1 July – 30 September 2024</w:t>
            </w:r>
          </w:p>
          <w:p>
            <w:pPr>
              <w:spacing w:before="40" w:after="0"/>
            </w:pPr>
            <w:r>
              <w:rPr>
                <w:rFonts w:ascii="Calibri" w:cs="Calibri" w:eastAsia="Calibri" w:hAnsi="Calibri"/>
                <w:color w:val="88B0C8"/>
                <w:sz w:val="19"/>
                <w:szCs w:val="19"/>
              </w:rPr>
              <w:t xml:space="preserve">ASX Equity  |  AUM ~A$45M  |  Benchmark: ASX 200 Total Return Index</w:t>
            </w:r>
          </w:p>
        </w:tc>
      </w:tr>
    </w:tbl>
    <w:p>
      <w:pPr>
        <w:spacing w:before="12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7"/>
        <w:gridCol w:w="2437"/>
      </w:tblGrid>
      <w:tr>
        <w:tc>
          <w:tcPr>
            <w:tcBorders>
              <w:top w:val="single" w:color="E2E8F0" w:sz="4"/>
              <w:left w:val="single" w:color="E2E8F0" w:sz="4"/>
              <w:bottom w:val="single" w:color="E2E8F0" w:sz="4"/>
              <w:right w:val="single" w:color="E2E8F0" w:sz="4"/>
            </w:tcBorders>
            <w:shd w:fill="E8F5F0" w:val="clear"/>
            <w:tcMar>
              <w:top w:type="dxa" w:w="120"/>
              <w:left w:type="dxa" w:w="160"/>
              <w:bottom w:type="dxa" w:w="120"/>
              <w:right w:type="dxa" w:w="160"/>
            </w:tcMar>
          </w:tcPr>
          <w:p>
            <w:r>
              <w:rPr>
                <w:rFonts w:ascii="Calibri" w:cs="Calibri" w:eastAsia="Calibri" w:hAnsi="Calibri"/>
                <w:b/>
                <w:bCs/>
                <w:color w:val="1A6B4A"/>
                <w:sz w:val="44"/>
                <w:szCs w:val="44"/>
              </w:rPr>
              <w:t xml:space="preserve">-3.02%</w:t>
            </w:r>
          </w:p>
          <w:p>
            <w:r>
              <w:rPr>
                <w:rFonts w:ascii="Calibri" w:cs="Calibri" w:eastAsia="Calibri" w:hAnsi="Calibri"/>
                <w:b/>
                <w:bCs/>
                <w:color w:val="0F1419"/>
                <w:sz w:val="17"/>
                <w:szCs w:val="17"/>
              </w:rPr>
              <w:t xml:space="preserve">Fund return Q3 2024</w:t>
            </w:r>
          </w:p>
          <w:p>
            <w:r>
              <w:rPr>
                <w:rFonts w:ascii="Calibri" w:cs="Calibri" w:eastAsia="Calibri" w:hAnsi="Calibri"/>
                <w:i/>
                <w:iCs/>
                <w:color w:val="6B7A8D"/>
                <w:sz w:val="16"/>
                <w:szCs w:val="16"/>
              </w:rPr>
              <w:t xml:space="preserve">vs benchmark -8.12%</w:t>
            </w:r>
          </w:p>
        </w:tc>
        <w:tc>
          <w:tcPr>
            <w:tcBorders>
              <w:top w:val="single" w:color="E2E8F0" w:sz="4"/>
              <w:left w:val="single" w:color="E2E8F0" w:sz="4"/>
              <w:bottom w:val="single" w:color="E2E8F0" w:sz="4"/>
              <w:right w:val="single" w:color="E2E8F0" w:sz="4"/>
            </w:tcBorders>
            <w:shd w:fill="E8F5F0" w:val="clear"/>
            <w:tcMar>
              <w:top w:type="dxa" w:w="120"/>
              <w:left w:type="dxa" w:w="160"/>
              <w:bottom w:type="dxa" w:w="120"/>
              <w:right w:type="dxa" w:w="160"/>
            </w:tcMar>
          </w:tcPr>
          <w:p>
            <w:r>
              <w:rPr>
                <w:rFonts w:ascii="Calibri" w:cs="Calibri" w:eastAsia="Calibri" w:hAnsi="Calibri"/>
                <w:b/>
                <w:bCs/>
                <w:color w:val="1A6B4A"/>
                <w:sz w:val="44"/>
                <w:szCs w:val="44"/>
              </w:rPr>
              <w:t xml:space="preserve">+5.10%</w:t>
            </w:r>
          </w:p>
          <w:p>
            <w:r>
              <w:rPr>
                <w:rFonts w:ascii="Calibri" w:cs="Calibri" w:eastAsia="Calibri" w:hAnsi="Calibri"/>
                <w:b/>
                <w:bCs/>
                <w:color w:val="0F1419"/>
                <w:sz w:val="17"/>
                <w:szCs w:val="17"/>
              </w:rPr>
              <w:t xml:space="preserve">Active return (alpha)</w:t>
            </w:r>
          </w:p>
          <w:p>
            <w:r>
              <w:rPr>
                <w:rFonts w:ascii="Calibri" w:cs="Calibri" w:eastAsia="Calibri" w:hAnsi="Calibri"/>
                <w:i/>
                <w:iCs/>
                <w:color w:val="6B7A8D"/>
                <w:sz w:val="16"/>
                <w:szCs w:val="16"/>
              </w:rPr>
              <w:t xml:space="preserve">Outperformed in down market</w:t>
            </w:r>
          </w:p>
        </w:tc>
        <w:tc>
          <w:tcPr>
            <w:tcBorders>
              <w:top w:val="single" w:color="E2E8F0" w:sz="4"/>
              <w:left w:val="single" w:color="E2E8F0" w:sz="4"/>
              <w:bottom w:val="single" w:color="E2E8F0" w:sz="4"/>
              <w:right w:val="single" w:color="E2E8F0" w:sz="4"/>
            </w:tcBorders>
            <w:shd w:fill="F0F4F8" w:val="clear"/>
            <w:tcMar>
              <w:top w:type="dxa" w:w="120"/>
              <w:left w:type="dxa" w:w="160"/>
              <w:bottom w:type="dxa" w:w="120"/>
              <w:right w:type="dxa" w:w="160"/>
            </w:tcMar>
          </w:tcPr>
          <w:p>
            <w:r>
              <w:rPr>
                <w:rFonts w:ascii="Calibri" w:cs="Calibri" w:eastAsia="Calibri" w:hAnsi="Calibri"/>
                <w:b/>
                <w:bCs/>
                <w:color w:val="E07B39"/>
                <w:sz w:val="44"/>
                <w:szCs w:val="44"/>
              </w:rPr>
              <w:t xml:space="preserve">-7.08%</w:t>
            </w:r>
          </w:p>
          <w:p>
            <w:r>
              <w:rPr>
                <w:rFonts w:ascii="Calibri" w:cs="Calibri" w:eastAsia="Calibri" w:hAnsi="Calibri"/>
                <w:b/>
                <w:bCs/>
                <w:color w:val="0F1419"/>
                <w:sz w:val="17"/>
                <w:szCs w:val="17"/>
              </w:rPr>
              <w:t xml:space="preserve">Maximum drawdown</w:t>
            </w:r>
          </w:p>
          <w:p>
            <w:r>
              <w:rPr>
                <w:rFonts w:ascii="Calibri" w:cs="Calibri" w:eastAsia="Calibri" w:hAnsi="Calibri"/>
                <w:i/>
                <w:iCs/>
                <w:color w:val="6B7A8D"/>
                <w:sz w:val="16"/>
                <w:szCs w:val="16"/>
              </w:rPr>
              <w:t xml:space="preserve">vs -11.2% for benchmark</w:t>
            </w:r>
          </w:p>
        </w:tc>
        <w:tc>
          <w:tcPr>
            <w:tcBorders>
              <w:top w:val="single" w:color="E2E8F0" w:sz="4"/>
              <w:left w:val="single" w:color="E2E8F0" w:sz="4"/>
              <w:bottom w:val="single" w:color="E2E8F0" w:sz="4"/>
              <w:right w:val="single" w:color="E2E8F0" w:sz="4"/>
            </w:tcBorders>
            <w:shd w:fill="F0F4F8" w:val="clear"/>
            <w:tcMar>
              <w:top w:type="dxa" w:w="120"/>
              <w:left w:type="dxa" w:w="160"/>
              <w:bottom w:type="dxa" w:w="120"/>
              <w:right w:type="dxa" w:w="160"/>
            </w:tcMar>
          </w:tcPr>
          <w:p>
            <w:r>
              <w:rPr>
                <w:rFonts w:ascii="Calibri" w:cs="Calibri" w:eastAsia="Calibri" w:hAnsi="Calibri"/>
                <w:b/>
                <w:bCs/>
                <w:color w:val="0F1419"/>
                <w:sz w:val="44"/>
                <w:szCs w:val="44"/>
              </w:rPr>
              <w:t xml:space="preserve">#1</w:t>
            </w:r>
          </w:p>
          <w:p>
            <w:r>
              <w:rPr>
                <w:rFonts w:ascii="Calibri" w:cs="Calibri" w:eastAsia="Calibri" w:hAnsi="Calibri"/>
                <w:b/>
                <w:bCs/>
                <w:color w:val="0F1419"/>
                <w:sz w:val="17"/>
                <w:szCs w:val="17"/>
              </w:rPr>
              <w:t xml:space="preserve">Peer ranking — Q3 2024</w:t>
            </w:r>
          </w:p>
          <w:p>
            <w:r>
              <w:rPr>
                <w:rFonts w:ascii="Calibri" w:cs="Calibri" w:eastAsia="Calibri" w:hAnsi="Calibri"/>
                <w:i/>
                <w:iCs/>
                <w:color w:val="6B7A8D"/>
                <w:sz w:val="16"/>
                <w:szCs w:val="16"/>
              </w:rPr>
              <w:t xml:space="preserve">Best return of 6 peer funds</w:t>
            </w:r>
          </w:p>
        </w:tc>
      </w:tr>
    </w:tbl>
    <w:p>
      <w:pPr>
        <w:spacing w:before="120" w:after="0"/>
      </w:pPr>
    </w:p>
    <w:p>
      <w:r>
        <w:rPr>
          <w:rFonts w:ascii="Calibri" w:cs="Calibri" w:eastAsia="Calibri" w:hAnsi="Calibri"/>
          <w:i/>
          <w:iCs/>
          <w:color w:val="6B7A8D"/>
          <w:sz w:val="16"/>
          <w:szCs w:val="16"/>
        </w:rPr>
        <w:t xml:space="preserve">Prepared by: Suyash Thakuri, Financial Analyst  ·  Report date: October 2024  ·  For professional investor use only</w:t>
      </w:r>
    </w:p>
    <w:p>
      <w:r>
        <w:br w:type="page"/>
      </w:r>
    </w:p>
    <w:p>
      <w:pPr>
        <w:pBdr>
          <w:bottom w:val="single" w:color="1A6B4A" w:sz="8" w:space="4"/>
        </w:pBdr>
        <w:spacing w:before="280" w:after="80"/>
      </w:pPr>
      <w:r>
        <w:rPr>
          <w:rFonts w:ascii="Calibri" w:cs="Calibri" w:eastAsia="Calibri" w:hAnsi="Calibri"/>
          <w:b/>
          <w:bCs/>
          <w:color w:val="1A6B4A"/>
          <w:sz w:val="22"/>
          <w:szCs w:val="22"/>
        </w:rPr>
        <w:t xml:space="preserve">1. MARKET OVERVIEW — Q3 2024</w:t>
      </w:r>
    </w:p>
    <w:p>
      <w:pPr>
        <w:spacing w:before="50" w:after="50"/>
      </w:pPr>
      <w:r>
        <w:rPr>
          <w:rFonts w:ascii="Calibri" w:cs="Calibri" w:eastAsia="Calibri" w:hAnsi="Calibri"/>
          <w:color w:val="3D4A5A"/>
          <w:sz w:val="19"/>
          <w:szCs w:val="19"/>
        </w:rPr>
        <w:t xml:space="preserve">The September quarter proved challenging for Australian equities, with the </w:t>
      </w:r>
      <w:r>
        <w:rPr>
          <w:rFonts w:ascii="Calibri" w:cs="Calibri" w:eastAsia="Calibri" w:hAnsi="Calibri"/>
          <w:b/>
          <w:bCs/>
          <w:color w:val="0F1419"/>
          <w:sz w:val="19"/>
          <w:szCs w:val="19"/>
        </w:rPr>
        <w:t xml:space="preserve">ASX 200 Total Return Index declining -8.12%</w:t>
      </w:r>
      <w:r>
        <w:rPr>
          <w:rFonts w:ascii="Calibri" w:cs="Calibri" w:eastAsia="Calibri" w:hAnsi="Calibri"/>
          <w:color w:val="3D4A5A"/>
          <w:sz w:val="19"/>
          <w:szCs w:val="19"/>
        </w:rPr>
        <w:t xml:space="preserve"> over the period. The quarter was characterised by persistent inflationary pressures, a hawkish RBA tone, and a significant sell-off in the materials sector driven by declining iron ore prices as Chinese economic data disappointed.</w:t>
      </w:r>
    </w:p>
    <w:p>
      <w:pPr>
        <w:spacing w:before="40" w:after="0"/>
      </w:pPr>
    </w:p>
    <w:p>
      <w:pPr>
        <w:spacing w:before="50" w:after="50"/>
      </w:pPr>
      <w:r>
        <w:rPr>
          <w:rFonts w:ascii="Calibri" w:cs="Calibri" w:eastAsia="Calibri" w:hAnsi="Calibri"/>
          <w:color w:val="3D4A5A"/>
          <w:sz w:val="19"/>
          <w:szCs w:val="19"/>
        </w:rPr>
        <w:t xml:space="preserve"/>
      </w:r>
      <w:r>
        <w:rPr>
          <w:rFonts w:ascii="Calibri" w:cs="Calibri" w:eastAsia="Calibri" w:hAnsi="Calibri"/>
          <w:b/>
          <w:bCs/>
          <w:color w:val="0F1419"/>
          <w:sz w:val="19"/>
          <w:szCs w:val="19"/>
        </w:rPr>
        <w:t xml:space="preserve">Key macro themes during Q3 2024:</w:t>
      </w:r>
      <w:r>
        <w:rPr>
          <w:rFonts w:ascii="Calibri" w:cs="Calibri" w:eastAsia="Calibri" w:hAnsi="Calibri"/>
          <w:color w:val="3D4A5A"/>
          <w:sz w:val="19"/>
          <w:szCs w:val="19"/>
        </w:rPr>
        <w:t xml:space="preserve"/>
      </w:r>
    </w:p>
    <w:p>
      <w:pPr>
        <w:pStyle w:val="ListParagraph"/>
        <w:numPr>
          <w:ilvl w:val="0"/>
          <w:numId w:val="2"/>
        </w:numPr>
        <w:spacing w:before="40" w:after="40"/>
      </w:pPr>
      <w:r>
        <w:rPr>
          <w:rFonts w:ascii="Calibri" w:cs="Calibri" w:eastAsia="Calibri" w:hAnsi="Calibri"/>
          <w:color w:val="3D4A5A"/>
          <w:sz w:val="19"/>
          <w:szCs w:val="19"/>
        </w:rPr>
        <w:t xml:space="preserve"/>
      </w:r>
      <w:r>
        <w:rPr>
          <w:rFonts w:ascii="Calibri" w:cs="Calibri" w:eastAsia="Calibri" w:hAnsi="Calibri"/>
          <w:b/>
          <w:bCs/>
          <w:color w:val="0F1419"/>
          <w:sz w:val="19"/>
          <w:szCs w:val="19"/>
        </w:rPr>
        <w:t xml:space="preserve">RBA policy:</w:t>
      </w:r>
      <w:r>
        <w:rPr>
          <w:rFonts w:ascii="Calibri" w:cs="Calibri" w:eastAsia="Calibri" w:hAnsi="Calibri"/>
          <w:color w:val="3D4A5A"/>
          <w:sz w:val="19"/>
          <w:szCs w:val="19"/>
        </w:rPr>
        <w:t xml:space="preserve"> The Reserve Bank of Australia held the cash rate steady at 4.35% throughout the quarter, maintaining a cautious stance as inflation remained above the 2–3% target band</w:t>
      </w:r>
    </w:p>
    <w:p>
      <w:pPr>
        <w:pStyle w:val="ListParagraph"/>
        <w:numPr>
          <w:ilvl w:val="0"/>
          <w:numId w:val="2"/>
        </w:numPr>
        <w:spacing w:before="40" w:after="40"/>
      </w:pPr>
      <w:r>
        <w:rPr>
          <w:rFonts w:ascii="Calibri" w:cs="Calibri" w:eastAsia="Calibri" w:hAnsi="Calibri"/>
          <w:color w:val="3D4A5A"/>
          <w:sz w:val="19"/>
          <w:szCs w:val="19"/>
        </w:rPr>
        <w:t xml:space="preserve"/>
      </w:r>
      <w:r>
        <w:rPr>
          <w:rFonts w:ascii="Calibri" w:cs="Calibri" w:eastAsia="Calibri" w:hAnsi="Calibri"/>
          <w:b/>
          <w:bCs/>
          <w:color w:val="0F1419"/>
          <w:sz w:val="19"/>
          <w:szCs w:val="19"/>
        </w:rPr>
        <w:t xml:space="preserve">Iron ore weakness:</w:t>
      </w:r>
      <w:r>
        <w:rPr>
          <w:rFonts w:ascii="Calibri" w:cs="Calibri" w:eastAsia="Calibri" w:hAnsi="Calibri"/>
          <w:color w:val="3D4A5A"/>
          <w:sz w:val="19"/>
          <w:szCs w:val="19"/>
        </w:rPr>
        <w:t xml:space="preserve"> Iron ore spot prices declined approximately 25% over the quarter as Chinese steel demand softened, weighing heavily on BHP, Rio Tinto, and Fortescue</w:t>
      </w:r>
    </w:p>
    <w:p>
      <w:pPr>
        <w:pStyle w:val="ListParagraph"/>
        <w:numPr>
          <w:ilvl w:val="0"/>
          <w:numId w:val="2"/>
        </w:numPr>
        <w:spacing w:before="40" w:after="40"/>
      </w:pPr>
      <w:r>
        <w:rPr>
          <w:rFonts w:ascii="Calibri" w:cs="Calibri" w:eastAsia="Calibri" w:hAnsi="Calibri"/>
          <w:color w:val="3D4A5A"/>
          <w:sz w:val="19"/>
          <w:szCs w:val="19"/>
        </w:rPr>
        <w:t xml:space="preserve"/>
      </w:r>
      <w:r>
        <w:rPr>
          <w:rFonts w:ascii="Calibri" w:cs="Calibri" w:eastAsia="Calibri" w:hAnsi="Calibri"/>
          <w:b/>
          <w:bCs/>
          <w:color w:val="0F1419"/>
          <w:sz w:val="19"/>
          <w:szCs w:val="19"/>
        </w:rPr>
        <w:t xml:space="preserve">Technology outperformance:</w:t>
      </w:r>
      <w:r>
        <w:rPr>
          <w:rFonts w:ascii="Calibri" w:cs="Calibri" w:eastAsia="Calibri" w:hAnsi="Calibri"/>
          <w:color w:val="3D4A5A"/>
          <w:sz w:val="19"/>
          <w:szCs w:val="19"/>
        </w:rPr>
        <w:t xml:space="preserve"> ASX-listed technology companies — particularly WiseTech Global and Xero — benefited from resilient earnings and sector rotation away from commodities</w:t>
      </w:r>
    </w:p>
    <w:p>
      <w:pPr>
        <w:pStyle w:val="ListParagraph"/>
        <w:numPr>
          <w:ilvl w:val="0"/>
          <w:numId w:val="2"/>
        </w:numPr>
        <w:spacing w:before="40" w:after="40"/>
      </w:pPr>
      <w:r>
        <w:rPr>
          <w:rFonts w:ascii="Calibri" w:cs="Calibri" w:eastAsia="Calibri" w:hAnsi="Calibri"/>
          <w:color w:val="3D4A5A"/>
          <w:sz w:val="19"/>
          <w:szCs w:val="19"/>
        </w:rPr>
        <w:t xml:space="preserve"/>
      </w:r>
      <w:r>
        <w:rPr>
          <w:rFonts w:ascii="Calibri" w:cs="Calibri" w:eastAsia="Calibri" w:hAnsi="Calibri"/>
          <w:b/>
          <w:bCs/>
          <w:color w:val="0F1419"/>
          <w:sz w:val="19"/>
          <w:szCs w:val="19"/>
        </w:rPr>
        <w:t xml:space="preserve">Consumer resilience:</w:t>
      </w:r>
      <w:r>
        <w:rPr>
          <w:rFonts w:ascii="Calibri" w:cs="Calibri" w:eastAsia="Calibri" w:hAnsi="Calibri"/>
          <w:color w:val="3D4A5A"/>
          <w:sz w:val="19"/>
          <w:szCs w:val="19"/>
        </w:rPr>
        <w:t xml:space="preserve"> Despite elevated interest rates, Australian consumer spending data surprised to the upside, supporting Wesfarmers and other consumer discretionary holdings</w:t>
      </w:r>
    </w:p>
    <w:p>
      <w:pPr>
        <w:pStyle w:val="ListParagraph"/>
        <w:numPr>
          <w:ilvl w:val="0"/>
          <w:numId w:val="2"/>
        </w:numPr>
        <w:spacing w:before="40" w:after="40"/>
      </w:pPr>
      <w:r>
        <w:rPr>
          <w:rFonts w:ascii="Calibri" w:cs="Calibri" w:eastAsia="Calibri" w:hAnsi="Calibri"/>
          <w:color w:val="3D4A5A"/>
          <w:sz w:val="19"/>
          <w:szCs w:val="19"/>
        </w:rPr>
        <w:t xml:space="preserve"/>
      </w:r>
      <w:r>
        <w:rPr>
          <w:rFonts w:ascii="Calibri" w:cs="Calibri" w:eastAsia="Calibri" w:hAnsi="Calibri"/>
          <w:b/>
          <w:bCs/>
          <w:color w:val="0F1419"/>
          <w:sz w:val="19"/>
          <w:szCs w:val="19"/>
        </w:rPr>
        <w:t xml:space="preserve">Healthcare defensive bid:</w:t>
      </w:r>
      <w:r>
        <w:rPr>
          <w:rFonts w:ascii="Calibri" w:cs="Calibri" w:eastAsia="Calibri" w:hAnsi="Calibri"/>
          <w:color w:val="3D4A5A"/>
          <w:sz w:val="19"/>
          <w:szCs w:val="19"/>
        </w:rPr>
        <w:t xml:space="preserve"> Investors rotated into defensive healthcare names during the August equity sell-off, supporting CSL and other large-cap healthcare positions</w:t>
      </w:r>
    </w:p>
    <w:p>
      <w:pPr>
        <w:spacing w:before="80" w:after="0"/>
      </w:pPr>
    </w:p>
    <w:p>
      <w:pPr>
        <w:pBdr>
          <w:bottom w:val="single" w:color="1A6B4A" w:sz="8" w:space="4"/>
        </w:pBdr>
        <w:spacing w:before="280" w:after="80"/>
      </w:pPr>
      <w:r>
        <w:rPr>
          <w:rFonts w:ascii="Calibri" w:cs="Calibri" w:eastAsia="Calibri" w:hAnsi="Calibri"/>
          <w:b/>
          <w:bCs/>
          <w:color w:val="1A6B4A"/>
          <w:sz w:val="22"/>
          <w:szCs w:val="22"/>
        </w:rPr>
        <w:t xml:space="preserve">2. FUND PERFORMANCE</w:t>
      </w:r>
    </w:p>
    <w:p>
      <w:pPr>
        <w:spacing w:before="200" w:after="60"/>
      </w:pPr>
      <w:r>
        <w:rPr>
          <w:rFonts w:ascii="Calibri" w:cs="Calibri" w:eastAsia="Calibri" w:hAnsi="Calibri"/>
          <w:b/>
          <w:bCs/>
          <w:color w:val="0F1419"/>
          <w:sz w:val="21"/>
          <w:szCs w:val="21"/>
        </w:rPr>
        <w:t xml:space="preserve">2.1 Quarterly Return vs Benchmark</w:t>
      </w:r>
    </w:p>
    <w:p>
      <w:pPr>
        <w:spacing w:before="50" w:after="50"/>
      </w:pPr>
      <w:r>
        <w:rPr>
          <w:rFonts w:ascii="Calibri" w:cs="Calibri" w:eastAsia="Calibri" w:hAnsi="Calibri"/>
          <w:color w:val="3D4A5A"/>
          <w:sz w:val="19"/>
          <w:szCs w:val="19"/>
        </w:rPr>
        <w:t xml:space="preserve">The </w:t>
      </w:r>
      <w:r>
        <w:rPr>
          <w:rFonts w:ascii="Calibri" w:cs="Calibri" w:eastAsia="Calibri" w:hAnsi="Calibri"/>
          <w:b/>
          <w:bCs/>
          <w:color w:val="0F1419"/>
          <w:sz w:val="19"/>
          <w:szCs w:val="19"/>
        </w:rPr>
        <w:t xml:space="preserve">NMB Australia Growth Fund returned -3.02%</w:t>
      </w:r>
      <w:r>
        <w:rPr>
          <w:rFonts w:ascii="Calibri" w:cs="Calibri" w:eastAsia="Calibri" w:hAnsi="Calibri"/>
          <w:color w:val="3D4A5A"/>
          <w:sz w:val="19"/>
          <w:szCs w:val="19"/>
        </w:rPr>
        <w:t xml:space="preserve"> in Q3 2024, </w:t>
      </w:r>
      <w:r>
        <w:rPr>
          <w:rFonts w:ascii="Calibri" w:cs="Calibri" w:eastAsia="Calibri" w:hAnsi="Calibri"/>
          <w:b/>
          <w:bCs/>
          <w:color w:val="0F1419"/>
          <w:sz w:val="19"/>
          <w:szCs w:val="19"/>
        </w:rPr>
        <w:t xml:space="preserve">outperforming the ASX 200 Total Return Index by +5.10 percentage points</w:t>
      </w:r>
      <w:r>
        <w:rPr>
          <w:rFonts w:ascii="Calibri" w:cs="Calibri" w:eastAsia="Calibri" w:hAnsi="Calibri"/>
          <w:color w:val="3D4A5A"/>
          <w:sz w:val="19"/>
          <w:szCs w:val="19"/>
        </w:rPr>
        <w:t xml:space="preserve">. This represents strong relative performance delivered in a difficult market environment — the fund preserved capital materially better than the benchmark while maintaining meaningful equity exposure.</w:t>
      </w:r>
    </w:p>
    <w:p>
      <w:pPr>
        <w:spacing w:before="40" w:after="0"/>
      </w:pPr>
    </w:p>
    <w:p>
      <w:pPr>
        <w:spacing w:before="50" w:after="50"/>
      </w:pPr>
      <w:r>
        <w:rPr>
          <w:rFonts w:ascii="Calibri" w:cs="Calibri" w:eastAsia="Calibri" w:hAnsi="Calibri"/>
          <w:color w:val="3D4A5A"/>
          <w:sz w:val="19"/>
          <w:szCs w:val="19"/>
        </w:rPr>
        <w:t xml:space="preserve">The outperformance was driven primarily by </w:t>
      </w:r>
      <w:r>
        <w:rPr>
          <w:rFonts w:ascii="Calibri" w:cs="Calibri" w:eastAsia="Calibri" w:hAnsi="Calibri"/>
          <w:b/>
          <w:bCs/>
          <w:color w:val="0F1419"/>
          <w:sz w:val="19"/>
          <w:szCs w:val="19"/>
        </w:rPr>
        <w:t xml:space="preserve">underweight positioning in Materials</w:t>
      </w:r>
      <w:r>
        <w:rPr>
          <w:rFonts w:ascii="Calibri" w:cs="Calibri" w:eastAsia="Calibri" w:hAnsi="Calibri"/>
          <w:color w:val="3D4A5A"/>
          <w:sz w:val="19"/>
          <w:szCs w:val="19"/>
        </w:rPr>
        <w:t xml:space="preserve"> (which declined -11.95% during the quarter) and </w:t>
      </w:r>
      <w:r>
        <w:rPr>
          <w:rFonts w:ascii="Calibri" w:cs="Calibri" w:eastAsia="Calibri" w:hAnsi="Calibri"/>
          <w:b/>
          <w:bCs/>
          <w:color w:val="0F1419"/>
          <w:sz w:val="19"/>
          <w:szCs w:val="19"/>
        </w:rPr>
        <w:t xml:space="preserve">strong stock selection in Technology and Consumer Discretionary</w:t>
      </w:r>
      <w:r>
        <w:rPr>
          <w:rFonts w:ascii="Calibri" w:cs="Calibri" w:eastAsia="Calibri" w:hAnsi="Calibri"/>
          <w:color w:val="3D4A5A"/>
          <w:sz w:val="19"/>
          <w:szCs w:val="19"/>
        </w:rPr>
        <w:t xml:space="preserve">. The fund's overweight to Healthcare provided partial protection during the August market correction.</w:t>
      </w:r>
    </w:p>
    <w:p>
      <w:pPr>
        <w:spacing w:before="4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1746"/>
        <w:gridCol w:w="1746"/>
        <w:gridCol w:w="1746"/>
        <w:gridCol w:w="1508"/>
      </w:tblGrid>
      <w:tr>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Performance</w:t>
            </w:r>
          </w:p>
        </w:tc>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Q3 2024</w:t>
            </w:r>
          </w:p>
        </w:tc>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1 Year</w:t>
            </w:r>
          </w:p>
        </w:tc>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3 Year (ann.)</w:t>
            </w:r>
          </w:p>
        </w:tc>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Since inception</w:t>
            </w:r>
          </w:p>
        </w:tc>
      </w:tr>
      <w:tr>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left"/>
            </w:pPr>
            <w:r>
              <w:rPr>
                <w:rFonts w:ascii="Calibri" w:cs="Calibri" w:eastAsia="Calibri" w:hAnsi="Calibri"/>
                <w:b/>
                <w:bCs/>
                <w:color w:val="0F1419"/>
                <w:sz w:val="18"/>
                <w:szCs w:val="18"/>
              </w:rPr>
              <w:t xml:space="preserve">NMB Australia Growth Fund</w:t>
            </w:r>
          </w:p>
        </w:tc>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center"/>
            </w:pPr>
            <w:r>
              <w:rPr>
                <w:rFonts w:ascii="Calibri" w:cs="Calibri" w:eastAsia="Calibri" w:hAnsi="Calibri"/>
                <w:b/>
                <w:bCs/>
                <w:color w:val="1A6B4A"/>
                <w:sz w:val="18"/>
                <w:szCs w:val="18"/>
              </w:rPr>
              <w:t xml:space="preserve">-3.02%</w:t>
            </w:r>
          </w:p>
        </w:tc>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center"/>
            </w:pPr>
            <w:r>
              <w:rPr>
                <w:rFonts w:ascii="Calibri" w:cs="Calibri" w:eastAsia="Calibri" w:hAnsi="Calibri"/>
                <w:b w:val="false"/>
                <w:bCs w:val="false"/>
                <w:color w:val="0F1419"/>
                <w:sz w:val="18"/>
                <w:szCs w:val="18"/>
              </w:rPr>
              <w:t xml:space="preserve">+11.8%</w:t>
            </w:r>
          </w:p>
        </w:tc>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center"/>
            </w:pPr>
            <w:r>
              <w:rPr>
                <w:rFonts w:ascii="Calibri" w:cs="Calibri" w:eastAsia="Calibri" w:hAnsi="Calibri"/>
                <w:b w:val="false"/>
                <w:bCs w:val="false"/>
                <w:color w:val="0F1419"/>
                <w:sz w:val="18"/>
                <w:szCs w:val="18"/>
              </w:rPr>
              <w:t xml:space="preserve">+9.6%</w:t>
            </w:r>
          </w:p>
        </w:tc>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center"/>
            </w:pPr>
            <w:r>
              <w:rPr>
                <w:rFonts w:ascii="Calibri" w:cs="Calibri" w:eastAsia="Calibri" w:hAnsi="Calibri"/>
                <w:b w:val="false"/>
                <w:bCs w:val="false"/>
                <w:color w:val="0F1419"/>
                <w:sz w:val="18"/>
                <w:szCs w:val="18"/>
              </w:rPr>
              <w:t xml:space="preserve">+8.4%</w:t>
            </w:r>
          </w:p>
        </w:tc>
      </w:tr>
      <w:tr>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ASX 200 Total Return Index</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center"/>
            </w:pPr>
            <w:r>
              <w:rPr>
                <w:rFonts w:ascii="Calibri" w:cs="Calibri" w:eastAsia="Calibri" w:hAnsi="Calibri"/>
                <w:b/>
                <w:bCs/>
                <w:color w:val="C0392B"/>
                <w:sz w:val="18"/>
                <w:szCs w:val="18"/>
              </w:rPr>
              <w:t xml:space="preserve">-8.12%</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0F1419"/>
                <w:sz w:val="18"/>
                <w:szCs w:val="18"/>
              </w:rPr>
              <w:t xml:space="preserve">+10.8%</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0F1419"/>
                <w:sz w:val="18"/>
                <w:szCs w:val="18"/>
              </w:rPr>
              <w:t xml:space="preserve">+8.5%</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0F1419"/>
                <w:sz w:val="18"/>
                <w:szCs w:val="18"/>
              </w:rPr>
              <w:t xml:space="preserve">+7.2%</w:t>
            </w:r>
          </w:p>
        </w:tc>
      </w:tr>
      <w:tr>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bCs/>
                <w:color w:val="0F1419"/>
                <w:sz w:val="18"/>
                <w:szCs w:val="18"/>
              </w:rPr>
              <w:t xml:space="preserve">Active return (alpha)</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center"/>
            </w:pPr>
            <w:r>
              <w:rPr>
                <w:rFonts w:ascii="Calibri" w:cs="Calibri" w:eastAsia="Calibri" w:hAnsi="Calibri"/>
                <w:b/>
                <w:bCs/>
                <w:color w:val="1A6B4A"/>
                <w:sz w:val="18"/>
                <w:szCs w:val="18"/>
              </w:rPr>
              <w:t xml:space="preserve">+5.10%</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center"/>
            </w:pPr>
            <w:r>
              <w:rPr>
                <w:rFonts w:ascii="Calibri" w:cs="Calibri" w:eastAsia="Calibri" w:hAnsi="Calibri"/>
                <w:b w:val="false"/>
                <w:bCs w:val="false"/>
                <w:color w:val="0F1419"/>
                <w:sz w:val="18"/>
                <w:szCs w:val="18"/>
              </w:rPr>
              <w:t xml:space="preserve">+1.0%</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center"/>
            </w:pPr>
            <w:r>
              <w:rPr>
                <w:rFonts w:ascii="Calibri" w:cs="Calibri" w:eastAsia="Calibri" w:hAnsi="Calibri"/>
                <w:b w:val="false"/>
                <w:bCs w:val="false"/>
                <w:color w:val="0F1419"/>
                <w:sz w:val="18"/>
                <w:szCs w:val="18"/>
              </w:rPr>
              <w:t xml:space="preserve">+1.1%</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center"/>
            </w:pPr>
            <w:r>
              <w:rPr>
                <w:rFonts w:ascii="Calibri" w:cs="Calibri" w:eastAsia="Calibri" w:hAnsi="Calibri"/>
                <w:b w:val="false"/>
                <w:bCs w:val="false"/>
                <w:color w:val="0F1419"/>
                <w:sz w:val="18"/>
                <w:szCs w:val="18"/>
              </w:rPr>
              <w:t xml:space="preserve">+1.2%</w:t>
            </w:r>
          </w:p>
        </w:tc>
      </w:tr>
    </w:tbl>
    <w:p>
      <w:pPr>
        <w:spacing w:before="120" w:after="0"/>
      </w:pPr>
    </w:p>
    <w:p>
      <w:pPr>
        <w:spacing w:before="200" w:after="60"/>
      </w:pPr>
      <w:r>
        <w:rPr>
          <w:rFonts w:ascii="Calibri" w:cs="Calibri" w:eastAsia="Calibri" w:hAnsi="Calibri"/>
          <w:b/>
          <w:bCs/>
          <w:color w:val="0F1419"/>
          <w:sz w:val="21"/>
          <w:szCs w:val="21"/>
        </w:rPr>
        <w:t xml:space="preserve">2.2 Key Performance Dates</w:t>
      </w:r>
    </w:p>
    <w:p>
      <w:pPr>
        <w:spacing w:before="50" w:after="50"/>
      </w:pPr>
      <w:r>
        <w:rPr>
          <w:rFonts w:ascii="Calibri" w:cs="Calibri" w:eastAsia="Calibri" w:hAnsi="Calibri"/>
          <w:color w:val="3D4A5A"/>
          <w:sz w:val="19"/>
          <w:szCs w:val="19"/>
        </w:rPr>
        <w:t xml:space="preserve">The quarter contained several notable market events that tested the portfolio's resilience:</w:t>
      </w:r>
    </w:p>
    <w:p>
      <w:pPr>
        <w:pStyle w:val="ListParagraph"/>
        <w:numPr>
          <w:ilvl w:val="0"/>
          <w:numId w:val="2"/>
        </w:numPr>
        <w:spacing w:before="40" w:after="40"/>
      </w:pPr>
      <w:r>
        <w:rPr>
          <w:rFonts w:ascii="Calibri" w:cs="Calibri" w:eastAsia="Calibri" w:hAnsi="Calibri"/>
          <w:color w:val="3D4A5A"/>
          <w:sz w:val="19"/>
          <w:szCs w:val="19"/>
        </w:rPr>
        <w:t xml:space="preserve"/>
      </w:r>
      <w:r>
        <w:rPr>
          <w:rFonts w:ascii="Calibri" w:cs="Calibri" w:eastAsia="Calibri" w:hAnsi="Calibri"/>
          <w:b/>
          <w:bCs/>
          <w:color w:val="0F1419"/>
          <w:sz w:val="19"/>
          <w:szCs w:val="19"/>
        </w:rPr>
        <w:t xml:space="preserve">Mid-July (Day 10):</w:t>
      </w:r>
      <w:r>
        <w:rPr>
          <w:rFonts w:ascii="Calibri" w:cs="Calibri" w:eastAsia="Calibri" w:hAnsi="Calibri"/>
          <w:color w:val="3D4A5A"/>
          <w:sz w:val="19"/>
          <w:szCs w:val="19"/>
        </w:rPr>
        <w:t xml:space="preserve"> ASX 200 fell -1.85% on global risk-off sentiment. Fund fell -1.42% — materials underweight provided meaningful protection</w:t>
      </w:r>
    </w:p>
    <w:p>
      <w:pPr>
        <w:pStyle w:val="ListParagraph"/>
        <w:numPr>
          <w:ilvl w:val="0"/>
          <w:numId w:val="2"/>
        </w:numPr>
        <w:spacing w:before="40" w:after="40"/>
      </w:pPr>
      <w:r>
        <w:rPr>
          <w:rFonts w:ascii="Calibri" w:cs="Calibri" w:eastAsia="Calibri" w:hAnsi="Calibri"/>
          <w:color w:val="3D4A5A"/>
          <w:sz w:val="19"/>
          <w:szCs w:val="19"/>
        </w:rPr>
        <w:t xml:space="preserve"/>
      </w:r>
      <w:r>
        <w:rPr>
          <w:rFonts w:ascii="Calibri" w:cs="Calibri" w:eastAsia="Calibri" w:hAnsi="Calibri"/>
          <w:b/>
          <w:bCs/>
          <w:color w:val="0F1419"/>
          <w:sz w:val="19"/>
          <w:szCs w:val="19"/>
        </w:rPr>
        <w:t xml:space="preserve">Late July (Day 25):</w:t>
      </w:r>
      <w:r>
        <w:rPr>
          <w:rFonts w:ascii="Calibri" w:cs="Calibri" w:eastAsia="Calibri" w:hAnsi="Calibri"/>
          <w:color w:val="3D4A5A"/>
          <w:sz w:val="19"/>
          <w:szCs w:val="19"/>
        </w:rPr>
        <w:t xml:space="preserve"> Market bounced +1.42% on improved US CPI data. Fund captured +1.38% of the upside</w:t>
      </w:r>
    </w:p>
    <w:p>
      <w:pPr>
        <w:pStyle w:val="ListParagraph"/>
        <w:numPr>
          <w:ilvl w:val="0"/>
          <w:numId w:val="2"/>
        </w:numPr>
        <w:spacing w:before="40" w:after="40"/>
      </w:pPr>
      <w:r>
        <w:rPr>
          <w:rFonts w:ascii="Calibri" w:cs="Calibri" w:eastAsia="Calibri" w:hAnsi="Calibri"/>
          <w:color w:val="3D4A5A"/>
          <w:sz w:val="19"/>
          <w:szCs w:val="19"/>
        </w:rPr>
        <w:t xml:space="preserve"/>
      </w:r>
      <w:r>
        <w:rPr>
          <w:rFonts w:ascii="Calibri" w:cs="Calibri" w:eastAsia="Calibri" w:hAnsi="Calibri"/>
          <w:b/>
          <w:bCs/>
          <w:color w:val="0F1419"/>
          <w:sz w:val="19"/>
          <w:szCs w:val="19"/>
        </w:rPr>
        <w:t xml:space="preserve">August correction (Day 38):</w:t>
      </w:r>
      <w:r>
        <w:rPr>
          <w:rFonts w:ascii="Calibri" w:cs="Calibri" w:eastAsia="Calibri" w:hAnsi="Calibri"/>
          <w:color w:val="3D4A5A"/>
          <w:sz w:val="19"/>
          <w:szCs w:val="19"/>
        </w:rPr>
        <w:t xml:space="preserve"> Sharpest single-day decline of -2.20% for the benchmark. Fund fell -1.85% — healthcare overweight absorbed approximately 35 basis points of protection</w:t>
      </w:r>
    </w:p>
    <w:p>
      <w:pPr>
        <w:pStyle w:val="ListParagraph"/>
        <w:numPr>
          <w:ilvl w:val="0"/>
          <w:numId w:val="2"/>
        </w:numPr>
        <w:spacing w:before="40" w:after="40"/>
      </w:pPr>
      <w:r>
        <w:rPr>
          <w:rFonts w:ascii="Calibri" w:cs="Calibri" w:eastAsia="Calibri" w:hAnsi="Calibri"/>
          <w:color w:val="3D4A5A"/>
          <w:sz w:val="19"/>
          <w:szCs w:val="19"/>
        </w:rPr>
        <w:t xml:space="preserve"/>
      </w:r>
      <w:r>
        <w:rPr>
          <w:rFonts w:ascii="Calibri" w:cs="Calibri" w:eastAsia="Calibri" w:hAnsi="Calibri"/>
          <w:b/>
          <w:bCs/>
          <w:color w:val="0F1419"/>
          <w:sz w:val="19"/>
          <w:szCs w:val="19"/>
        </w:rPr>
        <w:t xml:space="preserve">September (Day 55):</w:t>
      </w:r>
      <w:r>
        <w:rPr>
          <w:rFonts w:ascii="Calibri" w:cs="Calibri" w:eastAsia="Calibri" w:hAnsi="Calibri"/>
          <w:color w:val="3D4A5A"/>
          <w:sz w:val="19"/>
          <w:szCs w:val="19"/>
        </w:rPr>
        <w:t xml:space="preserve"> Ongoing materials weakness weighed on the benchmark (-0.95%). Fund outperformed by +0.41% on the day driven by technology positioning</w:t>
      </w:r>
    </w:p>
    <w:p>
      <w:pPr>
        <w:spacing w:before="80" w:after="0"/>
      </w:pPr>
    </w:p>
    <w:p>
      <w:r>
        <w:br w:type="page"/>
      </w:r>
    </w:p>
    <w:p>
      <w:pPr>
        <w:pBdr>
          <w:bottom w:val="single" w:color="1A6B4A" w:sz="8" w:space="4"/>
        </w:pBdr>
        <w:spacing w:before="280" w:after="80"/>
      </w:pPr>
      <w:r>
        <w:rPr>
          <w:rFonts w:ascii="Calibri" w:cs="Calibri" w:eastAsia="Calibri" w:hAnsi="Calibri"/>
          <w:b/>
          <w:bCs/>
          <w:color w:val="1A6B4A"/>
          <w:sz w:val="22"/>
          <w:szCs w:val="22"/>
        </w:rPr>
        <w:t xml:space="preserve">3. ATTRIBUTION ANALYSIS</w:t>
      </w:r>
    </w:p>
    <w:p>
      <w:pPr>
        <w:spacing w:before="200" w:after="60"/>
      </w:pPr>
      <w:r>
        <w:rPr>
          <w:rFonts w:ascii="Calibri" w:cs="Calibri" w:eastAsia="Calibri" w:hAnsi="Calibri"/>
          <w:b/>
          <w:bCs/>
          <w:color w:val="0F1419"/>
          <w:sz w:val="21"/>
          <w:szCs w:val="21"/>
        </w:rPr>
        <w:t xml:space="preserve">3.1 Sector Attribution</w:t>
      </w:r>
    </w:p>
    <w:p>
      <w:pPr>
        <w:spacing w:before="50" w:after="50"/>
      </w:pPr>
      <w:r>
        <w:rPr>
          <w:rFonts w:ascii="Calibri" w:cs="Calibri" w:eastAsia="Calibri" w:hAnsi="Calibri"/>
          <w:color w:val="3D4A5A"/>
          <w:sz w:val="19"/>
          <w:szCs w:val="19"/>
        </w:rPr>
        <w:t xml:space="preserve">The Brinson-Hood-Beebower attribution model decomposes the fund's outperformance into two effects: </w:t>
      </w:r>
      <w:r>
        <w:rPr>
          <w:rFonts w:ascii="Calibri" w:cs="Calibri" w:eastAsia="Calibri" w:hAnsi="Calibri"/>
          <w:b/>
          <w:bCs/>
          <w:color w:val="0F1419"/>
          <w:sz w:val="19"/>
          <w:szCs w:val="19"/>
        </w:rPr>
        <w:t xml:space="preserve">allocation effect</w:t>
      </w:r>
      <w:r>
        <w:rPr>
          <w:rFonts w:ascii="Calibri" w:cs="Calibri" w:eastAsia="Calibri" w:hAnsi="Calibri"/>
          <w:color w:val="3D4A5A"/>
          <w:sz w:val="19"/>
          <w:szCs w:val="19"/>
        </w:rPr>
        <w:t xml:space="preserve"> (the benefit of overweighting/underweighting sectors) and </w:t>
      </w:r>
      <w:r>
        <w:rPr>
          <w:rFonts w:ascii="Calibri" w:cs="Calibri" w:eastAsia="Calibri" w:hAnsi="Calibri"/>
          <w:b/>
          <w:bCs/>
          <w:color w:val="0F1419"/>
          <w:sz w:val="19"/>
          <w:szCs w:val="19"/>
        </w:rPr>
        <w:t xml:space="preserve">selection effect</w:t>
      </w:r>
      <w:r>
        <w:rPr>
          <w:rFonts w:ascii="Calibri" w:cs="Calibri" w:eastAsia="Calibri" w:hAnsi="Calibri"/>
          <w:color w:val="3D4A5A"/>
          <w:sz w:val="19"/>
          <w:szCs w:val="19"/>
        </w:rPr>
        <w:t xml:space="preserve"> (the benefit of picking better stocks within sectors).</w:t>
      </w:r>
    </w:p>
    <w:p>
      <w:pPr>
        <w:spacing w:before="4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050"/>
        <w:gridCol w:w="1100"/>
        <w:gridCol w:w="1096"/>
      </w:tblGrid>
      <w:tr>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Sector</w:t>
            </w:r>
          </w:p>
        </w:tc>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Fund wt.</w:t>
            </w:r>
          </w:p>
        </w:tc>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Bench wt.</w:t>
            </w:r>
          </w:p>
        </w:tc>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Active wt.</w:t>
            </w:r>
          </w:p>
        </w:tc>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Sector ret.</w:t>
            </w:r>
          </w:p>
        </w:tc>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Attribution</w:t>
            </w:r>
          </w:p>
        </w:tc>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Driver</w:t>
            </w:r>
          </w:p>
        </w:tc>
      </w:tr>
      <w:tr>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bCs/>
                <w:color w:val="0F1419"/>
                <w:sz w:val="18"/>
                <w:szCs w:val="18"/>
              </w:rPr>
              <w:t xml:space="preserve">Financials</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22.6%</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28.8%</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center"/>
            </w:pPr>
            <w:r>
              <w:rPr>
                <w:rFonts w:ascii="Calibri" w:cs="Calibri" w:eastAsia="Calibri" w:hAnsi="Calibri"/>
                <w:b w:val="false"/>
                <w:bCs w:val="false"/>
                <w:color w:val="E07B39"/>
                <w:sz w:val="18"/>
                <w:szCs w:val="18"/>
              </w:rPr>
              <w:t xml:space="preserve">-6.2%</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-2.45%</w:t>
            </w:r>
          </w:p>
        </w:tc>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center"/>
            </w:pPr>
            <w:r>
              <w:rPr>
                <w:rFonts w:ascii="Calibri" w:cs="Calibri" w:eastAsia="Calibri" w:hAnsi="Calibri"/>
                <w:b/>
                <w:bCs/>
                <w:color w:val="1A6B4A"/>
                <w:sz w:val="18"/>
                <w:szCs w:val="18"/>
              </w:rPr>
              <w:t xml:space="preserve">+2.14%</w:t>
            </w:r>
          </w:p>
        </w:tc>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Allocation</w:t>
            </w:r>
          </w:p>
        </w:tc>
      </w:tr>
      <w:tr>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Consumer Disc</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6.2%</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6.8%</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-0.6%</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+9.99%</w:t>
            </w:r>
          </w:p>
        </w:tc>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center"/>
            </w:pPr>
            <w:r>
              <w:rPr>
                <w:rFonts w:ascii="Calibri" w:cs="Calibri" w:eastAsia="Calibri" w:hAnsi="Calibri"/>
                <w:b/>
                <w:bCs/>
                <w:color w:val="1A6B4A"/>
                <w:sz w:val="18"/>
                <w:szCs w:val="18"/>
              </w:rPr>
              <w:t xml:space="preserve">+1.28%</w:t>
            </w:r>
          </w:p>
        </w:tc>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Selection</w:t>
            </w:r>
          </w:p>
        </w:tc>
      </w:tr>
      <w:tr>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Consumer Staples</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4.5%</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5.8%</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-1.3%</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+5.77%</w:t>
            </w:r>
          </w:p>
        </w:tc>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center"/>
            </w:pPr>
            <w:r>
              <w:rPr>
                <w:rFonts w:ascii="Calibri" w:cs="Calibri" w:eastAsia="Calibri" w:hAnsi="Calibri"/>
                <w:b/>
                <w:bCs/>
                <w:color w:val="1A6B4A"/>
                <w:sz w:val="18"/>
                <w:szCs w:val="18"/>
              </w:rPr>
              <w:t xml:space="preserve">+0.91%</w:t>
            </w:r>
          </w:p>
        </w:tc>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Selection</w:t>
            </w:r>
          </w:p>
        </w:tc>
      </w:tr>
      <w:tr>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Telecoms</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3.8%</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3.8%</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0.0%</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-2.34%</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+0.22%</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Neutral</w:t>
            </w:r>
          </w:p>
        </w:tc>
      </w:tr>
      <w:tr>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Healthcare</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16.3%</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10.2%</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center"/>
            </w:pPr>
            <w:r>
              <w:rPr>
                <w:rFonts w:ascii="Calibri" w:cs="Calibri" w:eastAsia="Calibri" w:hAnsi="Calibri"/>
                <w:b w:val="false"/>
                <w:bCs w:val="false"/>
                <w:color w:val="1A6B4A"/>
                <w:sz w:val="18"/>
                <w:szCs w:val="18"/>
              </w:rPr>
              <w:t xml:space="preserve">+6.1%</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-2.51%</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+0.08%</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Mixed</w:t>
            </w:r>
          </w:p>
        </w:tc>
      </w:tr>
      <w:tr>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Technology</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10.9%</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4.8%</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6B4A"/>
                <w:sz w:val="18"/>
                <w:szCs w:val="18"/>
              </w:rPr>
              <w:t xml:space="preserve">+6.1%</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+2.56%</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+0.02%</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Selection</w:t>
            </w:r>
          </w:p>
        </w:tc>
      </w:tr>
      <w:tr>
        <w:tc>
          <w:tcPr>
            <w:tcBorders>
              <w:top w:val="single" w:color="E2E8F0" w:sz="4"/>
              <w:left w:val="single" w:color="E2E8F0" w:sz="4"/>
              <w:bottom w:val="single" w:color="E2E8F0" w:sz="4"/>
              <w:right w:val="single" w:color="E2E8F0" w:sz="4"/>
            </w:tcBorders>
            <w:shd w:fill="FDF2F2" w:val="clear"/>
            <w:tcMar>
              <w:top w:type="dxa" w:w="90"/>
              <w:left w:type="dxa" w:w="120"/>
              <w:bottom w:type="dxa" w:w="90"/>
              <w:right w:type="dxa" w:w="120"/>
            </w:tcMar>
            <w:vAlign w:val="center"/>
          </w:tcPr>
          <w:p>
            <w:pPr>
              <w:jc w:val="left"/>
            </w:pPr>
            <w:r>
              <w:rPr>
                <w:rFonts w:ascii="Calibri" w:cs="Calibri" w:eastAsia="Calibri" w:hAnsi="Calibri"/>
                <w:b/>
                <w:bCs/>
                <w:color w:val="0F1419"/>
                <w:sz w:val="18"/>
                <w:szCs w:val="18"/>
              </w:rPr>
              <w:t xml:space="preserve">Materials</w:t>
            </w:r>
          </w:p>
        </w:tc>
        <w:tc>
          <w:tcPr>
            <w:tcBorders>
              <w:top w:val="single" w:color="E2E8F0" w:sz="4"/>
              <w:left w:val="single" w:color="E2E8F0" w:sz="4"/>
              <w:bottom w:val="single" w:color="E2E8F0" w:sz="4"/>
              <w:right w:val="single" w:color="E2E8F0" w:sz="4"/>
            </w:tcBorders>
            <w:shd w:fill="FDF2F2"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20.5%</w:t>
            </w:r>
          </w:p>
        </w:tc>
        <w:tc>
          <w:tcPr>
            <w:tcBorders>
              <w:top w:val="single" w:color="E2E8F0" w:sz="4"/>
              <w:left w:val="single" w:color="E2E8F0" w:sz="4"/>
              <w:bottom w:val="single" w:color="E2E8F0" w:sz="4"/>
              <w:right w:val="single" w:color="E2E8F0" w:sz="4"/>
            </w:tcBorders>
            <w:shd w:fill="FDF2F2"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19.8%</w:t>
            </w:r>
          </w:p>
        </w:tc>
        <w:tc>
          <w:tcPr>
            <w:tcBorders>
              <w:top w:val="single" w:color="E2E8F0" w:sz="4"/>
              <w:left w:val="single" w:color="E2E8F0" w:sz="4"/>
              <w:bottom w:val="single" w:color="E2E8F0" w:sz="4"/>
              <w:right w:val="single" w:color="E2E8F0" w:sz="4"/>
            </w:tcBorders>
            <w:shd w:fill="FDF2F2"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+0.7%</w:t>
            </w:r>
          </w:p>
        </w:tc>
        <w:tc>
          <w:tcPr>
            <w:tcBorders>
              <w:top w:val="single" w:color="E2E8F0" w:sz="4"/>
              <w:left w:val="single" w:color="E2E8F0" w:sz="4"/>
              <w:bottom w:val="single" w:color="E2E8F0" w:sz="4"/>
              <w:right w:val="single" w:color="E2E8F0" w:sz="4"/>
            </w:tcBorders>
            <w:shd w:fill="FDF2F2" w:val="clear"/>
            <w:tcMar>
              <w:top w:type="dxa" w:w="90"/>
              <w:left w:type="dxa" w:w="120"/>
              <w:bottom w:type="dxa" w:w="90"/>
              <w:right w:type="dxa" w:w="120"/>
            </w:tcMar>
            <w:vAlign w:val="center"/>
          </w:tcPr>
          <w:p>
            <w:pPr>
              <w:jc w:val="center"/>
            </w:pPr>
            <w:r>
              <w:rPr>
                <w:rFonts w:ascii="Calibri" w:cs="Calibri" w:eastAsia="Calibri" w:hAnsi="Calibri"/>
                <w:b/>
                <w:bCs/>
                <w:color w:val="C0392B"/>
                <w:sz w:val="18"/>
                <w:szCs w:val="18"/>
              </w:rPr>
              <w:t xml:space="preserve">-11.95%</w:t>
            </w:r>
          </w:p>
        </w:tc>
        <w:tc>
          <w:tcPr>
            <w:tcBorders>
              <w:top w:val="single" w:color="E2E8F0" w:sz="4"/>
              <w:left w:val="single" w:color="E2E8F0" w:sz="4"/>
              <w:bottom w:val="single" w:color="E2E8F0" w:sz="4"/>
              <w:right w:val="single" w:color="E2E8F0" w:sz="4"/>
            </w:tcBorders>
            <w:shd w:fill="FDF2F2" w:val="clear"/>
            <w:tcMar>
              <w:top w:type="dxa" w:w="90"/>
              <w:left w:type="dxa" w:w="120"/>
              <w:bottom w:type="dxa" w:w="90"/>
              <w:right w:type="dxa" w:w="120"/>
            </w:tcMar>
            <w:vAlign w:val="center"/>
          </w:tcPr>
          <w:p>
            <w:pPr>
              <w:jc w:val="center"/>
            </w:pPr>
            <w:r>
              <w:rPr>
                <w:rFonts w:ascii="Calibri" w:cs="Calibri" w:eastAsia="Calibri" w:hAnsi="Calibri"/>
                <w:b/>
                <w:bCs/>
                <w:color w:val="C0392B"/>
                <w:sz w:val="18"/>
                <w:szCs w:val="18"/>
              </w:rPr>
              <w:t xml:space="preserve">-0.82%</w:t>
            </w:r>
          </w:p>
        </w:tc>
        <w:tc>
          <w:tcPr>
            <w:tcBorders>
              <w:top w:val="single" w:color="E2E8F0" w:sz="4"/>
              <w:left w:val="single" w:color="E2E8F0" w:sz="4"/>
              <w:bottom w:val="single" w:color="E2E8F0" w:sz="4"/>
              <w:right w:val="single" w:color="E2E8F0" w:sz="4"/>
            </w:tcBorders>
            <w:shd w:fill="FDF2F2"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Drag</w:t>
            </w:r>
          </w:p>
        </w:tc>
      </w:tr>
      <w:tr>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left"/>
            </w:pPr>
            <w:r>
              <w:rPr>
                <w:rFonts w:ascii="Calibri" w:cs="Calibri" w:eastAsia="Calibri" w:hAnsi="Calibri"/>
                <w:b/>
                <w:bCs/>
                <w:color w:val="0F1419"/>
                <w:sz w:val="18"/>
                <w:szCs w:val="18"/>
              </w:rPr>
              <w:t xml:space="preserve">Total active return</w:t>
            </w:r>
          </w:p>
        </w:tc>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
            </w:r>
          </w:p>
        </w:tc>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
            </w:r>
          </w:p>
        </w:tc>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
            </w:r>
          </w:p>
        </w:tc>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
            </w:r>
          </w:p>
        </w:tc>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center"/>
            </w:pPr>
            <w:r>
              <w:rPr>
                <w:rFonts w:ascii="Calibri" w:cs="Calibri" w:eastAsia="Calibri" w:hAnsi="Calibri"/>
                <w:b/>
                <w:bCs/>
                <w:color w:val="1A6B4A"/>
                <w:sz w:val="18"/>
                <w:szCs w:val="18"/>
              </w:rPr>
              <w:t xml:space="preserve">+5.10%</w:t>
            </w:r>
          </w:p>
        </w:tc>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
            </w:r>
          </w:p>
        </w:tc>
      </w:tr>
    </w:tbl>
    <w:p>
      <w:pPr>
        <w:spacing w:before="80" w:after="0"/>
      </w:pPr>
    </w:p>
    <w:p>
      <w:pPr>
        <w:spacing w:before="200" w:after="60"/>
      </w:pPr>
      <w:r>
        <w:rPr>
          <w:rFonts w:ascii="Calibri" w:cs="Calibri" w:eastAsia="Calibri" w:hAnsi="Calibri"/>
          <w:b/>
          <w:bCs/>
          <w:color w:val="0F1419"/>
          <w:sz w:val="21"/>
          <w:szCs w:val="21"/>
        </w:rPr>
        <w:t xml:space="preserve">3.2 Attribution Commentary</w:t>
      </w:r>
    </w:p>
    <w:p>
      <w:pPr>
        <w:spacing w:before="50" w:after="50"/>
      </w:pPr>
      <w:r>
        <w:rPr>
          <w:rFonts w:ascii="Calibri" w:cs="Calibri" w:eastAsia="Calibri" w:hAnsi="Calibri"/>
          <w:color w:val="3D4A5A"/>
          <w:sz w:val="19"/>
          <w:szCs w:val="19"/>
        </w:rPr>
        <w:t xml:space="preserve"/>
      </w:r>
      <w:r>
        <w:rPr>
          <w:rFonts w:ascii="Calibri" w:cs="Calibri" w:eastAsia="Calibri" w:hAnsi="Calibri"/>
          <w:b/>
          <w:bCs/>
          <w:color w:val="0F1419"/>
          <w:sz w:val="19"/>
          <w:szCs w:val="19"/>
        </w:rPr>
        <w:t xml:space="preserve">Financials (allocation effect: +2.14%)</w:t>
      </w:r>
      <w:r>
        <w:rPr>
          <w:rFonts w:ascii="Calibri" w:cs="Calibri" w:eastAsia="Calibri" w:hAnsi="Calibri"/>
          <w:color w:val="3D4A5A"/>
          <w:sz w:val="19"/>
          <w:szCs w:val="19"/>
        </w:rPr>
        <w:t xml:space="preserve"> — The fund's underweight to the financials sector was the single largest contributor to outperformance. Despite the banks delivering relatively modest declines, the fund's underweight of 6.2 percentage points versus benchmark, combined with the sector's general underperformance in a rising-rate environment, added significant value.</w:t>
      </w:r>
    </w:p>
    <w:p>
      <w:pPr>
        <w:spacing w:before="40" w:after="0"/>
      </w:pPr>
    </w:p>
    <w:p>
      <w:pPr>
        <w:spacing w:before="50" w:after="50"/>
      </w:pPr>
      <w:r>
        <w:rPr>
          <w:rFonts w:ascii="Calibri" w:cs="Calibri" w:eastAsia="Calibri" w:hAnsi="Calibri"/>
          <w:color w:val="3D4A5A"/>
          <w:sz w:val="19"/>
          <w:szCs w:val="19"/>
        </w:rPr>
        <w:t xml:space="preserve"/>
      </w:r>
      <w:r>
        <w:rPr>
          <w:rFonts w:ascii="Calibri" w:cs="Calibri" w:eastAsia="Calibri" w:hAnsi="Calibri"/>
          <w:b/>
          <w:bCs/>
          <w:color w:val="0F1419"/>
          <w:sz w:val="19"/>
          <w:szCs w:val="19"/>
        </w:rPr>
        <w:t xml:space="preserve">Consumer Discretionary (selection effect: +1.28%)</w:t>
      </w:r>
      <w:r>
        <w:rPr>
          <w:rFonts w:ascii="Calibri" w:cs="Calibri" w:eastAsia="Calibri" w:hAnsi="Calibri"/>
          <w:color w:val="3D4A5A"/>
          <w:sz w:val="19"/>
          <w:szCs w:val="19"/>
        </w:rPr>
        <w:t xml:space="preserve"> — Wesfarmers was the standout performer with a +9.99% return, driven by strong Bunnings trading updates and resilient consumer spending data. The fund's conviction overweight in Wesfarmers versus the benchmark was the primary driver of this attribution.</w:t>
      </w:r>
    </w:p>
    <w:p>
      <w:pPr>
        <w:spacing w:before="40" w:after="0"/>
      </w:pPr>
    </w:p>
    <w:p>
      <w:pPr>
        <w:spacing w:before="50" w:after="50"/>
      </w:pPr>
      <w:r>
        <w:rPr>
          <w:rFonts w:ascii="Calibri" w:cs="Calibri" w:eastAsia="Calibri" w:hAnsi="Calibri"/>
          <w:color w:val="3D4A5A"/>
          <w:sz w:val="19"/>
          <w:szCs w:val="19"/>
        </w:rPr>
        <w:t xml:space="preserve"/>
      </w:r>
      <w:r>
        <w:rPr>
          <w:rFonts w:ascii="Calibri" w:cs="Calibri" w:eastAsia="Calibri" w:hAnsi="Calibri"/>
          <w:b/>
          <w:bCs/>
          <w:color w:val="0F1419"/>
          <w:sz w:val="19"/>
          <w:szCs w:val="19"/>
        </w:rPr>
        <w:t xml:space="preserve">Materials (drag: -0.82%)</w:t>
      </w:r>
      <w:r>
        <w:rPr>
          <w:rFonts w:ascii="Calibri" w:cs="Calibri" w:eastAsia="Calibri" w:hAnsi="Calibri"/>
          <w:color w:val="3D4A5A"/>
          <w:sz w:val="19"/>
          <w:szCs w:val="19"/>
        </w:rPr>
        <w:t xml:space="preserve"> — The fund maintained a slight overweight to materials heading into the quarter, which proved costly as iron ore prices declined sharply. BHP (-7.74%), Rio Tinto (-13.05%), and Fortescue (-20.28%) were the three largest individual detractors. This positioning has since been reduced.</w:t>
      </w:r>
    </w:p>
    <w:p>
      <w:pPr>
        <w:spacing w:before="80" w:after="0"/>
      </w:pPr>
    </w:p>
    <w:p>
      <w:r>
        <w:br w:type="page"/>
      </w:r>
    </w:p>
    <w:p>
      <w:pPr>
        <w:pBdr>
          <w:bottom w:val="single" w:color="1A6B4A" w:sz="8" w:space="4"/>
        </w:pBdr>
        <w:spacing w:before="280" w:after="80"/>
      </w:pPr>
      <w:r>
        <w:rPr>
          <w:rFonts w:ascii="Calibri" w:cs="Calibri" w:eastAsia="Calibri" w:hAnsi="Calibri"/>
          <w:b/>
          <w:bCs/>
          <w:color w:val="1A6B4A"/>
          <w:sz w:val="22"/>
          <w:szCs w:val="22"/>
        </w:rPr>
        <w:t xml:space="preserve">4. RISK METRICS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546"/>
      </w:tblGrid>
      <w:tr>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Risk metric</w:t>
            </w:r>
          </w:p>
        </w:tc>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Fund</w:t>
            </w:r>
          </w:p>
        </w:tc>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Benchmark</w:t>
            </w:r>
          </w:p>
        </w:tc>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Comment</w:t>
            </w:r>
          </w:p>
        </w:tc>
      </w:tr>
      <w:tr>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bCs/>
                <w:color w:val="0F1419"/>
                <w:sz w:val="18"/>
                <w:szCs w:val="18"/>
              </w:rPr>
              <w:t xml:space="preserve">Annualised volatility</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14.0%</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15.8%</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Lower vol than benchmark</w:t>
            </w:r>
          </w:p>
        </w:tc>
      </w:tr>
      <w:tr>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Maximum drawdown</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-7.08%</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-11.2%</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Significantly less downside</w:t>
            </w:r>
          </w:p>
        </w:tc>
      </w:tr>
      <w:tr>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Sharpe ratio</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-1.17</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-1.62</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Better risk-adj. return</w:t>
            </w:r>
          </w:p>
        </w:tc>
      </w:tr>
      <w:tr>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Beta to ASX 200</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0.98</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1.00</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Near market exposure</w:t>
            </w:r>
          </w:p>
        </w:tc>
      </w:tr>
      <w:tr>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Tracking error (ann.)</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4.3%</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Active management range</w:t>
            </w:r>
          </w:p>
        </w:tc>
      </w:tr>
      <w:tr>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Information ratio</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4.77</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Strong active return/risk</w:t>
            </w:r>
          </w:p>
        </w:tc>
      </w:tr>
      <w:tr>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Outperformance days</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~52%</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Consistent daily alpha</w:t>
            </w:r>
          </w:p>
        </w:tc>
      </w:tr>
    </w:tbl>
    <w:p>
      <w:pPr>
        <w:spacing w:before="80" w:after="0"/>
      </w:pPr>
    </w:p>
    <w:p>
      <w:pPr>
        <w:spacing w:before="50" w:after="50"/>
      </w:pPr>
      <w:r>
        <w:rPr>
          <w:rFonts w:ascii="Calibri" w:cs="Calibri" w:eastAsia="Calibri" w:hAnsi="Calibri"/>
          <w:color w:val="3D4A5A"/>
          <w:sz w:val="19"/>
          <w:szCs w:val="19"/>
        </w:rPr>
        <w:t xml:space="preserve">The fund delivered </w:t>
      </w:r>
      <w:r>
        <w:rPr>
          <w:rFonts w:ascii="Calibri" w:cs="Calibri" w:eastAsia="Calibri" w:hAnsi="Calibri"/>
          <w:b/>
          <w:bCs/>
          <w:color w:val="0F1419"/>
          <w:sz w:val="19"/>
          <w:szCs w:val="19"/>
        </w:rPr>
        <w:t xml:space="preserve">lower volatility (14.0% vs 15.8%)</w:t>
      </w:r>
      <w:r>
        <w:rPr>
          <w:rFonts w:ascii="Calibri" w:cs="Calibri" w:eastAsia="Calibri" w:hAnsi="Calibri"/>
          <w:color w:val="3D4A5A"/>
          <w:sz w:val="19"/>
          <w:szCs w:val="19"/>
        </w:rPr>
        <w:t xml:space="preserve"> and materially smaller drawdown (-7.08% vs -11.2%) than the benchmark, while preserving meaningful upside participation. The information ratio of 4.77 — while elevated due to the short measurement period — reflects consistent daily outperformance across the quarter.</w:t>
      </w:r>
    </w:p>
    <w:p>
      <w:pPr>
        <w:spacing w:before="50" w:after="50"/>
      </w:pPr>
      <w:r>
        <w:rPr>
          <w:rFonts w:ascii="Calibri" w:cs="Calibri" w:eastAsia="Calibri" w:hAnsi="Calibri"/>
          <w:color w:val="3D4A5A"/>
          <w:sz w:val="19"/>
          <w:szCs w:val="19"/>
        </w:rPr>
        <w:t xml:space="preserve">Beta of 0.98 indicates the fund maintained near-full market exposure throughout the quarter. The outperformance was driven by </w:t>
      </w:r>
      <w:r>
        <w:rPr>
          <w:rFonts w:ascii="Calibri" w:cs="Calibri" w:eastAsia="Calibri" w:hAnsi="Calibri"/>
          <w:b/>
          <w:bCs/>
          <w:color w:val="0F1419"/>
          <w:sz w:val="19"/>
          <w:szCs w:val="19"/>
        </w:rPr>
        <w:t xml:space="preserve">asset allocation and stock selection</w:t>
      </w:r>
      <w:r>
        <w:rPr>
          <w:rFonts w:ascii="Calibri" w:cs="Calibri" w:eastAsia="Calibri" w:hAnsi="Calibri"/>
          <w:color w:val="3D4A5A"/>
          <w:sz w:val="19"/>
          <w:szCs w:val="19"/>
        </w:rPr>
        <w:t xml:space="preserve">, not by de-risking the portfolio.</w:t>
      </w:r>
    </w:p>
    <w:p>
      <w:pPr>
        <w:spacing w:before="80" w:after="0"/>
      </w:pPr>
    </w:p>
    <w:p>
      <w:r>
        <w:br w:type="page"/>
      </w:r>
    </w:p>
    <w:p>
      <w:pPr>
        <w:pBdr>
          <w:bottom w:val="single" w:color="1A6B4A" w:sz="8" w:space="4"/>
        </w:pBdr>
        <w:spacing w:before="280" w:after="80"/>
      </w:pPr>
      <w:r>
        <w:rPr>
          <w:rFonts w:ascii="Calibri" w:cs="Calibri" w:eastAsia="Calibri" w:hAnsi="Calibri"/>
          <w:b/>
          <w:bCs/>
          <w:color w:val="1A6B4A"/>
          <w:sz w:val="22"/>
          <w:szCs w:val="22"/>
        </w:rPr>
        <w:t xml:space="preserve">5. PORTFOLIO HOLDINGS</w:t>
      </w:r>
    </w:p>
    <w:p>
      <w:pPr>
        <w:spacing w:before="200" w:after="60"/>
      </w:pPr>
      <w:r>
        <w:rPr>
          <w:rFonts w:ascii="Calibri" w:cs="Calibri" w:eastAsia="Calibri" w:hAnsi="Calibri"/>
          <w:b/>
          <w:bCs/>
          <w:color w:val="0F1419"/>
          <w:sz w:val="21"/>
          <w:szCs w:val="21"/>
        </w:rPr>
        <w:t xml:space="preserve">5.1 Top Contributors &amp; Detractors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00"/>
        <w:gridCol w:w="1400"/>
        <w:gridCol w:w="1346"/>
        <w:gridCol w:w="1400"/>
      </w:tblGrid>
      <w:tr>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Stock</w:t>
            </w:r>
          </w:p>
        </w:tc>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Sector</w:t>
            </w:r>
          </w:p>
        </w:tc>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Weight</w:t>
            </w:r>
          </w:p>
        </w:tc>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Return</w:t>
            </w:r>
          </w:p>
        </w:tc>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Contribution</w:t>
            </w:r>
          </w:p>
        </w:tc>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
            </w:r>
          </w:p>
        </w:tc>
      </w:tr>
      <w:tr>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Xero Limited</w:t>
            </w:r>
          </w:p>
        </w:tc>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Technology</w:t>
            </w:r>
          </w:p>
        </w:tc>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3.8%</w:t>
            </w:r>
          </w:p>
        </w:tc>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center"/>
            </w:pPr>
            <w:r>
              <w:rPr>
                <w:rFonts w:ascii="Calibri" w:cs="Calibri" w:eastAsia="Calibri" w:hAnsi="Calibri"/>
                <w:b/>
                <w:bCs/>
                <w:color w:val="1A6B4A"/>
                <w:sz w:val="18"/>
                <w:szCs w:val="18"/>
              </w:rPr>
              <w:t xml:space="preserve">+18.83%</w:t>
            </w:r>
          </w:p>
        </w:tc>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center"/>
            </w:pPr>
            <w:r>
              <w:rPr>
                <w:rFonts w:ascii="Calibri" w:cs="Calibri" w:eastAsia="Calibri" w:hAnsi="Calibri"/>
                <w:b/>
                <w:bCs/>
                <w:color w:val="1A6B4A"/>
                <w:sz w:val="18"/>
                <w:szCs w:val="18"/>
              </w:rPr>
              <w:t xml:space="preserve">+0.72%</w:t>
            </w:r>
          </w:p>
        </w:tc>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 Top</w:t>
            </w:r>
          </w:p>
        </w:tc>
      </w:tr>
      <w:tr>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Wesfarmers</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Consumer Disc</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6.2%</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center"/>
            </w:pPr>
            <w:r>
              <w:rPr>
                <w:rFonts w:ascii="Calibri" w:cs="Calibri" w:eastAsia="Calibri" w:hAnsi="Calibri"/>
                <w:b/>
                <w:bCs/>
                <w:color w:val="1A6B4A"/>
                <w:sz w:val="18"/>
                <w:szCs w:val="18"/>
              </w:rPr>
              <w:t xml:space="preserve">+9.99%</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center"/>
            </w:pPr>
            <w:r>
              <w:rPr>
                <w:rFonts w:ascii="Calibri" w:cs="Calibri" w:eastAsia="Calibri" w:hAnsi="Calibri"/>
                <w:b/>
                <w:bCs/>
                <w:color w:val="1A6B4A"/>
                <w:sz w:val="18"/>
                <w:szCs w:val="18"/>
              </w:rPr>
              <w:t xml:space="preserve">+0.62%</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 Top</w:t>
            </w:r>
          </w:p>
        </w:tc>
      </w:tr>
      <w:tr>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Woolworths Group</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Consumer Staples</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4.5%</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center"/>
            </w:pPr>
            <w:r>
              <w:rPr>
                <w:rFonts w:ascii="Calibri" w:cs="Calibri" w:eastAsia="Calibri" w:hAnsi="Calibri"/>
                <w:b w:val="false"/>
                <w:bCs w:val="false"/>
                <w:color w:val="1A6B4A"/>
                <w:sz w:val="18"/>
                <w:szCs w:val="18"/>
              </w:rPr>
              <w:t xml:space="preserve">+5.77%</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center"/>
            </w:pPr>
            <w:r>
              <w:rPr>
                <w:rFonts w:ascii="Calibri" w:cs="Calibri" w:eastAsia="Calibri" w:hAnsi="Calibri"/>
                <w:b w:val="false"/>
                <w:bCs w:val="false"/>
                <w:color w:val="1A6B4A"/>
                <w:sz w:val="18"/>
                <w:szCs w:val="18"/>
              </w:rPr>
              <w:t xml:space="preserve">+0.26%</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w:t>
            </w:r>
          </w:p>
        </w:tc>
      </w:tr>
      <w:tr>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Macquarie Group</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Financials</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5.5%</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6B4A"/>
                <w:sz w:val="18"/>
                <w:szCs w:val="18"/>
              </w:rPr>
              <w:t xml:space="preserve">+3.13%</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6B4A"/>
                <w:sz w:val="18"/>
                <w:szCs w:val="18"/>
              </w:rPr>
              <w:t xml:space="preserve">+0.17%</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w:t>
            </w:r>
          </w:p>
        </w:tc>
      </w:tr>
      <w:tr>
        <w:tc>
          <w:tcPr>
            <w:tcBorders>
              <w:top w:val="single" w:color="E2E8F0" w:sz="4"/>
              <w:left w:val="single" w:color="E2E8F0" w:sz="4"/>
              <w:bottom w:val="single" w:color="E2E8F0" w:sz="4"/>
              <w:right w:val="single" w:color="E2E8F0" w:sz="4"/>
            </w:tcBorders>
            <w:shd w:fill="FDF2F2"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Rio Tinto</w:t>
            </w:r>
          </w:p>
        </w:tc>
        <w:tc>
          <w:tcPr>
            <w:tcBorders>
              <w:top w:val="single" w:color="E2E8F0" w:sz="4"/>
              <w:left w:val="single" w:color="E2E8F0" w:sz="4"/>
              <w:bottom w:val="single" w:color="E2E8F0" w:sz="4"/>
              <w:right w:val="single" w:color="E2E8F0" w:sz="4"/>
            </w:tcBorders>
            <w:shd w:fill="FDF2F2"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Materials</w:t>
            </w:r>
          </w:p>
        </w:tc>
        <w:tc>
          <w:tcPr>
            <w:tcBorders>
              <w:top w:val="single" w:color="E2E8F0" w:sz="4"/>
              <w:left w:val="single" w:color="E2E8F0" w:sz="4"/>
              <w:bottom w:val="single" w:color="E2E8F0" w:sz="4"/>
              <w:right w:val="single" w:color="E2E8F0" w:sz="4"/>
            </w:tcBorders>
            <w:shd w:fill="FDF2F2"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5.8%</w:t>
            </w:r>
          </w:p>
        </w:tc>
        <w:tc>
          <w:tcPr>
            <w:tcBorders>
              <w:top w:val="single" w:color="E2E8F0" w:sz="4"/>
              <w:left w:val="single" w:color="E2E8F0" w:sz="4"/>
              <w:bottom w:val="single" w:color="E2E8F0" w:sz="4"/>
              <w:right w:val="single" w:color="E2E8F0" w:sz="4"/>
            </w:tcBorders>
            <w:shd w:fill="FDF2F2" w:val="clear"/>
            <w:tcMar>
              <w:top w:type="dxa" w:w="90"/>
              <w:left w:type="dxa" w:w="120"/>
              <w:bottom w:type="dxa" w:w="90"/>
              <w:right w:type="dxa" w:w="120"/>
            </w:tcMar>
            <w:vAlign w:val="center"/>
          </w:tcPr>
          <w:p>
            <w:pPr>
              <w:jc w:val="center"/>
            </w:pPr>
            <w:r>
              <w:rPr>
                <w:rFonts w:ascii="Calibri" w:cs="Calibri" w:eastAsia="Calibri" w:hAnsi="Calibri"/>
                <w:b/>
                <w:bCs/>
                <w:color w:val="C0392B"/>
                <w:sz w:val="18"/>
                <w:szCs w:val="18"/>
              </w:rPr>
              <w:t xml:space="preserve">-13.05%</w:t>
            </w:r>
          </w:p>
        </w:tc>
        <w:tc>
          <w:tcPr>
            <w:tcBorders>
              <w:top w:val="single" w:color="E2E8F0" w:sz="4"/>
              <w:left w:val="single" w:color="E2E8F0" w:sz="4"/>
              <w:bottom w:val="single" w:color="E2E8F0" w:sz="4"/>
              <w:right w:val="single" w:color="E2E8F0" w:sz="4"/>
            </w:tcBorders>
            <w:shd w:fill="FDF2F2" w:val="clear"/>
            <w:tcMar>
              <w:top w:type="dxa" w:w="90"/>
              <w:left w:type="dxa" w:w="120"/>
              <w:bottom w:type="dxa" w:w="90"/>
              <w:right w:type="dxa" w:w="120"/>
            </w:tcMar>
            <w:vAlign w:val="center"/>
          </w:tcPr>
          <w:p>
            <w:pPr>
              <w:jc w:val="center"/>
            </w:pPr>
            <w:r>
              <w:rPr>
                <w:rFonts w:ascii="Calibri" w:cs="Calibri" w:eastAsia="Calibri" w:hAnsi="Calibri"/>
                <w:b/>
                <w:bCs/>
                <w:color w:val="C0392B"/>
                <w:sz w:val="18"/>
                <w:szCs w:val="18"/>
              </w:rPr>
              <w:t xml:space="preserve">-0.76%</w:t>
            </w:r>
          </w:p>
        </w:tc>
        <w:tc>
          <w:tcPr>
            <w:tcBorders>
              <w:top w:val="single" w:color="E2E8F0" w:sz="4"/>
              <w:left w:val="single" w:color="E2E8F0" w:sz="4"/>
              <w:bottom w:val="single" w:color="E2E8F0" w:sz="4"/>
              <w:right w:val="single" w:color="E2E8F0" w:sz="4"/>
            </w:tcBorders>
            <w:shd w:fill="FDF2F2"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 Bottom</w:t>
            </w:r>
          </w:p>
        </w:tc>
      </w:tr>
      <w:tr>
        <w:tc>
          <w:tcPr>
            <w:tcBorders>
              <w:top w:val="single" w:color="E2E8F0" w:sz="4"/>
              <w:left w:val="single" w:color="E2E8F0" w:sz="4"/>
              <w:bottom w:val="single" w:color="E2E8F0" w:sz="4"/>
              <w:right w:val="single" w:color="E2E8F0" w:sz="4"/>
            </w:tcBorders>
            <w:shd w:fill="FDF2F2"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BHP Group</w:t>
            </w:r>
          </w:p>
        </w:tc>
        <w:tc>
          <w:tcPr>
            <w:tcBorders>
              <w:top w:val="single" w:color="E2E8F0" w:sz="4"/>
              <w:left w:val="single" w:color="E2E8F0" w:sz="4"/>
              <w:bottom w:val="single" w:color="E2E8F0" w:sz="4"/>
              <w:right w:val="single" w:color="E2E8F0" w:sz="4"/>
            </w:tcBorders>
            <w:shd w:fill="FDF2F2"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Materials</w:t>
            </w:r>
          </w:p>
        </w:tc>
        <w:tc>
          <w:tcPr>
            <w:tcBorders>
              <w:top w:val="single" w:color="E2E8F0" w:sz="4"/>
              <w:left w:val="single" w:color="E2E8F0" w:sz="4"/>
              <w:bottom w:val="single" w:color="E2E8F0" w:sz="4"/>
              <w:right w:val="single" w:color="E2E8F0" w:sz="4"/>
            </w:tcBorders>
            <w:shd w:fill="FDF2F2"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9.2%</w:t>
            </w:r>
          </w:p>
        </w:tc>
        <w:tc>
          <w:tcPr>
            <w:tcBorders>
              <w:top w:val="single" w:color="E2E8F0" w:sz="4"/>
              <w:left w:val="single" w:color="E2E8F0" w:sz="4"/>
              <w:bottom w:val="single" w:color="E2E8F0" w:sz="4"/>
              <w:right w:val="single" w:color="E2E8F0" w:sz="4"/>
            </w:tcBorders>
            <w:shd w:fill="FDF2F2" w:val="clear"/>
            <w:tcMar>
              <w:top w:type="dxa" w:w="90"/>
              <w:left w:type="dxa" w:w="120"/>
              <w:bottom w:type="dxa" w:w="90"/>
              <w:right w:type="dxa" w:w="120"/>
            </w:tcMar>
            <w:vAlign w:val="center"/>
          </w:tcPr>
          <w:p>
            <w:pPr>
              <w:jc w:val="center"/>
            </w:pPr>
            <w:r>
              <w:rPr>
                <w:rFonts w:ascii="Calibri" w:cs="Calibri" w:eastAsia="Calibri" w:hAnsi="Calibri"/>
                <w:b/>
                <w:bCs/>
                <w:color w:val="C0392B"/>
                <w:sz w:val="18"/>
                <w:szCs w:val="18"/>
              </w:rPr>
              <w:t xml:space="preserve">-7.74%</w:t>
            </w:r>
          </w:p>
        </w:tc>
        <w:tc>
          <w:tcPr>
            <w:tcBorders>
              <w:top w:val="single" w:color="E2E8F0" w:sz="4"/>
              <w:left w:val="single" w:color="E2E8F0" w:sz="4"/>
              <w:bottom w:val="single" w:color="E2E8F0" w:sz="4"/>
              <w:right w:val="single" w:color="E2E8F0" w:sz="4"/>
            </w:tcBorders>
            <w:shd w:fill="FDF2F2" w:val="clear"/>
            <w:tcMar>
              <w:top w:type="dxa" w:w="90"/>
              <w:left w:type="dxa" w:w="120"/>
              <w:bottom w:type="dxa" w:w="90"/>
              <w:right w:type="dxa" w:w="120"/>
            </w:tcMar>
            <w:vAlign w:val="center"/>
          </w:tcPr>
          <w:p>
            <w:pPr>
              <w:jc w:val="center"/>
            </w:pPr>
            <w:r>
              <w:rPr>
                <w:rFonts w:ascii="Calibri" w:cs="Calibri" w:eastAsia="Calibri" w:hAnsi="Calibri"/>
                <w:b/>
                <w:bCs/>
                <w:color w:val="C0392B"/>
                <w:sz w:val="18"/>
                <w:szCs w:val="18"/>
              </w:rPr>
              <w:t xml:space="preserve">-0.71%</w:t>
            </w:r>
          </w:p>
        </w:tc>
        <w:tc>
          <w:tcPr>
            <w:tcBorders>
              <w:top w:val="single" w:color="E2E8F0" w:sz="4"/>
              <w:left w:val="single" w:color="E2E8F0" w:sz="4"/>
              <w:bottom w:val="single" w:color="E2E8F0" w:sz="4"/>
              <w:right w:val="single" w:color="E2E8F0" w:sz="4"/>
            </w:tcBorders>
            <w:shd w:fill="FDF2F2"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 Bottom</w:t>
            </w:r>
          </w:p>
        </w:tc>
      </w:tr>
      <w:tr>
        <w:tc>
          <w:tcPr>
            <w:tcBorders>
              <w:top w:val="single" w:color="E2E8F0" w:sz="4"/>
              <w:left w:val="single" w:color="E2E8F0" w:sz="4"/>
              <w:bottom w:val="single" w:color="E2E8F0" w:sz="4"/>
              <w:right w:val="single" w:color="E2E8F0" w:sz="4"/>
            </w:tcBorders>
            <w:shd w:fill="FDF2F2"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Fortescue</w:t>
            </w:r>
          </w:p>
        </w:tc>
        <w:tc>
          <w:tcPr>
            <w:tcBorders>
              <w:top w:val="single" w:color="E2E8F0" w:sz="4"/>
              <w:left w:val="single" w:color="E2E8F0" w:sz="4"/>
              <w:bottom w:val="single" w:color="E2E8F0" w:sz="4"/>
              <w:right w:val="single" w:color="E2E8F0" w:sz="4"/>
            </w:tcBorders>
            <w:shd w:fill="FDF2F2"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Materials</w:t>
            </w:r>
          </w:p>
        </w:tc>
        <w:tc>
          <w:tcPr>
            <w:tcBorders>
              <w:top w:val="single" w:color="E2E8F0" w:sz="4"/>
              <w:left w:val="single" w:color="E2E8F0" w:sz="4"/>
              <w:bottom w:val="single" w:color="E2E8F0" w:sz="4"/>
              <w:right w:val="single" w:color="E2E8F0" w:sz="4"/>
            </w:tcBorders>
            <w:shd w:fill="FDF2F2"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3.1%</w:t>
            </w:r>
          </w:p>
        </w:tc>
        <w:tc>
          <w:tcPr>
            <w:tcBorders>
              <w:top w:val="single" w:color="E2E8F0" w:sz="4"/>
              <w:left w:val="single" w:color="E2E8F0" w:sz="4"/>
              <w:bottom w:val="single" w:color="E2E8F0" w:sz="4"/>
              <w:right w:val="single" w:color="E2E8F0" w:sz="4"/>
            </w:tcBorders>
            <w:shd w:fill="FDF2F2" w:val="clear"/>
            <w:tcMar>
              <w:top w:type="dxa" w:w="90"/>
              <w:left w:type="dxa" w:w="120"/>
              <w:bottom w:type="dxa" w:w="90"/>
              <w:right w:type="dxa" w:w="120"/>
            </w:tcMar>
            <w:vAlign w:val="center"/>
          </w:tcPr>
          <w:p>
            <w:pPr>
              <w:jc w:val="center"/>
            </w:pPr>
            <w:r>
              <w:rPr>
                <w:rFonts w:ascii="Calibri" w:cs="Calibri" w:eastAsia="Calibri" w:hAnsi="Calibri"/>
                <w:b/>
                <w:bCs/>
                <w:color w:val="C0392B"/>
                <w:sz w:val="18"/>
                <w:szCs w:val="18"/>
              </w:rPr>
              <w:t xml:space="preserve">-20.28%</w:t>
            </w:r>
          </w:p>
        </w:tc>
        <w:tc>
          <w:tcPr>
            <w:tcBorders>
              <w:top w:val="single" w:color="E2E8F0" w:sz="4"/>
              <w:left w:val="single" w:color="E2E8F0" w:sz="4"/>
              <w:bottom w:val="single" w:color="E2E8F0" w:sz="4"/>
              <w:right w:val="single" w:color="E2E8F0" w:sz="4"/>
            </w:tcBorders>
            <w:shd w:fill="FDF2F2" w:val="clear"/>
            <w:tcMar>
              <w:top w:type="dxa" w:w="90"/>
              <w:left w:type="dxa" w:w="120"/>
              <w:bottom w:type="dxa" w:w="90"/>
              <w:right w:type="dxa" w:w="120"/>
            </w:tcMar>
            <w:vAlign w:val="center"/>
          </w:tcPr>
          <w:p>
            <w:pPr>
              <w:jc w:val="center"/>
            </w:pPr>
            <w:r>
              <w:rPr>
                <w:rFonts w:ascii="Calibri" w:cs="Calibri" w:eastAsia="Calibri" w:hAnsi="Calibri"/>
                <w:b/>
                <w:bCs/>
                <w:color w:val="C0392B"/>
                <w:sz w:val="18"/>
                <w:szCs w:val="18"/>
              </w:rPr>
              <w:t xml:space="preserve">-0.63%</w:t>
            </w:r>
          </w:p>
        </w:tc>
        <w:tc>
          <w:tcPr>
            <w:tcBorders>
              <w:top w:val="single" w:color="E2E8F0" w:sz="4"/>
              <w:left w:val="single" w:color="E2E8F0" w:sz="4"/>
              <w:bottom w:val="single" w:color="E2E8F0" w:sz="4"/>
              <w:right w:val="single" w:color="E2E8F0" w:sz="4"/>
            </w:tcBorders>
            <w:shd w:fill="FDF2F2"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 Bottom</w:t>
            </w:r>
          </w:p>
        </w:tc>
      </w:tr>
    </w:tbl>
    <w:p>
      <w:pPr>
        <w:spacing w:before="80" w:after="0"/>
      </w:pPr>
    </w:p>
    <w:p>
      <w:pPr>
        <w:spacing w:before="200" w:after="60"/>
      </w:pPr>
      <w:r>
        <w:rPr>
          <w:rFonts w:ascii="Calibri" w:cs="Calibri" w:eastAsia="Calibri" w:hAnsi="Calibri"/>
          <w:b/>
          <w:bCs/>
          <w:color w:val="0F1419"/>
          <w:sz w:val="21"/>
          <w:szCs w:val="21"/>
        </w:rPr>
        <w:t xml:space="preserve">5.2 Sector Allocation</w:t>
      </w:r>
    </w:p>
    <w:p>
      <w:pPr>
        <w:spacing w:before="50" w:after="50"/>
      </w:pPr>
      <w:r>
        <w:rPr>
          <w:rFonts w:ascii="Calibri" w:cs="Calibri" w:eastAsia="Calibri" w:hAnsi="Calibri"/>
          <w:color w:val="3D4A5A"/>
          <w:sz w:val="19"/>
          <w:szCs w:val="19"/>
        </w:rPr>
        <w:t xml:space="preserve">The portfolio held 20 ASX-listed stocks across 8 sectors. Key positioning differences versus the ASX 200 benchmark:</w:t>
      </w:r>
    </w:p>
    <w:p>
      <w:pPr>
        <w:pStyle w:val="ListParagraph"/>
        <w:numPr>
          <w:ilvl w:val="0"/>
          <w:numId w:val="2"/>
        </w:numPr>
        <w:spacing w:before="40" w:after="40"/>
      </w:pPr>
      <w:r>
        <w:rPr>
          <w:rFonts w:ascii="Calibri" w:cs="Calibri" w:eastAsia="Calibri" w:hAnsi="Calibri"/>
          <w:color w:val="3D4A5A"/>
          <w:sz w:val="19"/>
          <w:szCs w:val="19"/>
        </w:rPr>
        <w:t xml:space="preserve"/>
      </w:r>
      <w:r>
        <w:rPr>
          <w:rFonts w:ascii="Calibri" w:cs="Calibri" w:eastAsia="Calibri" w:hAnsi="Calibri"/>
          <w:b/>
          <w:bCs/>
          <w:color w:val="0F1419"/>
          <w:sz w:val="19"/>
          <w:szCs w:val="19"/>
        </w:rPr>
        <w:t xml:space="preserve">Overweight Healthcare (+6.1%)</w:t>
      </w:r>
      <w:r>
        <w:rPr>
          <w:rFonts w:ascii="Calibri" w:cs="Calibri" w:eastAsia="Calibri" w:hAnsi="Calibri"/>
          <w:color w:val="3D4A5A"/>
          <w:sz w:val="19"/>
          <w:szCs w:val="19"/>
        </w:rPr>
        <w:t xml:space="preserve"> — Conviction in CSL, ResMed, and Cochlear as defensive growth names with pricing power. The overweight provided partial protection during the August sell-off, though sector return was -2.51% for the quarter.</w:t>
      </w:r>
    </w:p>
    <w:p>
      <w:pPr>
        <w:pStyle w:val="ListParagraph"/>
        <w:numPr>
          <w:ilvl w:val="0"/>
          <w:numId w:val="2"/>
        </w:numPr>
        <w:spacing w:before="40" w:after="40"/>
      </w:pPr>
      <w:r>
        <w:rPr>
          <w:rFonts w:ascii="Calibri" w:cs="Calibri" w:eastAsia="Calibri" w:hAnsi="Calibri"/>
          <w:color w:val="3D4A5A"/>
          <w:sz w:val="19"/>
          <w:szCs w:val="19"/>
        </w:rPr>
        <w:t xml:space="preserve"/>
      </w:r>
      <w:r>
        <w:rPr>
          <w:rFonts w:ascii="Calibri" w:cs="Calibri" w:eastAsia="Calibri" w:hAnsi="Calibri"/>
          <w:b/>
          <w:bCs/>
          <w:color w:val="0F1419"/>
          <w:sz w:val="19"/>
          <w:szCs w:val="19"/>
        </w:rPr>
        <w:t xml:space="preserve">Overweight Technology (+6.1%)</w:t>
      </w:r>
      <w:r>
        <w:rPr>
          <w:rFonts w:ascii="Calibri" w:cs="Calibri" w:eastAsia="Calibri" w:hAnsi="Calibri"/>
          <w:color w:val="3D4A5A"/>
          <w:sz w:val="19"/>
          <w:szCs w:val="19"/>
        </w:rPr>
        <w:t xml:space="preserve"> — WiseTech Global and Xero were key alpha generators, returning +18.83% and supporting the fund's outperformance significantly.</w:t>
      </w:r>
    </w:p>
    <w:p>
      <w:pPr>
        <w:pStyle w:val="ListParagraph"/>
        <w:numPr>
          <w:ilvl w:val="0"/>
          <w:numId w:val="2"/>
        </w:numPr>
        <w:spacing w:before="40" w:after="40"/>
      </w:pPr>
      <w:r>
        <w:rPr>
          <w:rFonts w:ascii="Calibri" w:cs="Calibri" w:eastAsia="Calibri" w:hAnsi="Calibri"/>
          <w:color w:val="3D4A5A"/>
          <w:sz w:val="19"/>
          <w:szCs w:val="19"/>
        </w:rPr>
        <w:t xml:space="preserve"/>
      </w:r>
      <w:r>
        <w:rPr>
          <w:rFonts w:ascii="Calibri" w:cs="Calibri" w:eastAsia="Calibri" w:hAnsi="Calibri"/>
          <w:b/>
          <w:bCs/>
          <w:color w:val="0F1419"/>
          <w:sz w:val="19"/>
          <w:szCs w:val="19"/>
        </w:rPr>
        <w:t xml:space="preserve">Underweight Financials (-6.2%)</w:t>
      </w:r>
      <w:r>
        <w:rPr>
          <w:rFonts w:ascii="Calibri" w:cs="Calibri" w:eastAsia="Calibri" w:hAnsi="Calibri"/>
          <w:color w:val="3D4A5A"/>
          <w:sz w:val="19"/>
          <w:szCs w:val="19"/>
        </w:rPr>
        <w:t xml:space="preserve"> — Major contributor to quarterly alpha. Bank margins were pressured by deposit competition and the underweight captured this theme effectively.</w:t>
      </w:r>
    </w:p>
    <w:p>
      <w:pPr>
        <w:pStyle w:val="ListParagraph"/>
        <w:numPr>
          <w:ilvl w:val="0"/>
          <w:numId w:val="2"/>
        </w:numPr>
        <w:spacing w:before="40" w:after="40"/>
      </w:pPr>
      <w:r>
        <w:rPr>
          <w:rFonts w:ascii="Calibri" w:cs="Calibri" w:eastAsia="Calibri" w:hAnsi="Calibri"/>
          <w:color w:val="3D4A5A"/>
          <w:sz w:val="19"/>
          <w:szCs w:val="19"/>
        </w:rPr>
        <w:t xml:space="preserve"/>
      </w:r>
      <w:r>
        <w:rPr>
          <w:rFonts w:ascii="Calibri" w:cs="Calibri" w:eastAsia="Calibri" w:hAnsi="Calibri"/>
          <w:b/>
          <w:bCs/>
          <w:color w:val="0F1419"/>
          <w:sz w:val="19"/>
          <w:szCs w:val="19"/>
        </w:rPr>
        <w:t xml:space="preserve">Neutral to slight overweight Materials (+0.7%)</w:t>
      </w:r>
      <w:r>
        <w:rPr>
          <w:rFonts w:ascii="Calibri" w:cs="Calibri" w:eastAsia="Calibri" w:hAnsi="Calibri"/>
          <w:color w:val="3D4A5A"/>
          <w:sz w:val="19"/>
          <w:szCs w:val="19"/>
        </w:rPr>
        <w:t xml:space="preserve"> — Key lesson from this quarter. Materials exposure will be reviewed for Q4 given deteriorating China demand outlook.</w:t>
      </w:r>
    </w:p>
    <w:p>
      <w:pPr>
        <w:spacing w:before="80" w:after="0"/>
      </w:pPr>
    </w:p>
    <w:p>
      <w:r>
        <w:br w:type="page"/>
      </w:r>
    </w:p>
    <w:p>
      <w:pPr>
        <w:pBdr>
          <w:bottom w:val="single" w:color="1A6B4A" w:sz="8" w:space="4"/>
        </w:pBdr>
        <w:spacing w:before="280" w:after="80"/>
      </w:pPr>
      <w:r>
        <w:rPr>
          <w:rFonts w:ascii="Calibri" w:cs="Calibri" w:eastAsia="Calibri" w:hAnsi="Calibri"/>
          <w:b/>
          <w:bCs/>
          <w:color w:val="1A6B4A"/>
          <w:sz w:val="22"/>
          <w:szCs w:val="22"/>
        </w:rPr>
        <w:t xml:space="preserve">6. PEER FUND COMPARISON</w:t>
      </w:r>
    </w:p>
    <w:p>
      <w:pPr>
        <w:spacing w:before="50" w:after="50"/>
      </w:pPr>
      <w:r>
        <w:rPr>
          <w:rFonts w:ascii="Calibri" w:cs="Calibri" w:eastAsia="Calibri" w:hAnsi="Calibri"/>
          <w:color w:val="3D4A5A"/>
          <w:sz w:val="19"/>
          <w:szCs w:val="19"/>
        </w:rPr>
        <w:t xml:space="preserve">The NMB Australia Growth Fund ranked </w:t>
      </w:r>
      <w:r>
        <w:rPr>
          <w:rFonts w:ascii="Calibri" w:cs="Calibri" w:eastAsia="Calibri" w:hAnsi="Calibri"/>
          <w:b/>
          <w:bCs/>
          <w:color w:val="0F1419"/>
          <w:sz w:val="19"/>
          <w:szCs w:val="19"/>
        </w:rPr>
        <w:t xml:space="preserve">first</w:t>
      </w:r>
      <w:r>
        <w:rPr>
          <w:rFonts w:ascii="Calibri" w:cs="Calibri" w:eastAsia="Calibri" w:hAnsi="Calibri"/>
          <w:color w:val="3D4A5A"/>
          <w:sz w:val="19"/>
          <w:szCs w:val="19"/>
        </w:rPr>
        <w:t xml:space="preserve"> among the six peer funds evaluated on Q3 2024 return performance, and maintained a competitive position on 3-year annualised returns.</w:t>
      </w:r>
    </w:p>
    <w:p>
      <w:pPr>
        <w:spacing w:before="4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1349"/>
        <w:gridCol w:w="1349"/>
        <w:gridCol w:w="1349"/>
        <w:gridCol w:w="1349"/>
        <w:gridCol w:w="1350"/>
      </w:tblGrid>
      <w:tr>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Fund</w:t>
            </w:r>
          </w:p>
        </w:tc>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Q3 2024</w:t>
            </w:r>
          </w:p>
        </w:tc>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1 Year</w:t>
            </w:r>
          </w:p>
        </w:tc>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3 Yr (ann.)</w:t>
            </w:r>
          </w:p>
        </w:tc>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Sharpe</w:t>
            </w:r>
          </w:p>
        </w:tc>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Mgmt fee</w:t>
            </w:r>
          </w:p>
        </w:tc>
      </w:tr>
      <w:tr>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left"/>
            </w:pPr>
            <w:r>
              <w:rPr>
                <w:rFonts w:ascii="Calibri" w:cs="Calibri" w:eastAsia="Calibri" w:hAnsi="Calibri"/>
                <w:b/>
                <w:bCs/>
                <w:color w:val="0F1419"/>
                <w:sz w:val="18"/>
                <w:szCs w:val="18"/>
              </w:rPr>
              <w:t xml:space="preserve">NMB Australia Growth Fund</w:t>
            </w:r>
          </w:p>
        </w:tc>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center"/>
            </w:pPr>
            <w:r>
              <w:rPr>
                <w:rFonts w:ascii="Calibri" w:cs="Calibri" w:eastAsia="Calibri" w:hAnsi="Calibri"/>
                <w:b/>
                <w:bCs/>
                <w:color w:val="1A6B4A"/>
                <w:sz w:val="18"/>
                <w:szCs w:val="18"/>
              </w:rPr>
              <w:t xml:space="preserve">-3.02%</w:t>
            </w:r>
          </w:p>
        </w:tc>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+11.8%</w:t>
            </w:r>
          </w:p>
        </w:tc>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center"/>
            </w:pPr>
            <w:r>
              <w:rPr>
                <w:rFonts w:ascii="Calibri" w:cs="Calibri" w:eastAsia="Calibri" w:hAnsi="Calibri"/>
                <w:b/>
                <w:bCs/>
                <w:color w:val="1A6B4A"/>
                <w:sz w:val="18"/>
                <w:szCs w:val="18"/>
              </w:rPr>
              <w:t xml:space="preserve">+9.6%</w:t>
            </w:r>
          </w:p>
        </w:tc>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-1.17</w:t>
            </w:r>
          </w:p>
        </w:tc>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0.750%</w:t>
            </w:r>
          </w:p>
        </w:tc>
      </w:tr>
      <w:tr>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Fidelity Australian Equities</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-0.85%</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+12.8%</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+9.4%</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0.81</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0.850%</w:t>
            </w:r>
          </w:p>
        </w:tc>
      </w:tr>
      <w:tr>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Schroders Australian Equities</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-0.98%</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+11.9%</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+8.9%</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0.77</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0.780%</w:t>
            </w:r>
          </w:p>
        </w:tc>
      </w:tr>
      <w:tr>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Pendal Australian Equities</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-1.11%</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+11.5%</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+8.7%</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0.74</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0.820%</w:t>
            </w:r>
          </w:p>
        </w:tc>
      </w:tr>
      <w:tr>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Vanguard Australian Shares</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center"/>
            </w:pPr>
            <w:r>
              <w:rPr>
                <w:rFonts w:ascii="Calibri" w:cs="Calibri" w:eastAsia="Calibri" w:hAnsi="Calibri"/>
                <w:b w:val="false"/>
                <w:bCs w:val="false"/>
                <w:color w:val="C0392B"/>
                <w:sz w:val="18"/>
                <w:szCs w:val="18"/>
              </w:rPr>
              <w:t xml:space="preserve">-8.18%</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+10.8%</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+8.3%</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0.72</w:t>
            </w:r>
          </w:p>
        </w:tc>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0.100%</w:t>
            </w:r>
          </w:p>
        </w:tc>
      </w:tr>
      <w:tr>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iShares Core S&amp;P/ASX 200</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C0392B"/>
                <w:sz w:val="18"/>
                <w:szCs w:val="18"/>
              </w:rPr>
              <w:t xml:space="preserve">-8.22%</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+10.6%</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+8.1%</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0.70</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0.090%</w:t>
            </w:r>
          </w:p>
        </w:tc>
      </w:tr>
    </w:tbl>
    <w:p>
      <w:pPr>
        <w:spacing w:before="80" w:after="0"/>
      </w:pPr>
    </w:p>
    <w:p>
      <w:pPr>
        <w:spacing w:before="50" w:after="50"/>
      </w:pPr>
      <w:r>
        <w:rPr>
          <w:rFonts w:ascii="Calibri" w:cs="Calibri" w:eastAsia="Calibri" w:hAnsi="Calibri"/>
          <w:color w:val="3D4A5A"/>
          <w:sz w:val="19"/>
          <w:szCs w:val="19"/>
        </w:rPr>
        <w:t xml:space="preserve"/>
      </w:r>
      <w:r>
        <w:rPr>
          <w:rFonts w:ascii="Calibri" w:cs="Calibri" w:eastAsia="Calibri" w:hAnsi="Calibri"/>
          <w:b/>
          <w:bCs/>
          <w:color w:val="0F1419"/>
          <w:sz w:val="19"/>
          <w:szCs w:val="19"/>
        </w:rPr>
        <w:t xml:space="preserve">Context:</w:t>
      </w:r>
      <w:r>
        <w:rPr>
          <w:rFonts w:ascii="Calibri" w:cs="Calibri" w:eastAsia="Calibri" w:hAnsi="Calibri"/>
          <w:color w:val="3D4A5A"/>
          <w:sz w:val="19"/>
          <w:szCs w:val="19"/>
        </w:rPr>
        <w:t xml:space="preserve"> The two passive index funds (Vanguard and iShares) delivered returns closely tracking the ASX 200 (-8.12%), as expected. Among active managers, NMB Australia Growth Fund delivered the strongest Q3 2024 return at -3.02%, materially outperforming all active peers. On a 3-year annualised basis, the fund ranks second (+9.6% vs Fidelity's +9.4%), demonstrating consistent longer-term alpha generation.</w:t>
      </w:r>
    </w:p>
    <w:p>
      <w:pPr>
        <w:spacing w:before="80" w:after="0"/>
      </w:pPr>
    </w:p>
    <w:p>
      <w:r>
        <w:br w:type="page"/>
      </w:r>
    </w:p>
    <w:p>
      <w:pPr>
        <w:pBdr>
          <w:bottom w:val="single" w:color="1A6B4A" w:sz="8" w:space="4"/>
        </w:pBdr>
        <w:spacing w:before="280" w:after="80"/>
      </w:pPr>
      <w:r>
        <w:rPr>
          <w:rFonts w:ascii="Calibri" w:cs="Calibri" w:eastAsia="Calibri" w:hAnsi="Calibri"/>
          <w:b/>
          <w:bCs/>
          <w:color w:val="1A6B4A"/>
          <w:sz w:val="22"/>
          <w:szCs w:val="22"/>
        </w:rPr>
        <w:t xml:space="preserve">7. INVESTMENT COMMENTARY &amp; OUTLOOK</w:t>
      </w:r>
    </w:p>
    <w:p>
      <w:pPr>
        <w:spacing w:before="200" w:after="60"/>
      </w:pPr>
      <w:r>
        <w:rPr>
          <w:rFonts w:ascii="Calibri" w:cs="Calibri" w:eastAsia="Calibri" w:hAnsi="Calibri"/>
          <w:b/>
          <w:bCs/>
          <w:color w:val="0F1419"/>
          <w:sz w:val="21"/>
          <w:szCs w:val="21"/>
        </w:rPr>
        <w:t xml:space="preserve">7.1 Portfolio Manager Commentary</w:t>
      </w:r>
    </w:p>
    <w:p>
      <w:pPr>
        <w:spacing w:before="50" w:after="50"/>
      </w:pPr>
      <w:r>
        <w:rPr>
          <w:rFonts w:ascii="Calibri" w:cs="Calibri" w:eastAsia="Calibri" w:hAnsi="Calibri"/>
          <w:color w:val="3D4A5A"/>
          <w:sz w:val="19"/>
          <w:szCs w:val="19"/>
        </w:rPr>
        <w:t xml:space="preserve">Q3 2024 presented one of the more challenging quarters for ASX equities since the 2022 rate-rise cycle, with the benchmark declining over 8% as materials stocks bore the brunt of China's economic slowdown and iron ore price weakness. In this context, the fund's +5.10% outperformance reflects the value of disciplined sector positioning and stock conviction.</w:t>
      </w:r>
    </w:p>
    <w:p>
      <w:pPr>
        <w:spacing w:before="40" w:after="0"/>
      </w:pPr>
    </w:p>
    <w:p>
      <w:pPr>
        <w:spacing w:before="50" w:after="50"/>
      </w:pPr>
      <w:r>
        <w:rPr>
          <w:rFonts w:ascii="Calibri" w:cs="Calibri" w:eastAsia="Calibri" w:hAnsi="Calibri"/>
          <w:color w:val="3D4A5A"/>
          <w:sz w:val="19"/>
          <w:szCs w:val="19"/>
        </w:rPr>
        <w:t xml:space="preserve"/>
      </w:r>
      <w:r>
        <w:rPr>
          <w:rFonts w:ascii="Calibri" w:cs="Calibri" w:eastAsia="Calibri" w:hAnsi="Calibri"/>
          <w:b/>
          <w:bCs/>
          <w:color w:val="0F1419"/>
          <w:sz w:val="19"/>
          <w:szCs w:val="19"/>
        </w:rPr>
        <w:t xml:space="preserve">What worked:</w:t>
      </w:r>
      <w:r>
        <w:rPr>
          <w:rFonts w:ascii="Calibri" w:cs="Calibri" w:eastAsia="Calibri" w:hAnsi="Calibri"/>
          <w:color w:val="3D4A5A"/>
          <w:sz w:val="19"/>
          <w:szCs w:val="19"/>
        </w:rPr>
        <w:t xml:space="preserve"> The decision to underweight the major banks heading into the quarter proved timely. Despite the banks appearing attractively valued on a dividend yield basis, margin pressure from deposit competition and potential credit quality deterioration in a high-rate environment supported our underweight thesis. The technology overweight — specifically WiseTech Global and Xero — delivered exceptional returns as both companies reported strong earnings upgrades.</w:t>
      </w:r>
    </w:p>
    <w:p>
      <w:pPr>
        <w:spacing w:before="40" w:after="0"/>
      </w:pPr>
    </w:p>
    <w:p>
      <w:pPr>
        <w:spacing w:before="50" w:after="50"/>
      </w:pPr>
      <w:r>
        <w:rPr>
          <w:rFonts w:ascii="Calibri" w:cs="Calibri" w:eastAsia="Calibri" w:hAnsi="Calibri"/>
          <w:color w:val="3D4A5A"/>
          <w:sz w:val="19"/>
          <w:szCs w:val="19"/>
        </w:rPr>
        <w:t xml:space="preserve"/>
      </w:r>
      <w:r>
        <w:rPr>
          <w:rFonts w:ascii="Calibri" w:cs="Calibri" w:eastAsia="Calibri" w:hAnsi="Calibri"/>
          <w:b/>
          <w:bCs/>
          <w:color w:val="0F1419"/>
          <w:sz w:val="19"/>
          <w:szCs w:val="19"/>
        </w:rPr>
        <w:t xml:space="preserve">What we would do differently:</w:t>
      </w:r>
      <w:r>
        <w:rPr>
          <w:rFonts w:ascii="Calibri" w:cs="Calibri" w:eastAsia="Calibri" w:hAnsi="Calibri"/>
          <w:color w:val="3D4A5A"/>
          <w:sz w:val="19"/>
          <w:szCs w:val="19"/>
        </w:rPr>
        <w:t xml:space="preserve"> Our residual overweight to materials, while modest at +0.7% versus benchmark, was a drag on performance. The deterioration in Chinese economic indicators was visible in the data earlier in the quarter than we acted on. We have since reduced materials exposure and initiated a more systematic framework for monitoring Chinese economic activity as a leading indicator for ASX materials positioning.</w:t>
      </w:r>
    </w:p>
    <w:p>
      <w:pPr>
        <w:spacing w:before="80" w:after="0"/>
      </w:pPr>
    </w:p>
    <w:p>
      <w:pPr>
        <w:spacing w:before="200" w:after="60"/>
      </w:pPr>
      <w:r>
        <w:rPr>
          <w:rFonts w:ascii="Calibri" w:cs="Calibri" w:eastAsia="Calibri" w:hAnsi="Calibri"/>
          <w:b/>
          <w:bCs/>
          <w:color w:val="0F1419"/>
          <w:sz w:val="21"/>
          <w:szCs w:val="21"/>
        </w:rPr>
        <w:t xml:space="preserve">7.2 Q4 2024 Positioning</w:t>
      </w:r>
    </w:p>
    <w:p>
      <w:pPr>
        <w:pStyle w:val="ListParagraph"/>
        <w:numPr>
          <w:ilvl w:val="0"/>
          <w:numId w:val="2"/>
        </w:numPr>
        <w:spacing w:before="40" w:after="40"/>
      </w:pPr>
      <w:r>
        <w:rPr>
          <w:rFonts w:ascii="Calibri" w:cs="Calibri" w:eastAsia="Calibri" w:hAnsi="Calibri"/>
          <w:color w:val="3D4A5A"/>
          <w:sz w:val="19"/>
          <w:szCs w:val="19"/>
        </w:rPr>
        <w:t xml:space="preserve"/>
      </w:r>
      <w:r>
        <w:rPr>
          <w:rFonts w:ascii="Calibri" w:cs="Calibri" w:eastAsia="Calibri" w:hAnsi="Calibri"/>
          <w:b/>
          <w:bCs/>
          <w:color w:val="0F1419"/>
          <w:sz w:val="19"/>
          <w:szCs w:val="19"/>
        </w:rPr>
        <w:t xml:space="preserve">Financials:</w:t>
      </w:r>
      <w:r>
        <w:rPr>
          <w:rFonts w:ascii="Calibri" w:cs="Calibri" w:eastAsia="Calibri" w:hAnsi="Calibri"/>
          <w:color w:val="3D4A5A"/>
          <w:sz w:val="19"/>
          <w:szCs w:val="19"/>
        </w:rPr>
        <w:t xml:space="preserve"> Maintaining underweight. RBA rate cuts remain further away than markets priced at quarter end. Net interest margin pressure expected to persist into 2025.</w:t>
      </w:r>
    </w:p>
    <w:p>
      <w:pPr>
        <w:pStyle w:val="ListParagraph"/>
        <w:numPr>
          <w:ilvl w:val="0"/>
          <w:numId w:val="2"/>
        </w:numPr>
        <w:spacing w:before="40" w:after="40"/>
      </w:pPr>
      <w:r>
        <w:rPr>
          <w:rFonts w:ascii="Calibri" w:cs="Calibri" w:eastAsia="Calibri" w:hAnsi="Calibri"/>
          <w:color w:val="3D4A5A"/>
          <w:sz w:val="19"/>
          <w:szCs w:val="19"/>
        </w:rPr>
        <w:t xml:space="preserve"/>
      </w:r>
      <w:r>
        <w:rPr>
          <w:rFonts w:ascii="Calibri" w:cs="Calibri" w:eastAsia="Calibri" w:hAnsi="Calibri"/>
          <w:b/>
          <w:bCs/>
          <w:color w:val="0F1419"/>
          <w:sz w:val="19"/>
          <w:szCs w:val="19"/>
        </w:rPr>
        <w:t xml:space="preserve">Technology:</w:t>
      </w:r>
      <w:r>
        <w:rPr>
          <w:rFonts w:ascii="Calibri" w:cs="Calibri" w:eastAsia="Calibri" w:hAnsi="Calibri"/>
          <w:color w:val="3D4A5A"/>
          <w:sz w:val="19"/>
          <w:szCs w:val="19"/>
        </w:rPr>
        <w:t xml:space="preserve"> Trimming WiseTech after strong quarter. Maintaining Xero overweight — cloud accounting penetration in Australia and UK remains early stage.</w:t>
      </w:r>
    </w:p>
    <w:p>
      <w:pPr>
        <w:pStyle w:val="ListParagraph"/>
        <w:numPr>
          <w:ilvl w:val="0"/>
          <w:numId w:val="2"/>
        </w:numPr>
        <w:spacing w:before="40" w:after="40"/>
      </w:pPr>
      <w:r>
        <w:rPr>
          <w:rFonts w:ascii="Calibri" w:cs="Calibri" w:eastAsia="Calibri" w:hAnsi="Calibri"/>
          <w:color w:val="3D4A5A"/>
          <w:sz w:val="19"/>
          <w:szCs w:val="19"/>
        </w:rPr>
        <w:t xml:space="preserve"/>
      </w:r>
      <w:r>
        <w:rPr>
          <w:rFonts w:ascii="Calibri" w:cs="Calibri" w:eastAsia="Calibri" w:hAnsi="Calibri"/>
          <w:b/>
          <w:bCs/>
          <w:color w:val="0F1419"/>
          <w:sz w:val="19"/>
          <w:szCs w:val="19"/>
        </w:rPr>
        <w:t xml:space="preserve">Healthcare:</w:t>
      </w:r>
      <w:r>
        <w:rPr>
          <w:rFonts w:ascii="Calibri" w:cs="Calibri" w:eastAsia="Calibri" w:hAnsi="Calibri"/>
          <w:color w:val="3D4A5A"/>
          <w:sz w:val="19"/>
          <w:szCs w:val="19"/>
        </w:rPr>
        <w:t xml:space="preserve"> Modestly increasing CSL weight on valuation — stock de-rated during Q3 despite unchanged earnings trajectory.</w:t>
      </w:r>
    </w:p>
    <w:p>
      <w:pPr>
        <w:pStyle w:val="ListParagraph"/>
        <w:numPr>
          <w:ilvl w:val="0"/>
          <w:numId w:val="2"/>
        </w:numPr>
        <w:spacing w:before="40" w:after="40"/>
      </w:pPr>
      <w:r>
        <w:rPr>
          <w:rFonts w:ascii="Calibri" w:cs="Calibri" w:eastAsia="Calibri" w:hAnsi="Calibri"/>
          <w:color w:val="3D4A5A"/>
          <w:sz w:val="19"/>
          <w:szCs w:val="19"/>
        </w:rPr>
        <w:t xml:space="preserve"/>
      </w:r>
      <w:r>
        <w:rPr>
          <w:rFonts w:ascii="Calibri" w:cs="Calibri" w:eastAsia="Calibri" w:hAnsi="Calibri"/>
          <w:b/>
          <w:bCs/>
          <w:color w:val="0F1419"/>
          <w:sz w:val="19"/>
          <w:szCs w:val="19"/>
        </w:rPr>
        <w:t xml:space="preserve">Materials:</w:t>
      </w:r>
      <w:r>
        <w:rPr>
          <w:rFonts w:ascii="Calibri" w:cs="Calibri" w:eastAsia="Calibri" w:hAnsi="Calibri"/>
          <w:color w:val="3D4A5A"/>
          <w:sz w:val="19"/>
          <w:szCs w:val="19"/>
        </w:rPr>
        <w:t xml:space="preserve"> Further reducing to benchmark weight. Monitoring Chinese property sector data as leading indicator for iron ore demand.</w:t>
      </w:r>
    </w:p>
    <w:p>
      <w:pPr>
        <w:pStyle w:val="ListParagraph"/>
        <w:numPr>
          <w:ilvl w:val="0"/>
          <w:numId w:val="2"/>
        </w:numPr>
        <w:spacing w:before="40" w:after="40"/>
      </w:pPr>
      <w:r>
        <w:rPr>
          <w:rFonts w:ascii="Calibri" w:cs="Calibri" w:eastAsia="Calibri" w:hAnsi="Calibri"/>
          <w:color w:val="3D4A5A"/>
          <w:sz w:val="19"/>
          <w:szCs w:val="19"/>
        </w:rPr>
        <w:t xml:space="preserve"/>
      </w:r>
      <w:r>
        <w:rPr>
          <w:rFonts w:ascii="Calibri" w:cs="Calibri" w:eastAsia="Calibri" w:hAnsi="Calibri"/>
          <w:b/>
          <w:bCs/>
          <w:color w:val="0F1419"/>
          <w:sz w:val="19"/>
          <w:szCs w:val="19"/>
        </w:rPr>
        <w:t xml:space="preserve">Consumer:</w:t>
      </w:r>
      <w:r>
        <w:rPr>
          <w:rFonts w:ascii="Calibri" w:cs="Calibri" w:eastAsia="Calibri" w:hAnsi="Calibri"/>
          <w:color w:val="3D4A5A"/>
          <w:sz w:val="19"/>
          <w:szCs w:val="19"/>
        </w:rPr>
        <w:t xml:space="preserve"> Maintaining Wesfarmers overweight. Household formation data and hardware category strength support Bunnings outlook into 2025.</w:t>
      </w:r>
    </w:p>
    <w:p>
      <w:pPr>
        <w:spacing w:before="8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E2E8F0" w:sz="4"/>
              <w:left w:val="none" w:color="FFFFFF" w:sz="0"/>
              <w:bottom w:val="none" w:color="FFFFFF" w:sz="0"/>
              <w:right w:val="none" w:color="FFFFFF" w:sz="0"/>
            </w:tcBorders>
            <w:shd w:fill="F0F4F8" w:val="clear"/>
            <w:tcMar>
              <w:top w:type="dxa" w:w="120"/>
              <w:left w:type="dxa" w:w="160"/>
              <w:bottom w:type="dxa" w:w="120"/>
              <w:right w:type="dxa" w:w="160"/>
            </w:tcMar>
          </w:tcPr>
          <w:p>
            <w:pPr>
              <w:jc w:val="center"/>
            </w:pPr>
            <w:r>
              <w:rPr>
                <w:rFonts w:ascii="Calibri" w:cs="Calibri" w:eastAsia="Calibri" w:hAnsi="Calibri"/>
                <w:color w:val="6B7A8D"/>
                <w:sz w:val="16"/>
                <w:szCs w:val="16"/>
              </w:rPr>
              <w:t xml:space="preserve">Prepared by Suyash Thakuri  ·  Financial Data Analyst  ·  suyashthakuri@gmail.com  ·  github.com/Suyashthakuri</w:t>
            </w:r>
          </w:p>
          <w:p>
            <w:pPr>
              <w:jc w:val="center"/>
            </w:pPr>
            <w:r>
              <w:rPr>
                <w:rFonts w:ascii="Calibri" w:cs="Calibri" w:eastAsia="Calibri" w:hAnsi="Calibri"/>
                <w:i/>
                <w:iCs/>
                <w:color w:val="6B7A8D"/>
                <w:sz w:val="15"/>
                <w:szCs w:val="15"/>
              </w:rPr>
              <w:t xml:space="preserve">All data is synthetic and generated for portfolio demonstration purposes. No real fund data was used.</w:t>
            </w:r>
          </w:p>
        </w:tc>
      </w:tr>
    </w:tbl>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40"/>
        <w:ind w:left="480" w:hanging="240"/>
      </w:pPr>
      <w:rPr>
        <w:rFonts w:ascii="Calibri" w:cs="Calibri" w:eastAsia="Calibri" w:hAnsi="Calibri"/>
        <w:color w:val="1A6B4A"/>
        <w:sz w:val="19"/>
        <w:szCs w:val="1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2026-03-29T06:08:28.017Z</dcterms:created>
  <dcterms:modified xsi:type="dcterms:W3CDTF">2026-03-29T06:08:28.018Z</dcterms:modified>
</cp:coreProperties>
</file>

<file path=docProps/custom.xml><?xml version="1.0" encoding="utf-8"?>
<Properties xmlns="http://schemas.openxmlformats.org/officeDocument/2006/custom-properties" xmlns:vt="http://schemas.openxmlformats.org/officeDocument/2006/docPropsVTypes"/>
</file>