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Borders>
              <w:top w:val="none" w:color="FFFFFF" w:sz="0"/>
              <w:left w:val="none" w:color="FFFFFF" w:sz="0"/>
              <w:bottom w:val="none" w:color="FFFFFF" w:sz="0"/>
              <w:right w:val="none" w:color="FFFFFF" w:sz="0"/>
            </w:tcBorders>
            <w:shd w:fill="1A3A5C" w:val="clear"/>
            <w:tcMar>
              <w:top w:type="dxa" w:w="260"/>
              <w:left w:type="dxa" w:w="360"/>
              <w:bottom w:type="dxa" w:w="180"/>
              <w:right w:type="dxa" w:w="360"/>
            </w:tcMar>
          </w:tcPr>
          <w:p>
            <w:r>
              <w:rPr>
                <w:rFonts w:ascii="Calibri" w:cs="Calibri" w:eastAsia="Calibri" w:hAnsi="Calibri"/>
                <w:b/>
                <w:bCs/>
                <w:color w:val="A8C4D8"/>
                <w:sz w:val="18"/>
                <w:szCs w:val="18"/>
              </w:rPr>
              <w:t xml:space="preserve">BI DASHBOARD SPECIFICATION  ·  V1.0</w:t>
            </w:r>
          </w:p>
          <w:p>
            <w:pPr>
              <w:spacing w:before="80" w:after="0"/>
            </w:pPr>
            <w:r>
              <w:rPr>
                <w:rFonts w:ascii="Calibri" w:cs="Calibri" w:eastAsia="Calibri" w:hAnsi="Calibri"/>
                <w:b/>
                <w:bCs/>
                <w:color w:val="FFFFFF"/>
                <w:sz w:val="44"/>
                <w:szCs w:val="44"/>
              </w:rPr>
              <w:t xml:space="preserve">ASX General Insurer KPI Dashboard</w:t>
            </w:r>
          </w:p>
          <w:p>
            <w:pPr>
              <w:spacing w:before="80" w:after="0"/>
            </w:pPr>
            <w:r>
              <w:rPr>
                <w:rFonts w:ascii="Calibri" w:cs="Calibri" w:eastAsia="Calibri" w:hAnsi="Calibri"/>
                <w:color w:val="A8C4D8"/>
                <w:sz w:val="22"/>
                <w:szCs w:val="22"/>
              </w:rPr>
              <w:t xml:space="preserve">QBE Insurance  ·  IAG  ·  Suncorp Group  ·  Power BI  ·  SQL  ·  DAX</w:t>
            </w:r>
          </w:p>
          <w:p>
            <w:pPr>
              <w:spacing w:before="40" w:after="0"/>
            </w:pPr>
            <w:r>
              <w:rPr>
                <w:rFonts w:ascii="Calibri" w:cs="Calibri" w:eastAsia="Calibri" w:hAnsi="Calibri"/>
                <w:color w:val="88B0C8"/>
                <w:sz w:val="19"/>
                <w:szCs w:val="19"/>
              </w:rPr>
              <w:t xml:space="preserve">Requirements  |  KPI Definitions  |  Data Model  |  Dashboard Layout  |  DAX Logic</w:t>
            </w:r>
          </w:p>
        </w:tc>
      </w:tr>
    </w:tbl>
    <w:p>
      <w:pPr>
        <w:spacing w:before="100" w:after="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36"/>
        <w:gridCol w:w="2436"/>
        <w:gridCol w:w="2437"/>
        <w:gridCol w:w="2437"/>
      </w:tblGrid>
      <w:tr>
        <w:tc>
          <w:tcPr>
            <w:tcBorders>
              <w:top w:val="single" w:color="E2E8F0" w:sz="4"/>
              <w:left w:val="single" w:color="E2E8F0" w:sz="4"/>
              <w:bottom w:val="single" w:color="E2E8F0" w:sz="4"/>
              <w:right w:val="single" w:color="E2E8F0" w:sz="4"/>
            </w:tcBorders>
            <w:shd w:fill="F0F4F8" w:val="clear"/>
            <w:tcMar>
              <w:top w:type="dxa" w:w="100"/>
              <w:left w:type="dxa" w:w="140"/>
              <w:bottom w:type="dxa" w:w="100"/>
              <w:right w:type="dxa" w:w="140"/>
            </w:tcMar>
          </w:tcPr>
          <w:p>
            <w:r>
              <w:rPr>
                <w:rFonts w:ascii="Calibri" w:cs="Calibri" w:eastAsia="Calibri" w:hAnsi="Calibri"/>
                <w:b/>
                <w:bCs/>
                <w:color w:val="0F1419"/>
                <w:sz w:val="17"/>
                <w:szCs w:val="17"/>
              </w:rPr>
              <w:t xml:space="preserve">Document version</w:t>
            </w:r>
          </w:p>
          <w:p>
            <w:r>
              <w:rPr>
                <w:rFonts w:ascii="Calibri" w:cs="Calibri" w:eastAsia="Calibri" w:hAnsi="Calibri"/>
                <w:color w:val="3D4A5A"/>
                <w:sz w:val="17"/>
                <w:szCs w:val="17"/>
              </w:rPr>
              <w:t xml:space="preserve">v1.0 — Final</w:t>
            </w:r>
          </w:p>
        </w:tc>
        <w:tc>
          <w:tcPr>
            <w:tcBorders>
              <w:top w:val="single" w:color="E2E8F0" w:sz="4"/>
              <w:left w:val="single" w:color="E2E8F0" w:sz="4"/>
              <w:bottom w:val="single" w:color="E2E8F0" w:sz="4"/>
              <w:right w:val="single" w:color="E2E8F0" w:sz="4"/>
            </w:tcBorders>
            <w:shd w:fill="F0F4F8" w:val="clear"/>
            <w:tcMar>
              <w:top w:type="dxa" w:w="100"/>
              <w:left w:type="dxa" w:w="140"/>
              <w:bottom w:type="dxa" w:w="100"/>
              <w:right w:type="dxa" w:w="140"/>
            </w:tcMar>
          </w:tcPr>
          <w:p>
            <w:r>
              <w:rPr>
                <w:rFonts w:ascii="Calibri" w:cs="Calibri" w:eastAsia="Calibri" w:hAnsi="Calibri"/>
                <w:b/>
                <w:bCs/>
                <w:color w:val="0F1419"/>
                <w:sz w:val="17"/>
                <w:szCs w:val="17"/>
              </w:rPr>
              <w:t xml:space="preserve">Author</w:t>
            </w:r>
          </w:p>
          <w:p>
            <w:r>
              <w:rPr>
                <w:rFonts w:ascii="Calibri" w:cs="Calibri" w:eastAsia="Calibri" w:hAnsi="Calibri"/>
                <w:color w:val="3D4A5A"/>
                <w:sz w:val="17"/>
                <w:szCs w:val="17"/>
              </w:rPr>
              <w:t xml:space="preserve">Suyash Thakuri</w:t>
            </w:r>
          </w:p>
        </w:tc>
        <w:tc>
          <w:tcPr>
            <w:tcBorders>
              <w:top w:val="single" w:color="E2E8F0" w:sz="4"/>
              <w:left w:val="single" w:color="E2E8F0" w:sz="4"/>
              <w:bottom w:val="single" w:color="E2E8F0" w:sz="4"/>
              <w:right w:val="single" w:color="E2E8F0" w:sz="4"/>
            </w:tcBorders>
            <w:shd w:fill="F0F4F8" w:val="clear"/>
            <w:tcMar>
              <w:top w:type="dxa" w:w="100"/>
              <w:left w:type="dxa" w:w="140"/>
              <w:bottom w:type="dxa" w:w="100"/>
              <w:right w:type="dxa" w:w="140"/>
            </w:tcMar>
          </w:tcPr>
          <w:p>
            <w:r>
              <w:rPr>
                <w:rFonts w:ascii="Calibri" w:cs="Calibri" w:eastAsia="Calibri" w:hAnsi="Calibri"/>
                <w:b/>
                <w:bCs/>
                <w:color w:val="0F1419"/>
                <w:sz w:val="17"/>
                <w:szCs w:val="17"/>
              </w:rPr>
              <w:t xml:space="preserve">Tools</w:t>
            </w:r>
          </w:p>
          <w:p>
            <w:r>
              <w:rPr>
                <w:rFonts w:ascii="Calibri" w:cs="Calibri" w:eastAsia="Calibri" w:hAnsi="Calibri"/>
                <w:color w:val="3D4A5A"/>
                <w:sz w:val="17"/>
                <w:szCs w:val="17"/>
              </w:rPr>
              <w:t xml:space="preserve">Power BI · SQL · DAX</w:t>
            </w:r>
          </w:p>
        </w:tc>
        <w:tc>
          <w:tcPr>
            <w:tcBorders>
              <w:top w:val="single" w:color="E2E8F0" w:sz="4"/>
              <w:left w:val="single" w:color="E2E8F0" w:sz="4"/>
              <w:bottom w:val="single" w:color="E2E8F0" w:sz="4"/>
              <w:right w:val="single" w:color="E2E8F0" w:sz="4"/>
            </w:tcBorders>
            <w:shd w:fill="E8F5F0" w:val="clear"/>
            <w:tcMar>
              <w:top w:type="dxa" w:w="100"/>
              <w:left w:type="dxa" w:w="140"/>
              <w:bottom w:type="dxa" w:w="100"/>
              <w:right w:type="dxa" w:w="140"/>
            </w:tcMar>
          </w:tcPr>
          <w:p>
            <w:r>
              <w:rPr>
                <w:rFonts w:ascii="Calibri" w:cs="Calibri" w:eastAsia="Calibri" w:hAnsi="Calibri"/>
                <w:b/>
                <w:bCs/>
                <w:color w:val="1A6B4A"/>
                <w:sz w:val="17"/>
                <w:szCs w:val="17"/>
              </w:rPr>
              <w:t xml:space="preserve">Status</w:t>
            </w:r>
          </w:p>
          <w:p>
            <w:r>
              <w:rPr>
                <w:rFonts w:ascii="Calibri" w:cs="Calibri" w:eastAsia="Calibri" w:hAnsi="Calibri"/>
                <w:color w:val="1A6B4A"/>
                <w:sz w:val="17"/>
                <w:szCs w:val="17"/>
              </w:rPr>
              <w:t xml:space="preserve">Dashboard delivered</w:t>
            </w:r>
          </w:p>
        </w:tc>
      </w:tr>
    </w:tbl>
    <w:p>
      <w:pPr>
        <w:spacing w:before="80" w:after="0"/>
      </w:pPr>
    </w:p>
    <w:p>
      <w:r>
        <w:rPr>
          <w:rFonts w:ascii="Calibri" w:cs="Calibri" w:eastAsia="Calibri" w:hAnsi="Calibri"/>
          <w:i/>
          <w:iCs/>
          <w:color w:val="6B7A8D"/>
          <w:sz w:val="16"/>
          <w:szCs w:val="16"/>
        </w:rPr>
        <w:t xml:space="preserve">GitHub: github.com/Suyashthakuri/asx-insurer-kpi-dashboard-</w:t>
      </w:r>
    </w:p>
    <w:p>
      <w:r>
        <w:br w:type="page"/>
      </w:r>
    </w:p>
    <w:p>
      <w:pPr>
        <w:pBdr>
          <w:bottom w:val="single" w:color="1A6B4A" w:sz="8" w:space="4"/>
        </w:pBdr>
        <w:spacing w:before="280" w:after="80"/>
      </w:pPr>
      <w:r>
        <w:rPr>
          <w:rFonts w:ascii="Calibri" w:cs="Calibri" w:eastAsia="Calibri" w:hAnsi="Calibri"/>
          <w:b/>
          <w:bCs/>
          <w:color w:val="1A6B4A"/>
          <w:sz w:val="22"/>
          <w:szCs w:val="22"/>
        </w:rPr>
        <w:t xml:space="preserve">1. BUSINESS CONTEXT &amp; OBJECTIVES</w:t>
      </w:r>
    </w:p>
    <w:p>
      <w:pPr>
        <w:spacing w:before="180" w:after="60"/>
      </w:pPr>
      <w:r>
        <w:rPr>
          <w:rFonts w:ascii="Calibri" w:cs="Calibri" w:eastAsia="Calibri" w:hAnsi="Calibri"/>
          <w:b/>
          <w:bCs/>
          <w:color w:val="0F1419"/>
          <w:sz w:val="21"/>
          <w:szCs w:val="21"/>
        </w:rPr>
        <w:t xml:space="preserve">1.1 Background</w:t>
      </w:r>
    </w:p>
    <w:p>
      <w:pPr>
        <w:spacing w:before="50" w:after="50"/>
      </w:pPr>
      <w:r>
        <w:rPr>
          <w:rFonts w:ascii="Calibri" w:cs="Calibri" w:eastAsia="Calibri" w:hAnsi="Calibri"/>
          <w:color w:val="3D4A5A"/>
          <w:sz w:val="19"/>
          <w:szCs w:val="19"/>
        </w:rPr>
        <w:t xml:space="preserve">The Australian general insurance market is dominated by three ASX-listed groups — </w:t>
      </w:r>
      <w:r>
        <w:rPr>
          <w:rFonts w:ascii="Calibri" w:cs="Calibri" w:eastAsia="Calibri" w:hAnsi="Calibri"/>
          <w:b/>
          <w:bCs/>
          <w:color w:val="0F1419"/>
          <w:sz w:val="19"/>
          <w:szCs w:val="19"/>
        </w:rPr>
        <w:t xml:space="preserve">QBE Insurance (QBE.AX)</w:t>
      </w:r>
      <w:r>
        <w:rPr>
          <w:rFonts w:ascii="Calibri" w:cs="Calibri" w:eastAsia="Calibri" w:hAnsi="Calibri"/>
          <w:color w:val="3D4A5A"/>
          <w:sz w:val="19"/>
          <w:szCs w:val="19"/>
        </w:rPr>
        <w:t xml:space="preserve">, </w:t>
      </w:r>
      <w:r>
        <w:rPr>
          <w:rFonts w:ascii="Calibri" w:cs="Calibri" w:eastAsia="Calibri" w:hAnsi="Calibri"/>
          <w:b/>
          <w:bCs/>
          <w:color w:val="0F1419"/>
          <w:sz w:val="19"/>
          <w:szCs w:val="19"/>
        </w:rPr>
        <w:t xml:space="preserve">Insurance Australia Group (IAG.AX)</w:t>
      </w:r>
      <w:r>
        <w:rPr>
          <w:rFonts w:ascii="Calibri" w:cs="Calibri" w:eastAsia="Calibri" w:hAnsi="Calibri"/>
          <w:color w:val="3D4A5A"/>
          <w:sz w:val="19"/>
          <w:szCs w:val="19"/>
        </w:rPr>
        <w:t xml:space="preserve">, and </w:t>
      </w:r>
      <w:r>
        <w:rPr>
          <w:rFonts w:ascii="Calibri" w:cs="Calibri" w:eastAsia="Calibri" w:hAnsi="Calibri"/>
          <w:b/>
          <w:bCs/>
          <w:color w:val="0F1419"/>
          <w:sz w:val="19"/>
          <w:szCs w:val="19"/>
        </w:rPr>
        <w:t xml:space="preserve">Suncorp Group (SUN.AX)</w:t>
      </w:r>
      <w:r>
        <w:rPr>
          <w:rFonts w:ascii="Calibri" w:cs="Calibri" w:eastAsia="Calibri" w:hAnsi="Calibri"/>
          <w:color w:val="3D4A5A"/>
          <w:sz w:val="19"/>
          <w:szCs w:val="19"/>
        </w:rPr>
        <w:t xml:space="preserve">. Together they represent approximately 70% of Australian premium income. Analysts, fund managers, and internal finance teams monitoring these companies need a consolidated view of financial and operational performance across a consistent set of metrics.</w:t>
      </w:r>
    </w:p>
    <w:p>
      <w:pPr>
        <w:spacing w:before="40" w:after="0"/>
      </w:pPr>
    </w:p>
    <w:p>
      <w:pPr>
        <w:spacing w:before="50" w:after="50"/>
      </w:pPr>
      <w:r>
        <w:rPr>
          <w:rFonts w:ascii="Calibri" w:cs="Calibri" w:eastAsia="Calibri" w:hAnsi="Calibri"/>
          <w:color w:val="3D4A5A"/>
          <w:sz w:val="19"/>
          <w:szCs w:val="19"/>
        </w:rPr>
        <w:t xml:space="preserve">This dashboard was commissioned by the investment research team to replace a manual quarterly reporting process that consumed approximately </w:t>
      </w:r>
      <w:r>
        <w:rPr>
          <w:rFonts w:ascii="Calibri" w:cs="Calibri" w:eastAsia="Calibri" w:hAnsi="Calibri"/>
          <w:b/>
          <w:bCs/>
          <w:color w:val="0F1419"/>
          <w:sz w:val="19"/>
          <w:szCs w:val="19"/>
        </w:rPr>
        <w:t xml:space="preserve">3–4 hours per analyst per reporting cycle</w:t>
      </w:r>
      <w:r>
        <w:rPr>
          <w:rFonts w:ascii="Calibri" w:cs="Calibri" w:eastAsia="Calibri" w:hAnsi="Calibri"/>
          <w:color w:val="3D4A5A"/>
          <w:sz w:val="19"/>
          <w:szCs w:val="19"/>
        </w:rPr>
        <w:t xml:space="preserve">, required data from three separate sources, and produced inconsistent calculations across reports.</w:t>
      </w:r>
    </w:p>
    <w:p>
      <w:pPr>
        <w:spacing w:before="60" w:after="0"/>
      </w:pPr>
    </w:p>
    <w:p>
      <w:pPr>
        <w:spacing w:before="180" w:after="60"/>
      </w:pPr>
      <w:r>
        <w:rPr>
          <w:rFonts w:ascii="Calibri" w:cs="Calibri" w:eastAsia="Calibri" w:hAnsi="Calibri"/>
          <w:b/>
          <w:bCs/>
          <w:color w:val="0F1419"/>
          <w:sz w:val="21"/>
          <w:szCs w:val="21"/>
        </w:rPr>
        <w:t xml:space="preserve">1.2 Business Objectives</w:t>
      </w:r>
    </w:p>
    <w:p>
      <w:pPr>
        <w:pStyle w:val="ListParagraph"/>
        <w:numPr>
          <w:ilvl w:val="0"/>
          <w:numId w:val="2"/>
        </w:numPr>
        <w:spacing w:before="40" w:after="40"/>
      </w:pPr>
      <w:r>
        <w:rPr>
          <w:rFonts w:ascii="Calibri" w:cs="Calibri" w:eastAsia="Calibri" w:hAnsi="Calibri"/>
          <w:color w:val="3D4A5A"/>
          <w:sz w:val="19"/>
          <w:szCs w:val="19"/>
        </w:rPr>
        <w:t xml:space="preserve">Replace manual Excel-based comparison reports with a single automated Power BI dashboard refreshed on a quarterly basis</w:t>
      </w:r>
    </w:p>
    <w:p>
      <w:pPr>
        <w:pStyle w:val="ListParagraph"/>
        <w:numPr>
          <w:ilvl w:val="0"/>
          <w:numId w:val="2"/>
        </w:numPr>
        <w:spacing w:before="40" w:after="40"/>
      </w:pPr>
      <w:r>
        <w:rPr>
          <w:rFonts w:ascii="Calibri" w:cs="Calibri" w:eastAsia="Calibri" w:hAnsi="Calibri"/>
          <w:color w:val="3D4A5A"/>
          <w:sz w:val="19"/>
          <w:szCs w:val="19"/>
        </w:rPr>
        <w:t xml:space="preserve">Enable consistent KPI calculation across all three insurers using a single calculation layer</w:t>
      </w:r>
    </w:p>
    <w:p>
      <w:pPr>
        <w:pStyle w:val="ListParagraph"/>
        <w:numPr>
          <w:ilvl w:val="0"/>
          <w:numId w:val="2"/>
        </w:numPr>
        <w:spacing w:before="40" w:after="40"/>
      </w:pPr>
      <w:r>
        <w:rPr>
          <w:rFonts w:ascii="Calibri" w:cs="Calibri" w:eastAsia="Calibri" w:hAnsi="Calibri"/>
          <w:color w:val="3D4A5A"/>
          <w:sz w:val="19"/>
          <w:szCs w:val="19"/>
        </w:rPr>
        <w:t xml:space="preserve">Allow drill-through from summary metrics to company-level detail without switching reports</w:t>
      </w:r>
    </w:p>
    <w:p>
      <w:pPr>
        <w:pStyle w:val="ListParagraph"/>
        <w:numPr>
          <w:ilvl w:val="0"/>
          <w:numId w:val="2"/>
        </w:numPr>
        <w:spacing w:before="40" w:after="40"/>
      </w:pPr>
      <w:r>
        <w:rPr>
          <w:rFonts w:ascii="Calibri" w:cs="Calibri" w:eastAsia="Calibri" w:hAnsi="Calibri"/>
          <w:color w:val="3D4A5A"/>
          <w:sz w:val="19"/>
          <w:szCs w:val="19"/>
        </w:rPr>
        <w:t xml:space="preserve">Reduce reporting preparation time by at least 80% per analyst per cycle</w:t>
      </w:r>
    </w:p>
    <w:p>
      <w:pPr>
        <w:pStyle w:val="ListParagraph"/>
        <w:numPr>
          <w:ilvl w:val="0"/>
          <w:numId w:val="2"/>
        </w:numPr>
        <w:spacing w:before="40" w:after="40"/>
      </w:pPr>
      <w:r>
        <w:rPr>
          <w:rFonts w:ascii="Calibri" w:cs="Calibri" w:eastAsia="Calibri" w:hAnsi="Calibri"/>
          <w:color w:val="3D4A5A"/>
          <w:sz w:val="19"/>
          <w:szCs w:val="19"/>
        </w:rPr>
        <w:t xml:space="preserve">Support investment committee meetings with a single authoritative view of sector performance</w:t>
      </w:r>
    </w:p>
    <w:p>
      <w:pPr>
        <w:spacing w:before="60" w:after="0"/>
      </w:pPr>
    </w:p>
    <w:p>
      <w:pPr>
        <w:spacing w:before="180" w:after="60"/>
      </w:pPr>
      <w:r>
        <w:rPr>
          <w:rFonts w:ascii="Calibri" w:cs="Calibri" w:eastAsia="Calibri" w:hAnsi="Calibri"/>
          <w:b/>
          <w:bCs/>
          <w:color w:val="0F1419"/>
          <w:sz w:val="21"/>
          <w:szCs w:val="21"/>
        </w:rPr>
        <w:t xml:space="preserve">1.3 Primary Stakeholders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673"/>
        <w:gridCol w:w="2673"/>
      </w:tblGrid>
      <w:tr>
        <w:tc>
          <w:tcPr>
            <w:tcBorders>
              <w:top w:val="single" w:color="E2E8F0" w:sz="4"/>
              <w:left w:val="single" w:color="E2E8F0" w:sz="4"/>
              <w:bottom w:val="single" w:color="E2E8F0" w:sz="4"/>
              <w:right w:val="single" w:color="E2E8F0" w:sz="4"/>
            </w:tcBorders>
            <w:shd w:fill="1A6B4A" w:val="clear"/>
            <w:tcMar>
              <w:top w:type="dxa" w:w="90"/>
              <w:left w:type="dxa" w:w="120"/>
              <w:bottom w:type="dxa" w:w="90"/>
              <w:right w:type="dxa" w:w="120"/>
            </w:tcMar>
          </w:tcPr>
          <w:p>
            <w:r>
              <w:rPr>
                <w:rFonts w:ascii="Calibri" w:cs="Calibri" w:eastAsia="Calibri" w:hAnsi="Calibri"/>
                <w:b/>
                <w:bCs/>
                <w:color w:val="FFFFFF"/>
                <w:sz w:val="18"/>
                <w:szCs w:val="18"/>
              </w:rPr>
              <w:t xml:space="preserve">Stakeholder</w:t>
            </w:r>
          </w:p>
        </w:tc>
        <w:tc>
          <w:tcPr>
            <w:tcBorders>
              <w:top w:val="single" w:color="E2E8F0" w:sz="4"/>
              <w:left w:val="single" w:color="E2E8F0" w:sz="4"/>
              <w:bottom w:val="single" w:color="E2E8F0" w:sz="4"/>
              <w:right w:val="single" w:color="E2E8F0" w:sz="4"/>
            </w:tcBorders>
            <w:shd w:fill="1A6B4A" w:val="clear"/>
            <w:tcMar>
              <w:top w:type="dxa" w:w="90"/>
              <w:left w:type="dxa" w:w="120"/>
              <w:bottom w:type="dxa" w:w="90"/>
              <w:right w:type="dxa" w:w="120"/>
            </w:tcMar>
          </w:tcPr>
          <w:p>
            <w:r>
              <w:rPr>
                <w:rFonts w:ascii="Calibri" w:cs="Calibri" w:eastAsia="Calibri" w:hAnsi="Calibri"/>
                <w:b/>
                <w:bCs/>
                <w:color w:val="FFFFFF"/>
                <w:sz w:val="18"/>
                <w:szCs w:val="18"/>
              </w:rPr>
              <w:t xml:space="preserve">Role</w:t>
            </w:r>
          </w:p>
        </w:tc>
        <w:tc>
          <w:tcPr>
            <w:tcBorders>
              <w:top w:val="single" w:color="E2E8F0" w:sz="4"/>
              <w:left w:val="single" w:color="E2E8F0" w:sz="4"/>
              <w:bottom w:val="single" w:color="E2E8F0" w:sz="4"/>
              <w:right w:val="single" w:color="E2E8F0" w:sz="4"/>
            </w:tcBorders>
            <w:shd w:fill="1A6B4A" w:val="clear"/>
            <w:tcMar>
              <w:top w:type="dxa" w:w="90"/>
              <w:left w:type="dxa" w:w="120"/>
              <w:bottom w:type="dxa" w:w="90"/>
              <w:right w:type="dxa" w:w="120"/>
            </w:tcMar>
          </w:tcPr>
          <w:p>
            <w:r>
              <w:rPr>
                <w:rFonts w:ascii="Calibri" w:cs="Calibri" w:eastAsia="Calibri" w:hAnsi="Calibri"/>
                <w:b/>
                <w:bCs/>
                <w:color w:val="FFFFFF"/>
                <w:sz w:val="18"/>
                <w:szCs w:val="18"/>
              </w:rPr>
              <w:t xml:space="preserve">Primary Use</w:t>
            </w:r>
          </w:p>
        </w:tc>
        <w:tc>
          <w:tcPr>
            <w:tcBorders>
              <w:top w:val="single" w:color="E2E8F0" w:sz="4"/>
              <w:left w:val="single" w:color="E2E8F0" w:sz="4"/>
              <w:bottom w:val="single" w:color="E2E8F0" w:sz="4"/>
              <w:right w:val="single" w:color="E2E8F0" w:sz="4"/>
            </w:tcBorders>
            <w:shd w:fill="1A6B4A" w:val="clear"/>
            <w:tcMar>
              <w:top w:type="dxa" w:w="90"/>
              <w:left w:type="dxa" w:w="120"/>
              <w:bottom w:type="dxa" w:w="90"/>
              <w:right w:type="dxa" w:w="120"/>
            </w:tcMar>
          </w:tcPr>
          <w:p>
            <w:r>
              <w:rPr>
                <w:rFonts w:ascii="Calibri" w:cs="Calibri" w:eastAsia="Calibri" w:hAnsi="Calibri"/>
                <w:b/>
                <w:bCs/>
                <w:color w:val="FFFFFF"/>
                <w:sz w:val="18"/>
                <w:szCs w:val="18"/>
              </w:rPr>
              <w:t xml:space="preserve">Key Questions</w:t>
            </w:r>
          </w:p>
        </w:tc>
      </w:tr>
      <w:tr>
        <w:tc>
          <w:tcPr>
            <w:tcBorders>
              <w:top w:val="single" w:color="E2E8F0" w:sz="4"/>
              <w:left w:val="single" w:color="E2E8F0" w:sz="4"/>
              <w:bottom w:val="single" w:color="E2E8F0" w:sz="4"/>
              <w:right w:val="single" w:color="E2E8F0" w:sz="4"/>
            </w:tcBorders>
            <w:shd w:fill="E8F5F0" w:val="clear"/>
            <w:tcMar>
              <w:top w:type="dxa" w:w="90"/>
              <w:left w:type="dxa" w:w="120"/>
              <w:bottom w:type="dxa" w:w="90"/>
              <w:right w:type="dxa" w:w="120"/>
            </w:tcMar>
            <w:vAlign w:val="center"/>
          </w:tcPr>
          <w:p>
            <w:pPr>
              <w:jc w:val="left"/>
            </w:pPr>
            <w:r>
              <w:rPr>
                <w:rFonts w:ascii="Calibri" w:cs="Calibri" w:eastAsia="Calibri" w:hAnsi="Calibri"/>
                <w:b/>
                <w:bCs/>
                <w:color w:val="0F1419"/>
                <w:sz w:val="18"/>
                <w:szCs w:val="18"/>
              </w:rPr>
              <w:t xml:space="preserve">Investment Committee</w:t>
            </w:r>
          </w:p>
        </w:tc>
        <w:tc>
          <w:tcPr>
            <w:tcBorders>
              <w:top w:val="single" w:color="E2E8F0" w:sz="4"/>
              <w:left w:val="single" w:color="E2E8F0" w:sz="4"/>
              <w:bottom w:val="single" w:color="E2E8F0" w:sz="4"/>
              <w:right w:val="single" w:color="E2E8F0" w:sz="4"/>
            </w:tcBorders>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Decision makers</w:t>
            </w:r>
          </w:p>
        </w:tc>
        <w:tc>
          <w:tcPr>
            <w:tcBorders>
              <w:top w:val="single" w:color="E2E8F0" w:sz="4"/>
              <w:left w:val="single" w:color="E2E8F0" w:sz="4"/>
              <w:bottom w:val="single" w:color="E2E8F0" w:sz="4"/>
              <w:right w:val="single" w:color="E2E8F0" w:sz="4"/>
            </w:tcBorders>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Quarterly review — comparative sector view</w:t>
            </w:r>
          </w:p>
        </w:tc>
        <w:tc>
          <w:tcPr>
            <w:tcBorders>
              <w:top w:val="single" w:color="E2E8F0" w:sz="4"/>
              <w:left w:val="single" w:color="E2E8F0" w:sz="4"/>
              <w:bottom w:val="single" w:color="E2E8F0" w:sz="4"/>
              <w:right w:val="single" w:color="E2E8F0" w:sz="4"/>
            </w:tcBorders>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Which insurer is performing best? Is COR improving?</w:t>
            </w:r>
          </w:p>
        </w:tc>
      </w:tr>
      <w:tr>
        <w:tc>
          <w:tcPr>
            <w:tcBorders>
              <w:top w:val="single" w:color="E2E8F0" w:sz="4"/>
              <w:left w:val="single" w:color="E2E8F0" w:sz="4"/>
              <w:bottom w:val="single" w:color="E2E8F0" w:sz="4"/>
              <w:right w:val="single" w:color="E2E8F0" w:sz="4"/>
            </w:tcBorders>
            <w:shd w:fill="F0F4F8"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Research Analysts</w:t>
            </w:r>
          </w:p>
        </w:tc>
        <w:tc>
          <w:tcPr>
            <w:tcBorders>
              <w:top w:val="single" w:color="E2E8F0" w:sz="4"/>
              <w:left w:val="single" w:color="E2E8F0" w:sz="4"/>
              <w:bottom w:val="single" w:color="E2E8F0" w:sz="4"/>
              <w:right w:val="single" w:color="E2E8F0" w:sz="4"/>
            </w:tcBorders>
            <w:shd w:fill="F0F4F8"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Primary users</w:t>
            </w:r>
          </w:p>
        </w:tc>
        <w:tc>
          <w:tcPr>
            <w:tcBorders>
              <w:top w:val="single" w:color="E2E8F0" w:sz="4"/>
              <w:left w:val="single" w:color="E2E8F0" w:sz="4"/>
              <w:bottom w:val="single" w:color="E2E8F0" w:sz="4"/>
              <w:right w:val="single" w:color="E2E8F0" w:sz="4"/>
            </w:tcBorders>
            <w:shd w:fill="F0F4F8"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Ongoing monitoring — trend analysis</w:t>
            </w:r>
          </w:p>
        </w:tc>
        <w:tc>
          <w:tcPr>
            <w:tcBorders>
              <w:top w:val="single" w:color="E2E8F0" w:sz="4"/>
              <w:left w:val="single" w:color="E2E8F0" w:sz="4"/>
              <w:bottom w:val="single" w:color="E2E8F0" w:sz="4"/>
              <w:right w:val="single" w:color="E2E8F0" w:sz="4"/>
            </w:tcBorders>
            <w:shd w:fill="F0F4F8"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How is QBE tracking vs IAG YoY? What drove the COR change?</w:t>
            </w:r>
          </w:p>
        </w:tc>
      </w:tr>
      <w:tr>
        <w:tc>
          <w:tcPr>
            <w:tcBorders>
              <w:top w:val="single" w:color="E2E8F0" w:sz="4"/>
              <w:left w:val="single" w:color="E2E8F0" w:sz="4"/>
              <w:bottom w:val="single" w:color="E2E8F0" w:sz="4"/>
              <w:right w:val="single" w:color="E2E8F0" w:sz="4"/>
            </w:tcBorders>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Portfolio Managers</w:t>
            </w:r>
          </w:p>
        </w:tc>
        <w:tc>
          <w:tcPr>
            <w:tcBorders>
              <w:top w:val="single" w:color="E2E8F0" w:sz="4"/>
              <w:left w:val="single" w:color="E2E8F0" w:sz="4"/>
              <w:bottom w:val="single" w:color="E2E8F0" w:sz="4"/>
              <w:right w:val="single" w:color="E2E8F0" w:sz="4"/>
            </w:tcBorders>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Secondary users</w:t>
            </w:r>
          </w:p>
        </w:tc>
        <w:tc>
          <w:tcPr>
            <w:tcBorders>
              <w:top w:val="single" w:color="E2E8F0" w:sz="4"/>
              <w:left w:val="single" w:color="E2E8F0" w:sz="4"/>
              <w:bottom w:val="single" w:color="E2E8F0" w:sz="4"/>
              <w:right w:val="single" w:color="E2E8F0" w:sz="4"/>
            </w:tcBorders>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Ad hoc queries during reporting season</w:t>
            </w:r>
          </w:p>
        </w:tc>
        <w:tc>
          <w:tcPr>
            <w:tcBorders>
              <w:top w:val="single" w:color="E2E8F0" w:sz="4"/>
              <w:left w:val="single" w:color="E2E8F0" w:sz="4"/>
              <w:bottom w:val="single" w:color="E2E8F0" w:sz="4"/>
              <w:right w:val="single" w:color="E2E8F0" w:sz="4"/>
            </w:tcBorders>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Which company has the best combined ratio trajectory?</w:t>
            </w:r>
          </w:p>
        </w:tc>
      </w:tr>
      <w:tr>
        <w:tc>
          <w:tcPr>
            <w:tcBorders>
              <w:top w:val="single" w:color="E2E8F0" w:sz="4"/>
              <w:left w:val="single" w:color="E2E8F0" w:sz="4"/>
              <w:bottom w:val="single" w:color="E2E8F0" w:sz="4"/>
              <w:right w:val="single" w:color="E2E8F0" w:sz="4"/>
            </w:tcBorders>
            <w:shd w:fill="F0F4F8"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Finance Team</w:t>
            </w:r>
          </w:p>
        </w:tc>
        <w:tc>
          <w:tcPr>
            <w:tcBorders>
              <w:top w:val="single" w:color="E2E8F0" w:sz="4"/>
              <w:left w:val="single" w:color="E2E8F0" w:sz="4"/>
              <w:bottom w:val="single" w:color="E2E8F0" w:sz="4"/>
              <w:right w:val="single" w:color="E2E8F0" w:sz="4"/>
            </w:tcBorders>
            <w:shd w:fill="F0F4F8"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Administrators</w:t>
            </w:r>
          </w:p>
        </w:tc>
        <w:tc>
          <w:tcPr>
            <w:tcBorders>
              <w:top w:val="single" w:color="E2E8F0" w:sz="4"/>
              <w:left w:val="single" w:color="E2E8F0" w:sz="4"/>
              <w:bottom w:val="single" w:color="E2E8F0" w:sz="4"/>
              <w:right w:val="single" w:color="E2E8F0" w:sz="4"/>
            </w:tcBorders>
            <w:shd w:fill="F0F4F8"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Data validation and refresh</w:t>
            </w:r>
          </w:p>
        </w:tc>
        <w:tc>
          <w:tcPr>
            <w:tcBorders>
              <w:top w:val="single" w:color="E2E8F0" w:sz="4"/>
              <w:left w:val="single" w:color="E2E8F0" w:sz="4"/>
              <w:bottom w:val="single" w:color="E2E8F0" w:sz="4"/>
              <w:right w:val="single" w:color="E2E8F0" w:sz="4"/>
            </w:tcBorders>
            <w:shd w:fill="F0F4F8"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Is the data correct? Has the source file updated?</w:t>
            </w:r>
          </w:p>
        </w:tc>
      </w:tr>
    </w:tbl>
    <w:p>
      <w:pPr>
        <w:spacing w:before="200" w:after="0"/>
      </w:pPr>
    </w:p>
    <w:p>
      <w:r>
        <w:br w:type="page"/>
      </w:r>
    </w:p>
    <w:p>
      <w:pPr>
        <w:pBdr>
          <w:bottom w:val="single" w:color="1A6B4A" w:sz="8" w:space="4"/>
        </w:pBdr>
        <w:spacing w:before="280" w:after="80"/>
      </w:pPr>
      <w:r>
        <w:rPr>
          <w:rFonts w:ascii="Calibri" w:cs="Calibri" w:eastAsia="Calibri" w:hAnsi="Calibri"/>
          <w:b/>
          <w:bCs/>
          <w:color w:val="1A6B4A"/>
          <w:sz w:val="22"/>
          <w:szCs w:val="22"/>
        </w:rPr>
        <w:t xml:space="preserve">2. KPI DEFINITIONS &amp; BUSINESS RULES</w:t>
      </w:r>
    </w:p>
    <w:p>
      <w:pPr>
        <w:spacing w:before="50" w:after="50"/>
      </w:pPr>
      <w:r>
        <w:rPr>
          <w:rFonts w:ascii="Calibri" w:cs="Calibri" w:eastAsia="Calibri" w:hAnsi="Calibri"/>
          <w:color w:val="3D4A5A"/>
          <w:sz w:val="19"/>
          <w:szCs w:val="19"/>
        </w:rPr>
        <w:t xml:space="preserve">All KPIs are calculated consistently across all three insurers using the definitions below. Any deviation from these definitions in source data is resolved at the Power Query transformation layer before loading to the data model.</w:t>
      </w:r>
    </w:p>
    <w:p>
      <w:pPr>
        <w:spacing w:before="60" w:after="0"/>
      </w:pPr>
    </w:p>
    <w:p>
      <w:pPr>
        <w:spacing w:before="180" w:after="60"/>
      </w:pPr>
      <w:r>
        <w:rPr>
          <w:rFonts w:ascii="Calibri" w:cs="Calibri" w:eastAsia="Calibri" w:hAnsi="Calibri"/>
          <w:b/>
          <w:bCs/>
          <w:color w:val="0F1419"/>
          <w:sz w:val="21"/>
          <w:szCs w:val="21"/>
        </w:rPr>
        <w:t xml:space="preserve">2.1 Core Insurance KPIs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2546"/>
        <w:gridCol w:w="2000"/>
      </w:tblGrid>
      <w:tr>
        <w:tc>
          <w:tcPr>
            <w:tcBorders>
              <w:top w:val="single" w:color="E2E8F0" w:sz="4"/>
              <w:left w:val="single" w:color="E2E8F0" w:sz="4"/>
              <w:bottom w:val="single" w:color="E2E8F0" w:sz="4"/>
              <w:right w:val="single" w:color="E2E8F0" w:sz="4"/>
            </w:tcBorders>
            <w:shd w:fill="1A6B4A" w:val="clear"/>
            <w:tcMar>
              <w:top w:type="dxa" w:w="90"/>
              <w:left w:type="dxa" w:w="120"/>
              <w:bottom w:type="dxa" w:w="90"/>
              <w:right w:type="dxa" w:w="120"/>
            </w:tcMar>
          </w:tcPr>
          <w:p>
            <w:r>
              <w:rPr>
                <w:rFonts w:ascii="Calibri" w:cs="Calibri" w:eastAsia="Calibri" w:hAnsi="Calibri"/>
                <w:b/>
                <w:bCs/>
                <w:color w:val="FFFFFF"/>
                <w:sz w:val="18"/>
                <w:szCs w:val="18"/>
              </w:rPr>
              <w:t xml:space="preserve">KPI</w:t>
            </w:r>
          </w:p>
        </w:tc>
        <w:tc>
          <w:tcPr>
            <w:tcBorders>
              <w:top w:val="single" w:color="E2E8F0" w:sz="4"/>
              <w:left w:val="single" w:color="E2E8F0" w:sz="4"/>
              <w:bottom w:val="single" w:color="E2E8F0" w:sz="4"/>
              <w:right w:val="single" w:color="E2E8F0" w:sz="4"/>
            </w:tcBorders>
            <w:shd w:fill="1A6B4A" w:val="clear"/>
            <w:tcMar>
              <w:top w:type="dxa" w:w="90"/>
              <w:left w:type="dxa" w:w="120"/>
              <w:bottom w:type="dxa" w:w="90"/>
              <w:right w:type="dxa" w:w="120"/>
            </w:tcMar>
          </w:tcPr>
          <w:p>
            <w:r>
              <w:rPr>
                <w:rFonts w:ascii="Calibri" w:cs="Calibri" w:eastAsia="Calibri" w:hAnsi="Calibri"/>
                <w:b/>
                <w:bCs/>
                <w:color w:val="FFFFFF"/>
                <w:sz w:val="18"/>
                <w:szCs w:val="18"/>
              </w:rPr>
              <w:t xml:space="preserve">Definition</w:t>
            </w:r>
          </w:p>
        </w:tc>
        <w:tc>
          <w:tcPr>
            <w:tcBorders>
              <w:top w:val="single" w:color="E2E8F0" w:sz="4"/>
              <w:left w:val="single" w:color="E2E8F0" w:sz="4"/>
              <w:bottom w:val="single" w:color="E2E8F0" w:sz="4"/>
              <w:right w:val="single" w:color="E2E8F0" w:sz="4"/>
            </w:tcBorders>
            <w:shd w:fill="1A6B4A" w:val="clear"/>
            <w:tcMar>
              <w:top w:type="dxa" w:w="90"/>
              <w:left w:type="dxa" w:w="120"/>
              <w:bottom w:type="dxa" w:w="90"/>
              <w:right w:type="dxa" w:w="120"/>
            </w:tcMar>
          </w:tcPr>
          <w:p>
            <w:r>
              <w:rPr>
                <w:rFonts w:ascii="Calibri" w:cs="Calibri" w:eastAsia="Calibri" w:hAnsi="Calibri"/>
                <w:b/>
                <w:bCs/>
                <w:color w:val="FFFFFF"/>
                <w:sz w:val="18"/>
                <w:szCs w:val="18"/>
              </w:rPr>
              <w:t xml:space="preserve">Formula</w:t>
            </w:r>
          </w:p>
        </w:tc>
        <w:tc>
          <w:tcPr>
            <w:tcBorders>
              <w:top w:val="single" w:color="E2E8F0" w:sz="4"/>
              <w:left w:val="single" w:color="E2E8F0" w:sz="4"/>
              <w:bottom w:val="single" w:color="E2E8F0" w:sz="4"/>
              <w:right w:val="single" w:color="E2E8F0" w:sz="4"/>
            </w:tcBorders>
            <w:shd w:fill="1A6B4A" w:val="clear"/>
            <w:tcMar>
              <w:top w:type="dxa" w:w="90"/>
              <w:left w:type="dxa" w:w="120"/>
              <w:bottom w:type="dxa" w:w="90"/>
              <w:right w:type="dxa" w:w="120"/>
            </w:tcMar>
          </w:tcPr>
          <w:p>
            <w:r>
              <w:rPr>
                <w:rFonts w:ascii="Calibri" w:cs="Calibri" w:eastAsia="Calibri" w:hAnsi="Calibri"/>
                <w:b/>
                <w:bCs/>
                <w:color w:val="FFFFFF"/>
                <w:sz w:val="18"/>
                <w:szCs w:val="18"/>
              </w:rPr>
              <w:t xml:space="preserve">Target / Benchmark</w:t>
            </w:r>
          </w:p>
        </w:tc>
      </w:tr>
      <w:tr>
        <w:tc>
          <w:tcPr>
            <w:tcBorders>
              <w:top w:val="single" w:color="E2E8F0" w:sz="4"/>
              <w:left w:val="single" w:color="E2E8F0" w:sz="4"/>
              <w:bottom w:val="single" w:color="E2E8F0" w:sz="4"/>
              <w:right w:val="single" w:color="E2E8F0" w:sz="4"/>
            </w:tcBorders>
            <w:shd w:fill="E8F5F0" w:val="clear"/>
            <w:tcMar>
              <w:top w:type="dxa" w:w="90"/>
              <w:left w:type="dxa" w:w="120"/>
              <w:bottom w:type="dxa" w:w="90"/>
              <w:right w:type="dxa" w:w="120"/>
            </w:tcMar>
            <w:vAlign w:val="center"/>
          </w:tcPr>
          <w:p>
            <w:pPr>
              <w:jc w:val="left"/>
            </w:pPr>
            <w:r>
              <w:rPr>
                <w:rFonts w:ascii="Calibri" w:cs="Calibri" w:eastAsia="Calibri" w:hAnsi="Calibri"/>
                <w:b/>
                <w:bCs/>
                <w:color w:val="0F1419"/>
                <w:sz w:val="18"/>
                <w:szCs w:val="18"/>
              </w:rPr>
              <w:t xml:space="preserve">Gross Written Premium (GWP)</w:t>
            </w:r>
          </w:p>
        </w:tc>
        <w:tc>
          <w:tcPr>
            <w:tcBorders>
              <w:top w:val="single" w:color="E2E8F0" w:sz="4"/>
              <w:left w:val="single" w:color="E2E8F0" w:sz="4"/>
              <w:bottom w:val="single" w:color="E2E8F0" w:sz="4"/>
              <w:right w:val="single" w:color="E2E8F0" w:sz="4"/>
            </w:tcBorders>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Total premium income written during the period before reinsurance</w:t>
            </w:r>
          </w:p>
        </w:tc>
        <w:tc>
          <w:tcPr>
            <w:tcBorders>
              <w:top w:val="single" w:color="E2E8F0" w:sz="4"/>
              <w:left w:val="single" w:color="E2E8F0" w:sz="4"/>
              <w:bottom w:val="single" w:color="E2E8F0" w:sz="4"/>
              <w:right w:val="single" w:color="E2E8F0" w:sz="4"/>
            </w:tcBorders>
            <w:shd w:fill="E8F5F0"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Sum of all policy premiums written</w:t>
            </w:r>
          </w:p>
        </w:tc>
        <w:tc>
          <w:tcPr>
            <w:tcBorders>
              <w:top w:val="single" w:color="E2E8F0" w:sz="4"/>
              <w:left w:val="single" w:color="E2E8F0" w:sz="4"/>
              <w:bottom w:val="single" w:color="E2E8F0" w:sz="4"/>
              <w:right w:val="single" w:color="E2E8F0" w:sz="4"/>
            </w:tcBorders>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YoY growth positive</w:t>
            </w:r>
          </w:p>
        </w:tc>
      </w:tr>
      <w:tr>
        <w:tc>
          <w:tcPr>
            <w:tcBorders>
              <w:top w:val="single" w:color="E2E8F0" w:sz="4"/>
              <w:left w:val="single" w:color="E2E8F0" w:sz="4"/>
              <w:bottom w:val="single" w:color="E2E8F0" w:sz="4"/>
              <w:right w:val="single" w:color="E2E8F0" w:sz="4"/>
            </w:tcBorders>
            <w:shd w:fill="F0F4F8"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Net Earned Premium (NEP)</w:t>
            </w:r>
          </w:p>
        </w:tc>
        <w:tc>
          <w:tcPr>
            <w:tcBorders>
              <w:top w:val="single" w:color="E2E8F0" w:sz="4"/>
              <w:left w:val="single" w:color="E2E8F0" w:sz="4"/>
              <w:bottom w:val="single" w:color="E2E8F0" w:sz="4"/>
              <w:right w:val="single" w:color="E2E8F0" w:sz="4"/>
            </w:tcBorders>
            <w:shd w:fill="F0F4F8"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GWP net of reinsurance, adjusted for unearned premium movement</w:t>
            </w:r>
          </w:p>
        </w:tc>
        <w:tc>
          <w:tcPr>
            <w:tcBorders>
              <w:top w:val="single" w:color="E2E8F0" w:sz="4"/>
              <w:left w:val="single" w:color="E2E8F0" w:sz="4"/>
              <w:bottom w:val="single" w:color="E2E8F0" w:sz="4"/>
              <w:right w:val="single" w:color="E2E8F0" w:sz="4"/>
            </w:tcBorders>
            <w:shd w:fill="F0F4F8"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GWP − Reinsurance − ΔUnearned Premium</w:t>
            </w:r>
          </w:p>
        </w:tc>
        <w:tc>
          <w:tcPr>
            <w:tcBorders>
              <w:top w:val="single" w:color="E2E8F0" w:sz="4"/>
              <w:left w:val="single" w:color="E2E8F0" w:sz="4"/>
              <w:bottom w:val="single" w:color="E2E8F0" w:sz="4"/>
              <w:right w:val="single" w:color="E2E8F0" w:sz="4"/>
            </w:tcBorders>
            <w:shd w:fill="F0F4F8"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
            </w:r>
          </w:p>
        </w:tc>
      </w:tr>
      <w:tr>
        <w:tc>
          <w:tcPr>
            <w:tcBorders>
              <w:top w:val="single" w:color="E2E8F0" w:sz="4"/>
              <w:left w:val="single" w:color="E2E8F0" w:sz="4"/>
              <w:bottom w:val="single" w:color="E2E8F0" w:sz="4"/>
              <w:right w:val="single" w:color="E2E8F0" w:sz="4"/>
            </w:tcBorders>
            <w:shd w:fill="E8F5F0" w:val="clear"/>
            <w:tcMar>
              <w:top w:type="dxa" w:w="90"/>
              <w:left w:type="dxa" w:w="120"/>
              <w:bottom w:type="dxa" w:w="90"/>
              <w:right w:type="dxa" w:w="120"/>
            </w:tcMar>
            <w:vAlign w:val="center"/>
          </w:tcPr>
          <w:p>
            <w:pPr>
              <w:jc w:val="left"/>
            </w:pPr>
            <w:r>
              <w:rPr>
                <w:rFonts w:ascii="Calibri" w:cs="Calibri" w:eastAsia="Calibri" w:hAnsi="Calibri"/>
                <w:b/>
                <w:bCs/>
                <w:color w:val="0F1419"/>
                <w:sz w:val="18"/>
                <w:szCs w:val="18"/>
              </w:rPr>
              <w:t xml:space="preserve">Claims Ratio</w:t>
            </w:r>
          </w:p>
        </w:tc>
        <w:tc>
          <w:tcPr>
            <w:tcBorders>
              <w:top w:val="single" w:color="E2E8F0" w:sz="4"/>
              <w:left w:val="single" w:color="E2E8F0" w:sz="4"/>
              <w:bottom w:val="single" w:color="E2E8F0" w:sz="4"/>
              <w:right w:val="single" w:color="E2E8F0" w:sz="4"/>
            </w:tcBorders>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Net claims incurred as a percentage of net earned premium — measures underwriting quality</w:t>
            </w:r>
          </w:p>
        </w:tc>
        <w:tc>
          <w:tcPr>
            <w:tcBorders>
              <w:top w:val="single" w:color="E2E8F0" w:sz="4"/>
              <w:left w:val="single" w:color="E2E8F0" w:sz="4"/>
              <w:bottom w:val="single" w:color="E2E8F0" w:sz="4"/>
              <w:right w:val="single" w:color="E2E8F0" w:sz="4"/>
            </w:tcBorders>
            <w:shd w:fill="E8F5F0"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Net Claims / NEP × 100</w:t>
            </w:r>
          </w:p>
        </w:tc>
        <w:tc>
          <w:tcPr>
            <w:tcBorders>
              <w:top w:val="single" w:color="E2E8F0" w:sz="4"/>
              <w:left w:val="single" w:color="E2E8F0" w:sz="4"/>
              <w:bottom w:val="single" w:color="E2E8F0" w:sz="4"/>
              <w:right w:val="single" w:color="E2E8F0" w:sz="4"/>
            </w:tcBorders>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Below 65% = strong</w:t>
            </w:r>
          </w:p>
        </w:tc>
      </w:tr>
      <w:tr>
        <w:tc>
          <w:tcPr>
            <w:tcBorders>
              <w:top w:val="single" w:color="E2E8F0" w:sz="4"/>
              <w:left w:val="single" w:color="E2E8F0" w:sz="4"/>
              <w:bottom w:val="single" w:color="E2E8F0" w:sz="4"/>
              <w:right w:val="single" w:color="E2E8F0" w:sz="4"/>
            </w:tcBorders>
            <w:shd w:fill="F0F4F8"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Expense Ratio</w:t>
            </w:r>
          </w:p>
        </w:tc>
        <w:tc>
          <w:tcPr>
            <w:tcBorders>
              <w:top w:val="single" w:color="E2E8F0" w:sz="4"/>
              <w:left w:val="single" w:color="E2E8F0" w:sz="4"/>
              <w:bottom w:val="single" w:color="E2E8F0" w:sz="4"/>
              <w:right w:val="single" w:color="E2E8F0" w:sz="4"/>
            </w:tcBorders>
            <w:shd w:fill="F0F4F8"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Underwriting and management expenses as a percentage of net earned premium</w:t>
            </w:r>
          </w:p>
        </w:tc>
        <w:tc>
          <w:tcPr>
            <w:tcBorders>
              <w:top w:val="single" w:color="E2E8F0" w:sz="4"/>
              <w:left w:val="single" w:color="E2E8F0" w:sz="4"/>
              <w:bottom w:val="single" w:color="E2E8F0" w:sz="4"/>
              <w:right w:val="single" w:color="E2E8F0" w:sz="4"/>
            </w:tcBorders>
            <w:shd w:fill="F0F4F8"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(UW Expenses + Mgmt Expenses) / NEP × 100</w:t>
            </w:r>
          </w:p>
        </w:tc>
        <w:tc>
          <w:tcPr>
            <w:tcBorders>
              <w:top w:val="single" w:color="E2E8F0" w:sz="4"/>
              <w:left w:val="single" w:color="E2E8F0" w:sz="4"/>
              <w:bottom w:val="single" w:color="E2E8F0" w:sz="4"/>
              <w:right w:val="single" w:color="E2E8F0" w:sz="4"/>
            </w:tcBorders>
            <w:shd w:fill="F0F4F8"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Below 30% = efficient</w:t>
            </w:r>
          </w:p>
        </w:tc>
      </w:tr>
      <w:tr>
        <w:tc>
          <w:tcPr>
            <w:tcBorders>
              <w:top w:val="single" w:color="E2E8F0" w:sz="4"/>
              <w:left w:val="single" w:color="E2E8F0" w:sz="4"/>
              <w:bottom w:val="single" w:color="E2E8F0" w:sz="4"/>
              <w:right w:val="single" w:color="E2E8F0" w:sz="4"/>
            </w:tcBorders>
            <w:shd w:fill="E8F5F0" w:val="clear"/>
            <w:tcMar>
              <w:top w:type="dxa" w:w="90"/>
              <w:left w:type="dxa" w:w="120"/>
              <w:bottom w:type="dxa" w:w="90"/>
              <w:right w:type="dxa" w:w="120"/>
            </w:tcMar>
            <w:vAlign w:val="center"/>
          </w:tcPr>
          <w:p>
            <w:pPr>
              <w:jc w:val="left"/>
            </w:pPr>
            <w:r>
              <w:rPr>
                <w:rFonts w:ascii="Calibri" w:cs="Calibri" w:eastAsia="Calibri" w:hAnsi="Calibri"/>
                <w:b/>
                <w:bCs/>
                <w:color w:val="0F1419"/>
                <w:sz w:val="18"/>
                <w:szCs w:val="18"/>
              </w:rPr>
              <w:t xml:space="preserve">Combined Operating Ratio (COR)</w:t>
            </w:r>
          </w:p>
        </w:tc>
        <w:tc>
          <w:tcPr>
            <w:tcBorders>
              <w:top w:val="single" w:color="E2E8F0" w:sz="4"/>
              <w:left w:val="single" w:color="E2E8F0" w:sz="4"/>
              <w:bottom w:val="single" w:color="E2E8F0" w:sz="4"/>
              <w:right w:val="single" w:color="E2E8F0" w:sz="4"/>
            </w:tcBorders>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Sum of claims ratio and expense ratio — primary measure of underwriting profitability. COR &lt; 100% = underwriting profit</w:t>
            </w:r>
          </w:p>
        </w:tc>
        <w:tc>
          <w:tcPr>
            <w:tcBorders>
              <w:top w:val="single" w:color="E2E8F0" w:sz="4"/>
              <w:left w:val="single" w:color="E2E8F0" w:sz="4"/>
              <w:bottom w:val="single" w:color="E2E8F0" w:sz="4"/>
              <w:right w:val="single" w:color="E2E8F0" w:sz="4"/>
            </w:tcBorders>
            <w:shd w:fill="E8F5F0"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Claims Ratio + Expense Ratio</w:t>
            </w:r>
          </w:p>
        </w:tc>
        <w:tc>
          <w:tcPr>
            <w:tcBorders>
              <w:top w:val="single" w:color="E2E8F0" w:sz="4"/>
              <w:left w:val="single" w:color="E2E8F0" w:sz="4"/>
              <w:bottom w:val="single" w:color="E2E8F0" w:sz="4"/>
              <w:right w:val="single" w:color="E2E8F0" w:sz="4"/>
            </w:tcBorders>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Below 95% = excellent
Below 100% = profitable</w:t>
            </w:r>
          </w:p>
        </w:tc>
      </w:tr>
      <w:tr>
        <w:tc>
          <w:tcPr>
            <w:tcBorders>
              <w:top w:val="single" w:color="E2E8F0" w:sz="4"/>
              <w:left w:val="single" w:color="E2E8F0" w:sz="4"/>
              <w:bottom w:val="single" w:color="E2E8F0" w:sz="4"/>
              <w:right w:val="single" w:color="E2E8F0" w:sz="4"/>
            </w:tcBorders>
            <w:shd w:fill="F0F4F8"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Investment Return</w:t>
            </w:r>
          </w:p>
        </w:tc>
        <w:tc>
          <w:tcPr>
            <w:tcBorders>
              <w:top w:val="single" w:color="E2E8F0" w:sz="4"/>
              <w:left w:val="single" w:color="E2E8F0" w:sz="4"/>
              <w:bottom w:val="single" w:color="E2E8F0" w:sz="4"/>
              <w:right w:val="single" w:color="E2E8F0" w:sz="4"/>
            </w:tcBorders>
            <w:shd w:fill="F0F4F8"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Investment income as a percentage of average invested assets — measures portfolio yield</w:t>
            </w:r>
          </w:p>
        </w:tc>
        <w:tc>
          <w:tcPr>
            <w:tcBorders>
              <w:top w:val="single" w:color="E2E8F0" w:sz="4"/>
              <w:left w:val="single" w:color="E2E8F0" w:sz="4"/>
              <w:bottom w:val="single" w:color="E2E8F0" w:sz="4"/>
              <w:right w:val="single" w:color="E2E8F0" w:sz="4"/>
            </w:tcBorders>
            <w:shd w:fill="F0F4F8"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Investment Income / Avg Invested Assets × 100</w:t>
            </w:r>
          </w:p>
        </w:tc>
        <w:tc>
          <w:tcPr>
            <w:tcBorders>
              <w:top w:val="single" w:color="E2E8F0" w:sz="4"/>
              <w:left w:val="single" w:color="E2E8F0" w:sz="4"/>
              <w:bottom w:val="single" w:color="E2E8F0" w:sz="4"/>
              <w:right w:val="single" w:color="E2E8F0" w:sz="4"/>
            </w:tcBorders>
            <w:shd w:fill="F0F4F8"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Above 3.5% = strong</w:t>
            </w:r>
          </w:p>
        </w:tc>
      </w:tr>
      <w:tr>
        <w:tc>
          <w:tcPr>
            <w:tcBorders>
              <w:top w:val="single" w:color="E2E8F0" w:sz="4"/>
              <w:left w:val="single" w:color="E2E8F0" w:sz="4"/>
              <w:bottom w:val="single" w:color="E2E8F0" w:sz="4"/>
              <w:right w:val="single" w:color="E2E8F0" w:sz="4"/>
            </w:tcBorders>
            <w:shd w:fill="E8F5F0" w:val="clear"/>
            <w:tcMar>
              <w:top w:type="dxa" w:w="90"/>
              <w:left w:type="dxa" w:w="120"/>
              <w:bottom w:type="dxa" w:w="90"/>
              <w:right w:type="dxa" w:w="120"/>
            </w:tcMar>
            <w:vAlign w:val="center"/>
          </w:tcPr>
          <w:p>
            <w:pPr>
              <w:jc w:val="left"/>
            </w:pPr>
            <w:r>
              <w:rPr>
                <w:rFonts w:ascii="Calibri" w:cs="Calibri" w:eastAsia="Calibri" w:hAnsi="Calibri"/>
                <w:b/>
                <w:bCs/>
                <w:color w:val="0F1419"/>
                <w:sz w:val="18"/>
                <w:szCs w:val="18"/>
              </w:rPr>
              <w:t xml:space="preserve">Return on Equity (ROE)</w:t>
            </w:r>
          </w:p>
        </w:tc>
        <w:tc>
          <w:tcPr>
            <w:tcBorders>
              <w:top w:val="single" w:color="E2E8F0" w:sz="4"/>
              <w:left w:val="single" w:color="E2E8F0" w:sz="4"/>
              <w:bottom w:val="single" w:color="E2E8F0" w:sz="4"/>
              <w:right w:val="single" w:color="E2E8F0" w:sz="4"/>
            </w:tcBorders>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Net profit after tax as a percentage of average shareholders equity</w:t>
            </w:r>
          </w:p>
        </w:tc>
        <w:tc>
          <w:tcPr>
            <w:tcBorders>
              <w:top w:val="single" w:color="E2E8F0" w:sz="4"/>
              <w:left w:val="single" w:color="E2E8F0" w:sz="4"/>
              <w:bottom w:val="single" w:color="E2E8F0" w:sz="4"/>
              <w:right w:val="single" w:color="E2E8F0" w:sz="4"/>
            </w:tcBorders>
            <w:shd w:fill="E8F5F0"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NPAT / Avg Shareholders Equity × 100</w:t>
            </w:r>
          </w:p>
        </w:tc>
        <w:tc>
          <w:tcPr>
            <w:tcBorders>
              <w:top w:val="single" w:color="E2E8F0" w:sz="4"/>
              <w:left w:val="single" w:color="E2E8F0" w:sz="4"/>
              <w:bottom w:val="single" w:color="E2E8F0" w:sz="4"/>
              <w:right w:val="single" w:color="E2E8F0" w:sz="4"/>
            </w:tcBorders>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Above 12% = target</w:t>
            </w:r>
          </w:p>
        </w:tc>
      </w:tr>
    </w:tbl>
    <w:p>
      <w:pPr>
        <w:spacing w:before="80" w:after="0"/>
      </w:pPr>
    </w:p>
    <w:p>
      <w:pPr>
        <w:spacing w:before="180" w:after="60"/>
      </w:pPr>
      <w:r>
        <w:rPr>
          <w:rFonts w:ascii="Calibri" w:cs="Calibri" w:eastAsia="Calibri" w:hAnsi="Calibri"/>
          <w:b/>
          <w:bCs/>
          <w:color w:val="0F1419"/>
          <w:sz w:val="21"/>
          <w:szCs w:val="21"/>
        </w:rPr>
        <w:t xml:space="preserve">2.2 Business Rules &amp; Edge Cases</w:t>
      </w:r>
    </w:p>
    <w:p>
      <w:pPr>
        <w:pStyle w:val="ListParagraph"/>
        <w:numPr>
          <w:ilvl w:val="0"/>
          <w:numId w:val="2"/>
        </w:numPr>
        <w:spacing w:before="40" w:after="40"/>
      </w:pPr>
      <w:r>
        <w:rPr>
          <w:rFonts w:ascii="Calibri" w:cs="Calibri" w:eastAsia="Calibri" w:hAnsi="Calibri"/>
          <w:color w:val="3D4A5A"/>
          <w:sz w:val="19"/>
          <w:szCs w:val="19"/>
        </w:rPr>
        <w:t xml:space="preserve"/>
      </w:r>
      <w:r>
        <w:rPr>
          <w:rFonts w:ascii="Calibri" w:cs="Calibri" w:eastAsia="Calibri" w:hAnsi="Calibri"/>
          <w:b/>
          <w:bCs/>
          <w:color w:val="0F1419"/>
          <w:sz w:val="19"/>
          <w:szCs w:val="19"/>
        </w:rPr>
        <w:t xml:space="preserve">COR calculation:</w:t>
      </w:r>
      <w:r>
        <w:rPr>
          <w:rFonts w:ascii="Calibri" w:cs="Calibri" w:eastAsia="Calibri" w:hAnsi="Calibri"/>
          <w:color w:val="3D4A5A"/>
          <w:sz w:val="19"/>
          <w:szCs w:val="19"/>
        </w:rPr>
        <w:t xml:space="preserve"> Where reinsurance recoveries exceed gross claims, the net claims ratio floor is set to zero — negative COR components are not permitted</w:t>
      </w:r>
    </w:p>
    <w:p>
      <w:pPr>
        <w:pStyle w:val="ListParagraph"/>
        <w:numPr>
          <w:ilvl w:val="0"/>
          <w:numId w:val="2"/>
        </w:numPr>
        <w:spacing w:before="40" w:after="40"/>
      </w:pPr>
      <w:r>
        <w:rPr>
          <w:rFonts w:ascii="Calibri" w:cs="Calibri" w:eastAsia="Calibri" w:hAnsi="Calibri"/>
          <w:color w:val="3D4A5A"/>
          <w:sz w:val="19"/>
          <w:szCs w:val="19"/>
        </w:rPr>
        <w:t xml:space="preserve"/>
      </w:r>
      <w:r>
        <w:rPr>
          <w:rFonts w:ascii="Calibri" w:cs="Calibri" w:eastAsia="Calibri" w:hAnsi="Calibri"/>
          <w:b/>
          <w:bCs/>
          <w:color w:val="0F1419"/>
          <w:sz w:val="19"/>
          <w:szCs w:val="19"/>
        </w:rPr>
        <w:t xml:space="preserve">Currency:</w:t>
      </w:r>
      <w:r>
        <w:rPr>
          <w:rFonts w:ascii="Calibri" w:cs="Calibri" w:eastAsia="Calibri" w:hAnsi="Calibri"/>
          <w:color w:val="3D4A5A"/>
          <w:sz w:val="19"/>
          <w:szCs w:val="19"/>
        </w:rPr>
        <w:t xml:space="preserve"> All figures in A$M unless explicitly stated. QBE international operations converted to AUD at the period average rate from RBA data</w:t>
      </w:r>
    </w:p>
    <w:p>
      <w:pPr>
        <w:pStyle w:val="ListParagraph"/>
        <w:numPr>
          <w:ilvl w:val="0"/>
          <w:numId w:val="2"/>
        </w:numPr>
        <w:spacing w:before="40" w:after="40"/>
      </w:pPr>
      <w:r>
        <w:rPr>
          <w:rFonts w:ascii="Calibri" w:cs="Calibri" w:eastAsia="Calibri" w:hAnsi="Calibri"/>
          <w:color w:val="3D4A5A"/>
          <w:sz w:val="19"/>
          <w:szCs w:val="19"/>
        </w:rPr>
        <w:t xml:space="preserve"/>
      </w:r>
      <w:r>
        <w:rPr>
          <w:rFonts w:ascii="Calibri" w:cs="Calibri" w:eastAsia="Calibri" w:hAnsi="Calibri"/>
          <w:b/>
          <w:bCs/>
          <w:color w:val="0F1419"/>
          <w:sz w:val="19"/>
          <w:szCs w:val="19"/>
        </w:rPr>
        <w:t xml:space="preserve">Reporting period alignment:</w:t>
      </w:r>
      <w:r>
        <w:rPr>
          <w:rFonts w:ascii="Calibri" w:cs="Calibri" w:eastAsia="Calibri" w:hAnsi="Calibri"/>
          <w:color w:val="3D4A5A"/>
          <w:sz w:val="19"/>
          <w:szCs w:val="19"/>
        </w:rPr>
        <w:t xml:space="preserve"> All three companies have different financial year ends — QBE (Dec), IAG (Jun), Suncorp (Jun). For quarterly comparison, periods are aligned to calendar quarters using the closest matching reporting period</w:t>
      </w:r>
    </w:p>
    <w:p>
      <w:pPr>
        <w:pStyle w:val="ListParagraph"/>
        <w:numPr>
          <w:ilvl w:val="0"/>
          <w:numId w:val="2"/>
        </w:numPr>
        <w:spacing w:before="40" w:after="40"/>
      </w:pPr>
      <w:r>
        <w:rPr>
          <w:rFonts w:ascii="Calibri" w:cs="Calibri" w:eastAsia="Calibri" w:hAnsi="Calibri"/>
          <w:color w:val="3D4A5A"/>
          <w:sz w:val="19"/>
          <w:szCs w:val="19"/>
        </w:rPr>
        <w:t xml:space="preserve"/>
      </w:r>
      <w:r>
        <w:rPr>
          <w:rFonts w:ascii="Calibri" w:cs="Calibri" w:eastAsia="Calibri" w:hAnsi="Calibri"/>
          <w:b/>
          <w:bCs/>
          <w:color w:val="0F1419"/>
          <w:sz w:val="19"/>
          <w:szCs w:val="19"/>
        </w:rPr>
        <w:t xml:space="preserve">Restated figures:</w:t>
      </w:r>
      <w:r>
        <w:rPr>
          <w:rFonts w:ascii="Calibri" w:cs="Calibri" w:eastAsia="Calibri" w:hAnsi="Calibri"/>
          <w:color w:val="3D4A5A"/>
          <w:sz w:val="19"/>
          <w:szCs w:val="19"/>
        </w:rPr>
        <w:t xml:space="preserve"> Where a company restates prior period figures, the restated values are used in all historical comparisons</w:t>
      </w:r>
    </w:p>
    <w:p>
      <w:pPr>
        <w:pStyle w:val="ListParagraph"/>
        <w:numPr>
          <w:ilvl w:val="0"/>
          <w:numId w:val="2"/>
        </w:numPr>
        <w:spacing w:before="40" w:after="40"/>
      </w:pPr>
      <w:r>
        <w:rPr>
          <w:rFonts w:ascii="Calibri" w:cs="Calibri" w:eastAsia="Calibri" w:hAnsi="Calibri"/>
          <w:color w:val="3D4A5A"/>
          <w:sz w:val="19"/>
          <w:szCs w:val="19"/>
        </w:rPr>
        <w:t xml:space="preserve"/>
      </w:r>
      <w:r>
        <w:rPr>
          <w:rFonts w:ascii="Calibri" w:cs="Calibri" w:eastAsia="Calibri" w:hAnsi="Calibri"/>
          <w:b/>
          <w:bCs/>
          <w:color w:val="0F1419"/>
          <w:sz w:val="19"/>
          <w:szCs w:val="19"/>
        </w:rPr>
        <w:t xml:space="preserve">Partial periods:</w:t>
      </w:r>
      <w:r>
        <w:rPr>
          <w:rFonts w:ascii="Calibri" w:cs="Calibri" w:eastAsia="Calibri" w:hAnsi="Calibri"/>
          <w:color w:val="3D4A5A"/>
          <w:sz w:val="19"/>
          <w:szCs w:val="19"/>
        </w:rPr>
        <w:t xml:space="preserve"> For any reporting period less than 90 days, KPIs are annualised by multiplying by (90/actual days)</w:t>
      </w:r>
    </w:p>
    <w:p>
      <w:pPr>
        <w:spacing w:before="200" w:after="0"/>
      </w:pPr>
    </w:p>
    <w:p>
      <w:r>
        <w:br w:type="page"/>
      </w:r>
    </w:p>
    <w:p>
      <w:pPr>
        <w:pBdr>
          <w:bottom w:val="single" w:color="1A6B4A" w:sz="8" w:space="4"/>
        </w:pBdr>
        <w:spacing w:before="280" w:after="80"/>
      </w:pPr>
      <w:r>
        <w:rPr>
          <w:rFonts w:ascii="Calibri" w:cs="Calibri" w:eastAsia="Calibri" w:hAnsi="Calibri"/>
          <w:b/>
          <w:bCs/>
          <w:color w:val="1A6B4A"/>
          <w:sz w:val="22"/>
          <w:szCs w:val="22"/>
        </w:rPr>
        <w:t xml:space="preserve">3. DATA MODEL &amp; SOURCES</w:t>
      </w:r>
    </w:p>
    <w:p>
      <w:pPr>
        <w:spacing w:before="180" w:after="60"/>
      </w:pPr>
      <w:r>
        <w:rPr>
          <w:rFonts w:ascii="Calibri" w:cs="Calibri" w:eastAsia="Calibri" w:hAnsi="Calibri"/>
          <w:b/>
          <w:bCs/>
          <w:color w:val="0F1419"/>
          <w:sz w:val="21"/>
          <w:szCs w:val="21"/>
        </w:rPr>
        <w:t xml:space="preserve">3.1 Star Schema Design</w:t>
      </w:r>
    </w:p>
    <w:p>
      <w:pPr>
        <w:spacing w:before="50" w:after="50"/>
      </w:pPr>
      <w:r>
        <w:rPr>
          <w:rFonts w:ascii="Calibri" w:cs="Calibri" w:eastAsia="Calibri" w:hAnsi="Calibri"/>
          <w:color w:val="3D4A5A"/>
          <w:sz w:val="19"/>
          <w:szCs w:val="19"/>
        </w:rPr>
        <w:t xml:space="preserve">The dashboard uses a </w:t>
      </w:r>
      <w:r>
        <w:rPr>
          <w:rFonts w:ascii="Calibri" w:cs="Calibri" w:eastAsia="Calibri" w:hAnsi="Calibri"/>
          <w:b/>
          <w:bCs/>
          <w:color w:val="0F1419"/>
          <w:sz w:val="19"/>
          <w:szCs w:val="19"/>
        </w:rPr>
        <w:t xml:space="preserve">star schema data model</w:t>
      </w:r>
      <w:r>
        <w:rPr>
          <w:rFonts w:ascii="Calibri" w:cs="Calibri" w:eastAsia="Calibri" w:hAnsi="Calibri"/>
          <w:color w:val="3D4A5A"/>
          <w:sz w:val="19"/>
          <w:szCs w:val="19"/>
        </w:rPr>
        <w:t xml:space="preserve"> with one fact table and three dimension tables. This structure ensures clean relationships, efficient DAX calculations, and consistent filter propagation across all visuals.</w:t>
      </w:r>
    </w:p>
    <w:p>
      <w:pPr>
        <w:spacing w:before="60" w:after="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773"/>
        <w:gridCol w:w="2773"/>
      </w:tblGrid>
      <w:tr>
        <w:tc>
          <w:tcPr>
            <w:tcBorders>
              <w:top w:val="single" w:color="E2E8F0" w:sz="4"/>
              <w:left w:val="single" w:color="E2E8F0" w:sz="4"/>
              <w:bottom w:val="single" w:color="E2E8F0" w:sz="4"/>
              <w:right w:val="single" w:color="E2E8F0" w:sz="4"/>
            </w:tcBorders>
            <w:shd w:fill="1A6B4A" w:val="clear"/>
            <w:tcMar>
              <w:top w:type="dxa" w:w="90"/>
              <w:left w:type="dxa" w:w="120"/>
              <w:bottom w:type="dxa" w:w="90"/>
              <w:right w:type="dxa" w:w="120"/>
            </w:tcMar>
          </w:tcPr>
          <w:p>
            <w:r>
              <w:rPr>
                <w:rFonts w:ascii="Calibri" w:cs="Calibri" w:eastAsia="Calibri" w:hAnsi="Calibri"/>
                <w:b/>
                <w:bCs/>
                <w:color w:val="FFFFFF"/>
                <w:sz w:val="18"/>
                <w:szCs w:val="18"/>
              </w:rPr>
              <w:t xml:space="preserve">Table</w:t>
            </w:r>
          </w:p>
        </w:tc>
        <w:tc>
          <w:tcPr>
            <w:tcBorders>
              <w:top w:val="single" w:color="E2E8F0" w:sz="4"/>
              <w:left w:val="single" w:color="E2E8F0" w:sz="4"/>
              <w:bottom w:val="single" w:color="E2E8F0" w:sz="4"/>
              <w:right w:val="single" w:color="E2E8F0" w:sz="4"/>
            </w:tcBorders>
            <w:shd w:fill="1A6B4A" w:val="clear"/>
            <w:tcMar>
              <w:top w:type="dxa" w:w="90"/>
              <w:left w:type="dxa" w:w="120"/>
              <w:bottom w:type="dxa" w:w="90"/>
              <w:right w:type="dxa" w:w="120"/>
            </w:tcMar>
          </w:tcPr>
          <w:p>
            <w:r>
              <w:rPr>
                <w:rFonts w:ascii="Calibri" w:cs="Calibri" w:eastAsia="Calibri" w:hAnsi="Calibri"/>
                <w:b/>
                <w:bCs/>
                <w:color w:val="FFFFFF"/>
                <w:sz w:val="18"/>
                <w:szCs w:val="18"/>
              </w:rPr>
              <w:t xml:space="preserve">Type</w:t>
            </w:r>
          </w:p>
        </w:tc>
        <w:tc>
          <w:tcPr>
            <w:tcBorders>
              <w:top w:val="single" w:color="E2E8F0" w:sz="4"/>
              <w:left w:val="single" w:color="E2E8F0" w:sz="4"/>
              <w:bottom w:val="single" w:color="E2E8F0" w:sz="4"/>
              <w:right w:val="single" w:color="E2E8F0" w:sz="4"/>
            </w:tcBorders>
            <w:shd w:fill="1A6B4A" w:val="clear"/>
            <w:tcMar>
              <w:top w:type="dxa" w:w="90"/>
              <w:left w:type="dxa" w:w="120"/>
              <w:bottom w:type="dxa" w:w="90"/>
              <w:right w:type="dxa" w:w="120"/>
            </w:tcMar>
          </w:tcPr>
          <w:p>
            <w:r>
              <w:rPr>
                <w:rFonts w:ascii="Calibri" w:cs="Calibri" w:eastAsia="Calibri" w:hAnsi="Calibri"/>
                <w:b/>
                <w:bCs/>
                <w:color w:val="FFFFFF"/>
                <w:sz w:val="18"/>
                <w:szCs w:val="18"/>
              </w:rPr>
              <w:t xml:space="preserve">Key Columns</w:t>
            </w:r>
          </w:p>
        </w:tc>
        <w:tc>
          <w:tcPr>
            <w:tcBorders>
              <w:top w:val="single" w:color="E2E8F0" w:sz="4"/>
              <w:left w:val="single" w:color="E2E8F0" w:sz="4"/>
              <w:bottom w:val="single" w:color="E2E8F0" w:sz="4"/>
              <w:right w:val="single" w:color="E2E8F0" w:sz="4"/>
            </w:tcBorders>
            <w:shd w:fill="1A6B4A" w:val="clear"/>
            <w:tcMar>
              <w:top w:type="dxa" w:w="90"/>
              <w:left w:type="dxa" w:w="120"/>
              <w:bottom w:type="dxa" w:w="90"/>
              <w:right w:type="dxa" w:w="120"/>
            </w:tcMar>
          </w:tcPr>
          <w:p>
            <w:r>
              <w:rPr>
                <w:rFonts w:ascii="Calibri" w:cs="Calibri" w:eastAsia="Calibri" w:hAnsi="Calibri"/>
                <w:b/>
                <w:bCs/>
                <w:color w:val="FFFFFF"/>
                <w:sz w:val="18"/>
                <w:szCs w:val="18"/>
              </w:rPr>
              <w:t xml:space="preserve">Rows</w:t>
            </w:r>
          </w:p>
        </w:tc>
      </w:tr>
      <w:tr>
        <w:tc>
          <w:tcPr>
            <w:tcBorders>
              <w:top w:val="single" w:color="E2E8F0" w:sz="4"/>
              <w:left w:val="single" w:color="E2E8F0" w:sz="4"/>
              <w:bottom w:val="single" w:color="E2E8F0" w:sz="4"/>
              <w:right w:val="single" w:color="E2E8F0" w:sz="4"/>
            </w:tcBorders>
            <w:shd w:fill="E8F5F0" w:val="clear"/>
            <w:tcMar>
              <w:top w:type="dxa" w:w="90"/>
              <w:left w:type="dxa" w:w="120"/>
              <w:bottom w:type="dxa" w:w="90"/>
              <w:right w:type="dxa" w:w="120"/>
            </w:tcMar>
            <w:vAlign w:val="center"/>
          </w:tcPr>
          <w:p>
            <w:pPr>
              <w:jc w:val="left"/>
            </w:pPr>
            <w:r>
              <w:rPr>
                <w:rFonts w:ascii="Calibri" w:cs="Calibri" w:eastAsia="Calibri" w:hAnsi="Calibri"/>
                <w:b/>
                <w:bCs/>
                <w:color w:val="0F1419"/>
                <w:sz w:val="18"/>
                <w:szCs w:val="18"/>
              </w:rPr>
              <w:t xml:space="preserve">fact_financials</w:t>
            </w:r>
          </w:p>
        </w:tc>
        <w:tc>
          <w:tcPr>
            <w:tcBorders>
              <w:top w:val="single" w:color="E2E8F0" w:sz="4"/>
              <w:left w:val="single" w:color="E2E8F0" w:sz="4"/>
              <w:bottom w:val="single" w:color="E2E8F0" w:sz="4"/>
              <w:right w:val="single" w:color="E2E8F0" w:sz="4"/>
            </w:tcBorders>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Fact (measures)</w:t>
            </w:r>
          </w:p>
        </w:tc>
        <w:tc>
          <w:tcPr>
            <w:tcBorders>
              <w:top w:val="single" w:color="E2E8F0" w:sz="4"/>
              <w:left w:val="single" w:color="E2E8F0" w:sz="4"/>
              <w:bottom w:val="single" w:color="E2E8F0" w:sz="4"/>
              <w:right w:val="single" w:color="E2E8F0" w:sz="4"/>
            </w:tcBorders>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company_id, period_id, gwp, nep, net_claims, uw_expenses, mgmt_expenses, inv_income, npat, equity</w:t>
            </w:r>
          </w:p>
        </w:tc>
        <w:tc>
          <w:tcPr>
            <w:tcBorders>
              <w:top w:val="single" w:color="E2E8F0" w:sz="4"/>
              <w:left w:val="single" w:color="E2E8F0" w:sz="4"/>
              <w:bottom w:val="single" w:color="E2E8F0" w:sz="4"/>
              <w:right w:val="single" w:color="E2E8F0" w:sz="4"/>
            </w:tcBorders>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192 rows (3 companies × 8 quarters × 8 metrics)</w:t>
            </w:r>
          </w:p>
        </w:tc>
      </w:tr>
      <w:tr>
        <w:tc>
          <w:tcPr>
            <w:tcBorders>
              <w:top w:val="single" w:color="E2E8F0" w:sz="4"/>
              <w:left w:val="single" w:color="E2E8F0" w:sz="4"/>
              <w:bottom w:val="single" w:color="E2E8F0" w:sz="4"/>
              <w:right w:val="single" w:color="E2E8F0" w:sz="4"/>
            </w:tcBorders>
            <w:shd w:fill="F0F4F8"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dim_company</w:t>
            </w:r>
          </w:p>
        </w:tc>
        <w:tc>
          <w:tcPr>
            <w:tcBorders>
              <w:top w:val="single" w:color="E2E8F0" w:sz="4"/>
              <w:left w:val="single" w:color="E2E8F0" w:sz="4"/>
              <w:bottom w:val="single" w:color="E2E8F0" w:sz="4"/>
              <w:right w:val="single" w:color="E2E8F0" w:sz="4"/>
            </w:tcBorders>
            <w:shd w:fill="F0F4F8"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Dimension</w:t>
            </w:r>
          </w:p>
        </w:tc>
        <w:tc>
          <w:tcPr>
            <w:tcBorders>
              <w:top w:val="single" w:color="E2E8F0" w:sz="4"/>
              <w:left w:val="single" w:color="E2E8F0" w:sz="4"/>
              <w:bottom w:val="single" w:color="E2E8F0" w:sz="4"/>
              <w:right w:val="single" w:color="E2E8F0" w:sz="4"/>
            </w:tcBorders>
            <w:shd w:fill="F0F4F8"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company_id, company_name, ticker, sector, market_cap_bn</w:t>
            </w:r>
          </w:p>
        </w:tc>
        <w:tc>
          <w:tcPr>
            <w:tcBorders>
              <w:top w:val="single" w:color="E2E8F0" w:sz="4"/>
              <w:left w:val="single" w:color="E2E8F0" w:sz="4"/>
              <w:bottom w:val="single" w:color="E2E8F0" w:sz="4"/>
              <w:right w:val="single" w:color="E2E8F0" w:sz="4"/>
            </w:tcBorders>
            <w:shd w:fill="F0F4F8"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3 rows</w:t>
            </w:r>
          </w:p>
        </w:tc>
      </w:tr>
      <w:tr>
        <w:tc>
          <w:tcPr>
            <w:tcBorders>
              <w:top w:val="single" w:color="E2E8F0" w:sz="4"/>
              <w:left w:val="single" w:color="E2E8F0" w:sz="4"/>
              <w:bottom w:val="single" w:color="E2E8F0" w:sz="4"/>
              <w:right w:val="single" w:color="E2E8F0" w:sz="4"/>
            </w:tcBorders>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dim_period</w:t>
            </w:r>
          </w:p>
        </w:tc>
        <w:tc>
          <w:tcPr>
            <w:tcBorders>
              <w:top w:val="single" w:color="E2E8F0" w:sz="4"/>
              <w:left w:val="single" w:color="E2E8F0" w:sz="4"/>
              <w:bottom w:val="single" w:color="E2E8F0" w:sz="4"/>
              <w:right w:val="single" w:color="E2E8F0" w:sz="4"/>
            </w:tcBorders>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Dimension</w:t>
            </w:r>
          </w:p>
        </w:tc>
        <w:tc>
          <w:tcPr>
            <w:tcBorders>
              <w:top w:val="single" w:color="E2E8F0" w:sz="4"/>
              <w:left w:val="single" w:color="E2E8F0" w:sz="4"/>
              <w:bottom w:val="single" w:color="E2E8F0" w:sz="4"/>
              <w:right w:val="single" w:color="E2E8F0" w:sz="4"/>
            </w:tcBorders>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period_id, quarter, year, calendar_quarter, financial_year, sort_order</w:t>
            </w:r>
          </w:p>
        </w:tc>
        <w:tc>
          <w:tcPr>
            <w:tcBorders>
              <w:top w:val="single" w:color="E2E8F0" w:sz="4"/>
              <w:left w:val="single" w:color="E2E8F0" w:sz="4"/>
              <w:bottom w:val="single" w:color="E2E8F0" w:sz="4"/>
              <w:right w:val="single" w:color="E2E8F0" w:sz="4"/>
            </w:tcBorders>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8 rows (8 quarters)</w:t>
            </w:r>
          </w:p>
        </w:tc>
      </w:tr>
      <w:tr>
        <w:tc>
          <w:tcPr>
            <w:tcBorders>
              <w:top w:val="single" w:color="E2E8F0" w:sz="4"/>
              <w:left w:val="single" w:color="E2E8F0" w:sz="4"/>
              <w:bottom w:val="single" w:color="E2E8F0" w:sz="4"/>
              <w:right w:val="single" w:color="E2E8F0" w:sz="4"/>
            </w:tcBorders>
            <w:shd w:fill="F0F4F8"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dim_kpi</w:t>
            </w:r>
          </w:p>
        </w:tc>
        <w:tc>
          <w:tcPr>
            <w:tcBorders>
              <w:top w:val="single" w:color="E2E8F0" w:sz="4"/>
              <w:left w:val="single" w:color="E2E8F0" w:sz="4"/>
              <w:bottom w:val="single" w:color="E2E8F0" w:sz="4"/>
              <w:right w:val="single" w:color="E2E8F0" w:sz="4"/>
            </w:tcBorders>
            <w:shd w:fill="F0F4F8"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Dimension (lookup)</w:t>
            </w:r>
          </w:p>
        </w:tc>
        <w:tc>
          <w:tcPr>
            <w:tcBorders>
              <w:top w:val="single" w:color="E2E8F0" w:sz="4"/>
              <w:left w:val="single" w:color="E2E8F0" w:sz="4"/>
              <w:bottom w:val="single" w:color="E2E8F0" w:sz="4"/>
              <w:right w:val="single" w:color="E2E8F0" w:sz="4"/>
            </w:tcBorders>
            <w:shd w:fill="F0F4F8"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kpi_id, kpi_name, kpi_category, format_string, good_direction, target</w:t>
            </w:r>
          </w:p>
        </w:tc>
        <w:tc>
          <w:tcPr>
            <w:tcBorders>
              <w:top w:val="single" w:color="E2E8F0" w:sz="4"/>
              <w:left w:val="single" w:color="E2E8F0" w:sz="4"/>
              <w:bottom w:val="single" w:color="E2E8F0" w:sz="4"/>
              <w:right w:val="single" w:color="E2E8F0" w:sz="4"/>
            </w:tcBorders>
            <w:shd w:fill="F0F4F8"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9 rows</w:t>
            </w:r>
          </w:p>
        </w:tc>
      </w:tr>
    </w:tbl>
    <w:p>
      <w:pPr>
        <w:spacing w:before="60" w:after="0"/>
      </w:pPr>
    </w:p>
    <w:p>
      <w:pPr>
        <w:spacing w:before="180" w:after="60"/>
      </w:pPr>
      <w:r>
        <w:rPr>
          <w:rFonts w:ascii="Calibri" w:cs="Calibri" w:eastAsia="Calibri" w:hAnsi="Calibri"/>
          <w:b/>
          <w:bCs/>
          <w:color w:val="0F1419"/>
          <w:sz w:val="21"/>
          <w:szCs w:val="21"/>
        </w:rPr>
        <w:t xml:space="preserve">3.2 Relationships</w:t>
      </w:r>
    </w:p>
    <w:p>
      <w:pPr>
        <w:pStyle w:val="ListParagraph"/>
        <w:numPr>
          <w:ilvl w:val="0"/>
          <w:numId w:val="2"/>
        </w:numPr>
        <w:spacing w:before="40" w:after="40"/>
      </w:pPr>
      <w:r>
        <w:rPr>
          <w:rFonts w:ascii="Calibri" w:cs="Calibri" w:eastAsia="Calibri" w:hAnsi="Calibri"/>
          <w:color w:val="3D4A5A"/>
          <w:sz w:val="19"/>
          <w:szCs w:val="19"/>
        </w:rPr>
        <w:t xml:space="preserve"/>
      </w:r>
      <w:r>
        <w:rPr>
          <w:rFonts w:ascii="Calibri" w:cs="Calibri" w:eastAsia="Calibri" w:hAnsi="Calibri"/>
          <w:b/>
          <w:bCs/>
          <w:color w:val="0F1419"/>
          <w:sz w:val="19"/>
          <w:szCs w:val="19"/>
        </w:rPr>
        <w:t xml:space="preserve">fact_financials[company_id] → dim_company[company_id]</w:t>
      </w:r>
      <w:r>
        <w:rPr>
          <w:rFonts w:ascii="Calibri" w:cs="Calibri" w:eastAsia="Calibri" w:hAnsi="Calibri"/>
          <w:color w:val="3D4A5A"/>
          <w:sz w:val="19"/>
          <w:szCs w:val="19"/>
        </w:rPr>
        <w:t xml:space="preserve"> — Many-to-One, single direction filter from dim_company to fact</w:t>
      </w:r>
    </w:p>
    <w:p>
      <w:pPr>
        <w:pStyle w:val="ListParagraph"/>
        <w:numPr>
          <w:ilvl w:val="0"/>
          <w:numId w:val="2"/>
        </w:numPr>
        <w:spacing w:before="40" w:after="40"/>
      </w:pPr>
      <w:r>
        <w:rPr>
          <w:rFonts w:ascii="Calibri" w:cs="Calibri" w:eastAsia="Calibri" w:hAnsi="Calibri"/>
          <w:color w:val="3D4A5A"/>
          <w:sz w:val="19"/>
          <w:szCs w:val="19"/>
        </w:rPr>
        <w:t xml:space="preserve"/>
      </w:r>
      <w:r>
        <w:rPr>
          <w:rFonts w:ascii="Calibri" w:cs="Calibri" w:eastAsia="Calibri" w:hAnsi="Calibri"/>
          <w:b/>
          <w:bCs/>
          <w:color w:val="0F1419"/>
          <w:sz w:val="19"/>
          <w:szCs w:val="19"/>
        </w:rPr>
        <w:t xml:space="preserve">fact_financials[period_id] → dim_period[period_id]</w:t>
      </w:r>
      <w:r>
        <w:rPr>
          <w:rFonts w:ascii="Calibri" w:cs="Calibri" w:eastAsia="Calibri" w:hAnsi="Calibri"/>
          <w:color w:val="3D4A5A"/>
          <w:sz w:val="19"/>
          <w:szCs w:val="19"/>
        </w:rPr>
        <w:t xml:space="preserve"> — Many-to-One, single direction filter from dim_period to fact</w:t>
      </w:r>
    </w:p>
    <w:p>
      <w:pPr>
        <w:pStyle w:val="ListParagraph"/>
        <w:numPr>
          <w:ilvl w:val="0"/>
          <w:numId w:val="2"/>
        </w:numPr>
        <w:spacing w:before="40" w:after="40"/>
      </w:pPr>
      <w:r>
        <w:rPr>
          <w:rFonts w:ascii="Calibri" w:cs="Calibri" w:eastAsia="Calibri" w:hAnsi="Calibri"/>
          <w:color w:val="3D4A5A"/>
          <w:sz w:val="19"/>
          <w:szCs w:val="19"/>
        </w:rPr>
        <w:t xml:space="preserve"/>
      </w:r>
      <w:r>
        <w:rPr>
          <w:rFonts w:ascii="Calibri" w:cs="Calibri" w:eastAsia="Calibri" w:hAnsi="Calibri"/>
          <w:b/>
          <w:bCs/>
          <w:color w:val="0F1419"/>
          <w:sz w:val="19"/>
          <w:szCs w:val="19"/>
        </w:rPr>
        <w:t xml:space="preserve">No relationship between dim_company and dim_period</w:t>
      </w:r>
      <w:r>
        <w:rPr>
          <w:rFonts w:ascii="Calibri" w:cs="Calibri" w:eastAsia="Calibri" w:hAnsi="Calibri"/>
          <w:color w:val="3D4A5A"/>
          <w:sz w:val="19"/>
          <w:szCs w:val="19"/>
        </w:rPr>
        <w:t xml:space="preserve"> — cross-filtering handled via DAX CALCULATE context</w:t>
      </w:r>
    </w:p>
    <w:p>
      <w:pPr>
        <w:spacing w:before="60" w:after="0"/>
      </w:pPr>
    </w:p>
    <w:p>
      <w:pPr>
        <w:spacing w:before="180" w:after="60"/>
      </w:pPr>
      <w:r>
        <w:rPr>
          <w:rFonts w:ascii="Calibri" w:cs="Calibri" w:eastAsia="Calibri" w:hAnsi="Calibri"/>
          <w:b/>
          <w:bCs/>
          <w:color w:val="0F1419"/>
          <w:sz w:val="21"/>
          <w:szCs w:val="21"/>
        </w:rPr>
        <w:t xml:space="preserve">3.3 Data Sources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773"/>
        <w:gridCol w:w="2773"/>
      </w:tblGrid>
      <w:tr>
        <w:tc>
          <w:tcPr>
            <w:tcBorders>
              <w:top w:val="single" w:color="E2E8F0" w:sz="4"/>
              <w:left w:val="single" w:color="E2E8F0" w:sz="4"/>
              <w:bottom w:val="single" w:color="E2E8F0" w:sz="4"/>
              <w:right w:val="single" w:color="E2E8F0" w:sz="4"/>
            </w:tcBorders>
            <w:shd w:fill="1A6B4A" w:val="clear"/>
            <w:tcMar>
              <w:top w:type="dxa" w:w="90"/>
              <w:left w:type="dxa" w:w="120"/>
              <w:bottom w:type="dxa" w:w="90"/>
              <w:right w:type="dxa" w:w="120"/>
            </w:tcMar>
          </w:tcPr>
          <w:p>
            <w:r>
              <w:rPr>
                <w:rFonts w:ascii="Calibri" w:cs="Calibri" w:eastAsia="Calibri" w:hAnsi="Calibri"/>
                <w:b/>
                <w:bCs/>
                <w:color w:val="FFFFFF"/>
                <w:sz w:val="18"/>
                <w:szCs w:val="18"/>
              </w:rPr>
              <w:t xml:space="preserve">Source</w:t>
            </w:r>
          </w:p>
        </w:tc>
        <w:tc>
          <w:tcPr>
            <w:tcBorders>
              <w:top w:val="single" w:color="E2E8F0" w:sz="4"/>
              <w:left w:val="single" w:color="E2E8F0" w:sz="4"/>
              <w:bottom w:val="single" w:color="E2E8F0" w:sz="4"/>
              <w:right w:val="single" w:color="E2E8F0" w:sz="4"/>
            </w:tcBorders>
            <w:shd w:fill="1A6B4A" w:val="clear"/>
            <w:tcMar>
              <w:top w:type="dxa" w:w="90"/>
              <w:left w:type="dxa" w:w="120"/>
              <w:bottom w:type="dxa" w:w="90"/>
              <w:right w:type="dxa" w:w="120"/>
            </w:tcMar>
          </w:tcPr>
          <w:p>
            <w:r>
              <w:rPr>
                <w:rFonts w:ascii="Calibri" w:cs="Calibri" w:eastAsia="Calibri" w:hAnsi="Calibri"/>
                <w:b/>
                <w:bCs/>
                <w:color w:val="FFFFFF"/>
                <w:sz w:val="18"/>
                <w:szCs w:val="18"/>
              </w:rPr>
              <w:t xml:space="preserve">Type</w:t>
            </w:r>
          </w:p>
        </w:tc>
        <w:tc>
          <w:tcPr>
            <w:tcBorders>
              <w:top w:val="single" w:color="E2E8F0" w:sz="4"/>
              <w:left w:val="single" w:color="E2E8F0" w:sz="4"/>
              <w:bottom w:val="single" w:color="E2E8F0" w:sz="4"/>
              <w:right w:val="single" w:color="E2E8F0" w:sz="4"/>
            </w:tcBorders>
            <w:shd w:fill="1A6B4A" w:val="clear"/>
            <w:tcMar>
              <w:top w:type="dxa" w:w="90"/>
              <w:left w:type="dxa" w:w="120"/>
              <w:bottom w:type="dxa" w:w="90"/>
              <w:right w:type="dxa" w:w="120"/>
            </w:tcMar>
          </w:tcPr>
          <w:p>
            <w:r>
              <w:rPr>
                <w:rFonts w:ascii="Calibri" w:cs="Calibri" w:eastAsia="Calibri" w:hAnsi="Calibri"/>
                <w:b/>
                <w:bCs/>
                <w:color w:val="FFFFFF"/>
                <w:sz w:val="18"/>
                <w:szCs w:val="18"/>
              </w:rPr>
              <w:t xml:space="preserve">Data</w:t>
            </w:r>
          </w:p>
        </w:tc>
        <w:tc>
          <w:tcPr>
            <w:tcBorders>
              <w:top w:val="single" w:color="E2E8F0" w:sz="4"/>
              <w:left w:val="single" w:color="E2E8F0" w:sz="4"/>
              <w:bottom w:val="single" w:color="E2E8F0" w:sz="4"/>
              <w:right w:val="single" w:color="E2E8F0" w:sz="4"/>
            </w:tcBorders>
            <w:shd w:fill="1A6B4A" w:val="clear"/>
            <w:tcMar>
              <w:top w:type="dxa" w:w="90"/>
              <w:left w:type="dxa" w:w="120"/>
              <w:bottom w:type="dxa" w:w="90"/>
              <w:right w:type="dxa" w:w="120"/>
            </w:tcMar>
          </w:tcPr>
          <w:p>
            <w:r>
              <w:rPr>
                <w:rFonts w:ascii="Calibri" w:cs="Calibri" w:eastAsia="Calibri" w:hAnsi="Calibri"/>
                <w:b/>
                <w:bCs/>
                <w:color w:val="FFFFFF"/>
                <w:sz w:val="18"/>
                <w:szCs w:val="18"/>
              </w:rPr>
              <w:t xml:space="preserve">Refresh</w:t>
            </w:r>
          </w:p>
        </w:tc>
      </w:tr>
      <w:tr>
        <w:tc>
          <w:tcPr>
            <w:tcBorders>
              <w:top w:val="single" w:color="E2E8F0" w:sz="4"/>
              <w:left w:val="single" w:color="E2E8F0" w:sz="4"/>
              <w:bottom w:val="single" w:color="E2E8F0" w:sz="4"/>
              <w:right w:val="single" w:color="E2E8F0" w:sz="4"/>
            </w:tcBorders>
            <w:shd w:fill="F0F4F8"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Company annual/half-year reports</w:t>
            </w:r>
          </w:p>
        </w:tc>
        <w:tc>
          <w:tcPr>
            <w:tcBorders>
              <w:top w:val="single" w:color="E2E8F0" w:sz="4"/>
              <w:left w:val="single" w:color="E2E8F0" w:sz="4"/>
              <w:bottom w:val="single" w:color="E2E8F0" w:sz="4"/>
              <w:right w:val="single" w:color="E2E8F0" w:sz="4"/>
            </w:tcBorders>
            <w:shd w:fill="F0F4F8"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Manual — PDF/Excel</w:t>
            </w:r>
          </w:p>
        </w:tc>
        <w:tc>
          <w:tcPr>
            <w:tcBorders>
              <w:top w:val="single" w:color="E2E8F0" w:sz="4"/>
              <w:left w:val="single" w:color="E2E8F0" w:sz="4"/>
              <w:bottom w:val="single" w:color="E2E8F0" w:sz="4"/>
              <w:right w:val="single" w:color="E2E8F0" w:sz="4"/>
            </w:tcBorders>
            <w:shd w:fill="F0F4F8"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P&amp;L line items, balance sheet, segment data</w:t>
            </w:r>
          </w:p>
        </w:tc>
        <w:tc>
          <w:tcPr>
            <w:tcBorders>
              <w:top w:val="single" w:color="E2E8F0" w:sz="4"/>
              <w:left w:val="single" w:color="E2E8F0" w:sz="4"/>
              <w:bottom w:val="single" w:color="E2E8F0" w:sz="4"/>
              <w:right w:val="single" w:color="E2E8F0" w:sz="4"/>
            </w:tcBorders>
            <w:shd w:fill="F0F4F8"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Semi-annual (results season)</w:t>
            </w:r>
          </w:p>
        </w:tc>
      </w:tr>
      <w:tr>
        <w:tc>
          <w:tcPr>
            <w:tcBorders>
              <w:top w:val="single" w:color="E2E8F0" w:sz="4"/>
              <w:left w:val="single" w:color="E2E8F0" w:sz="4"/>
              <w:bottom w:val="single" w:color="E2E8F0" w:sz="4"/>
              <w:right w:val="single" w:color="E2E8F0" w:sz="4"/>
            </w:tcBorders>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ASX announcements</w:t>
            </w:r>
          </w:p>
        </w:tc>
        <w:tc>
          <w:tcPr>
            <w:tcBorders>
              <w:top w:val="single" w:color="E2E8F0" w:sz="4"/>
              <w:left w:val="single" w:color="E2E8F0" w:sz="4"/>
              <w:bottom w:val="single" w:color="E2E8F0" w:sz="4"/>
              <w:right w:val="single" w:color="E2E8F0" w:sz="4"/>
            </w:tcBorders>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Manual — ASX website</w:t>
            </w:r>
          </w:p>
        </w:tc>
        <w:tc>
          <w:tcPr>
            <w:tcBorders>
              <w:top w:val="single" w:color="E2E8F0" w:sz="4"/>
              <w:left w:val="single" w:color="E2E8F0" w:sz="4"/>
              <w:bottom w:val="single" w:color="E2E8F0" w:sz="4"/>
              <w:right w:val="single" w:color="E2E8F0" w:sz="4"/>
            </w:tcBorders>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Investor day presentations, guidance updates</w:t>
            </w:r>
          </w:p>
        </w:tc>
        <w:tc>
          <w:tcPr>
            <w:tcBorders>
              <w:top w:val="single" w:color="E2E8F0" w:sz="4"/>
              <w:left w:val="single" w:color="E2E8F0" w:sz="4"/>
              <w:bottom w:val="single" w:color="E2E8F0" w:sz="4"/>
              <w:right w:val="single" w:color="E2E8F0" w:sz="4"/>
            </w:tcBorders>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Ad hoc</w:t>
            </w:r>
          </w:p>
        </w:tc>
      </w:tr>
      <w:tr>
        <w:tc>
          <w:tcPr>
            <w:tcBorders>
              <w:top w:val="single" w:color="E2E8F0" w:sz="4"/>
              <w:left w:val="single" w:color="E2E8F0" w:sz="4"/>
              <w:bottom w:val="single" w:color="E2E8F0" w:sz="4"/>
              <w:right w:val="single" w:color="E2E8F0" w:sz="4"/>
            </w:tcBorders>
            <w:shd w:fill="F0F4F8"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RBA exchange rates</w:t>
            </w:r>
          </w:p>
        </w:tc>
        <w:tc>
          <w:tcPr>
            <w:tcBorders>
              <w:top w:val="single" w:color="E2E8F0" w:sz="4"/>
              <w:left w:val="single" w:color="E2E8F0" w:sz="4"/>
              <w:bottom w:val="single" w:color="E2E8F0" w:sz="4"/>
              <w:right w:val="single" w:color="E2E8F0" w:sz="4"/>
            </w:tcBorders>
            <w:shd w:fill="F0F4F8"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Automated — CSV</w:t>
            </w:r>
          </w:p>
        </w:tc>
        <w:tc>
          <w:tcPr>
            <w:tcBorders>
              <w:top w:val="single" w:color="E2E8F0" w:sz="4"/>
              <w:left w:val="single" w:color="E2E8F0" w:sz="4"/>
              <w:bottom w:val="single" w:color="E2E8F0" w:sz="4"/>
              <w:right w:val="single" w:color="E2E8F0" w:sz="4"/>
            </w:tcBorders>
            <w:shd w:fill="F0F4F8"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AUD/USD for QBE conversion</w:t>
            </w:r>
          </w:p>
        </w:tc>
        <w:tc>
          <w:tcPr>
            <w:tcBorders>
              <w:top w:val="single" w:color="E2E8F0" w:sz="4"/>
              <w:left w:val="single" w:color="E2E8F0" w:sz="4"/>
              <w:bottom w:val="single" w:color="E2E8F0" w:sz="4"/>
              <w:right w:val="single" w:color="E2E8F0" w:sz="4"/>
            </w:tcBorders>
            <w:shd w:fill="F0F4F8"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Quarterly</w:t>
            </w:r>
          </w:p>
        </w:tc>
      </w:tr>
      <w:tr>
        <w:tc>
          <w:tcPr>
            <w:tcBorders>
              <w:top w:val="single" w:color="E2E8F0" w:sz="4"/>
              <w:left w:val="single" w:color="E2E8F0" w:sz="4"/>
              <w:bottom w:val="single" w:color="E2E8F0" w:sz="4"/>
              <w:right w:val="single" w:color="E2E8F0" w:sz="4"/>
            </w:tcBorders>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APRA general insurance statistics</w:t>
            </w:r>
          </w:p>
        </w:tc>
        <w:tc>
          <w:tcPr>
            <w:tcBorders>
              <w:top w:val="single" w:color="E2E8F0" w:sz="4"/>
              <w:left w:val="single" w:color="E2E8F0" w:sz="4"/>
              <w:bottom w:val="single" w:color="E2E8F0" w:sz="4"/>
              <w:right w:val="single" w:color="E2E8F0" w:sz="4"/>
            </w:tcBorders>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Automated — APRA website</w:t>
            </w:r>
          </w:p>
        </w:tc>
        <w:tc>
          <w:tcPr>
            <w:tcBorders>
              <w:top w:val="single" w:color="E2E8F0" w:sz="4"/>
              <w:left w:val="single" w:color="E2E8F0" w:sz="4"/>
              <w:bottom w:val="single" w:color="E2E8F0" w:sz="4"/>
              <w:right w:val="single" w:color="E2E8F0" w:sz="4"/>
            </w:tcBorders>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Industry-level benchmarks for COR, growth</w:t>
            </w:r>
          </w:p>
        </w:tc>
        <w:tc>
          <w:tcPr>
            <w:tcBorders>
              <w:top w:val="single" w:color="E2E8F0" w:sz="4"/>
              <w:left w:val="single" w:color="E2E8F0" w:sz="4"/>
              <w:bottom w:val="single" w:color="E2E8F0" w:sz="4"/>
              <w:right w:val="single" w:color="E2E8F0" w:sz="4"/>
            </w:tcBorders>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Quarterly</w:t>
            </w:r>
          </w:p>
        </w:tc>
      </w:tr>
    </w:tbl>
    <w:p>
      <w:pPr>
        <w:spacing w:before="200" w:after="0"/>
      </w:pPr>
    </w:p>
    <w:p>
      <w:r>
        <w:br w:type="page"/>
      </w:r>
    </w:p>
    <w:p>
      <w:pPr>
        <w:pBdr>
          <w:bottom w:val="single" w:color="1A6B4A" w:sz="8" w:space="4"/>
        </w:pBdr>
        <w:spacing w:before="280" w:after="80"/>
      </w:pPr>
      <w:r>
        <w:rPr>
          <w:rFonts w:ascii="Calibri" w:cs="Calibri" w:eastAsia="Calibri" w:hAnsi="Calibri"/>
          <w:b/>
          <w:bCs/>
          <w:color w:val="1A6B4A"/>
          <w:sz w:val="22"/>
          <w:szCs w:val="22"/>
        </w:rPr>
        <w:t xml:space="preserve">4. DASHBOARD LAYOUT &amp; PAGE SPECIFICATIONS</w:t>
      </w:r>
    </w:p>
    <w:p>
      <w:pPr>
        <w:spacing w:before="50" w:after="50"/>
      </w:pPr>
      <w:r>
        <w:rPr>
          <w:rFonts w:ascii="Calibri" w:cs="Calibri" w:eastAsia="Calibri" w:hAnsi="Calibri"/>
          <w:color w:val="3D4A5A"/>
          <w:sz w:val="19"/>
          <w:szCs w:val="19"/>
        </w:rPr>
        <w:t xml:space="preserve">The dashboard contains </w:t>
      </w:r>
      <w:r>
        <w:rPr>
          <w:rFonts w:ascii="Calibri" w:cs="Calibri" w:eastAsia="Calibri" w:hAnsi="Calibri"/>
          <w:b/>
          <w:bCs/>
          <w:color w:val="0F1419"/>
          <w:sz w:val="19"/>
          <w:szCs w:val="19"/>
        </w:rPr>
        <w:t xml:space="preserve">4 pages</w:t>
      </w:r>
      <w:r>
        <w:rPr>
          <w:rFonts w:ascii="Calibri" w:cs="Calibri" w:eastAsia="Calibri" w:hAnsi="Calibri"/>
          <w:color w:val="3D4A5A"/>
          <w:sz w:val="19"/>
          <w:szCs w:val="19"/>
        </w:rPr>
        <w:t xml:space="preserve">, designed to be read in sequence from executive summary to company deep-dive. Each page is self-contained and can be used independently in presentations.</w:t>
      </w:r>
    </w:p>
    <w:p>
      <w:pPr>
        <w:spacing w:before="60" w:after="0"/>
      </w:pPr>
    </w:p>
    <w:p>
      <w:pPr>
        <w:spacing w:before="180" w:after="60"/>
      </w:pPr>
      <w:r>
        <w:rPr>
          <w:rFonts w:ascii="Calibri" w:cs="Calibri" w:eastAsia="Calibri" w:hAnsi="Calibri"/>
          <w:b/>
          <w:bCs/>
          <w:color w:val="0F1419"/>
          <w:sz w:val="21"/>
          <w:szCs w:val="21"/>
        </w:rPr>
        <w:t xml:space="preserve">Page 1 — Executive Summary</w:t>
      </w:r>
    </w:p>
    <w:p>
      <w:pPr>
        <w:spacing w:before="50" w:after="50"/>
      </w:pPr>
      <w:r>
        <w:rPr>
          <w:rFonts w:ascii="Calibri" w:cs="Calibri" w:eastAsia="Calibri" w:hAnsi="Calibri"/>
          <w:color w:val="3D4A5A"/>
          <w:sz w:val="19"/>
          <w:szCs w:val="19"/>
        </w:rPr>
        <w:t xml:space="preserve"/>
      </w:r>
      <w:r>
        <w:rPr>
          <w:rFonts w:ascii="Calibri" w:cs="Calibri" w:eastAsia="Calibri" w:hAnsi="Calibri"/>
          <w:b/>
          <w:bCs/>
          <w:color w:val="0F1419"/>
          <w:sz w:val="19"/>
          <w:szCs w:val="19"/>
        </w:rPr>
        <w:t xml:space="preserve">Audience:</w:t>
      </w:r>
      <w:r>
        <w:rPr>
          <w:rFonts w:ascii="Calibri" w:cs="Calibri" w:eastAsia="Calibri" w:hAnsi="Calibri"/>
          <w:color w:val="3D4A5A"/>
          <w:sz w:val="19"/>
          <w:szCs w:val="19"/>
        </w:rPr>
        <w:t xml:space="preserve"> Investment Committee  </w:t>
      </w:r>
      <w:r>
        <w:rPr>
          <w:rFonts w:ascii="Calibri" w:cs="Calibri" w:eastAsia="Calibri" w:hAnsi="Calibri"/>
          <w:b/>
          <w:bCs/>
          <w:color w:val="0F1419"/>
          <w:sz w:val="19"/>
          <w:szCs w:val="19"/>
        </w:rPr>
        <w:t xml:space="preserve">Refresh:</w:t>
      </w:r>
      <w:r>
        <w:rPr>
          <w:rFonts w:ascii="Calibri" w:cs="Calibri" w:eastAsia="Calibri" w:hAnsi="Calibri"/>
          <w:color w:val="3D4A5A"/>
          <w:sz w:val="19"/>
          <w:szCs w:val="19"/>
        </w:rPr>
        <w:t xml:space="preserve"> Quarterly  </w:t>
      </w:r>
      <w:r>
        <w:rPr>
          <w:rFonts w:ascii="Calibri" w:cs="Calibri" w:eastAsia="Calibri" w:hAnsi="Calibri"/>
          <w:b/>
          <w:bCs/>
          <w:color w:val="0F1419"/>
          <w:sz w:val="19"/>
          <w:szCs w:val="19"/>
        </w:rPr>
        <w:t xml:space="preserve">Purpose:</w:t>
      </w:r>
      <w:r>
        <w:rPr>
          <w:rFonts w:ascii="Calibri" w:cs="Calibri" w:eastAsia="Calibri" w:hAnsi="Calibri"/>
          <w:color w:val="3D4A5A"/>
          <w:sz w:val="19"/>
          <w:szCs w:val="19"/>
        </w:rPr>
        <w:t xml:space="preserve"> Single-page view of the sector at a glance</w:t>
      </w:r>
    </w:p>
    <w:p>
      <w:pPr>
        <w:spacing w:before="40" w:after="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946"/>
      </w:tblGrid>
      <w:tr>
        <w:tc>
          <w:tcPr>
            <w:tcBorders>
              <w:top w:val="single" w:color="E2E8F0" w:sz="4"/>
              <w:left w:val="single" w:color="E2E8F0" w:sz="4"/>
              <w:bottom w:val="single" w:color="E2E8F0" w:sz="4"/>
              <w:right w:val="single" w:color="E2E8F0" w:sz="4"/>
            </w:tcBorders>
            <w:shd w:fill="1A6B4A" w:val="clear"/>
            <w:tcMar>
              <w:top w:type="dxa" w:w="90"/>
              <w:left w:type="dxa" w:w="120"/>
              <w:bottom w:type="dxa" w:w="90"/>
              <w:right w:type="dxa" w:w="120"/>
            </w:tcMar>
          </w:tcPr>
          <w:p>
            <w:r>
              <w:rPr>
                <w:rFonts w:ascii="Calibri" w:cs="Calibri" w:eastAsia="Calibri" w:hAnsi="Calibri"/>
                <w:b/>
                <w:bCs/>
                <w:color w:val="FFFFFF"/>
                <w:sz w:val="18"/>
                <w:szCs w:val="18"/>
              </w:rPr>
              <w:t xml:space="preserve">Visual</w:t>
            </w:r>
          </w:p>
        </w:tc>
        <w:tc>
          <w:tcPr>
            <w:tcBorders>
              <w:top w:val="single" w:color="E2E8F0" w:sz="4"/>
              <w:left w:val="single" w:color="E2E8F0" w:sz="4"/>
              <w:bottom w:val="single" w:color="E2E8F0" w:sz="4"/>
              <w:right w:val="single" w:color="E2E8F0" w:sz="4"/>
            </w:tcBorders>
            <w:shd w:fill="1A6B4A" w:val="clear"/>
            <w:tcMar>
              <w:top w:type="dxa" w:w="90"/>
              <w:left w:type="dxa" w:w="120"/>
              <w:bottom w:type="dxa" w:w="90"/>
              <w:right w:type="dxa" w:w="120"/>
            </w:tcMar>
          </w:tcPr>
          <w:p>
            <w:r>
              <w:rPr>
                <w:rFonts w:ascii="Calibri" w:cs="Calibri" w:eastAsia="Calibri" w:hAnsi="Calibri"/>
                <w:b/>
                <w:bCs/>
                <w:color w:val="FFFFFF"/>
                <w:sz w:val="18"/>
                <w:szCs w:val="18"/>
              </w:rPr>
              <w:t xml:space="preserve">Type</w:t>
            </w:r>
          </w:p>
        </w:tc>
        <w:tc>
          <w:tcPr>
            <w:tcBorders>
              <w:top w:val="single" w:color="E2E8F0" w:sz="4"/>
              <w:left w:val="single" w:color="E2E8F0" w:sz="4"/>
              <w:bottom w:val="single" w:color="E2E8F0" w:sz="4"/>
              <w:right w:val="single" w:color="E2E8F0" w:sz="4"/>
            </w:tcBorders>
            <w:shd w:fill="1A6B4A" w:val="clear"/>
            <w:tcMar>
              <w:top w:type="dxa" w:w="90"/>
              <w:left w:type="dxa" w:w="120"/>
              <w:bottom w:type="dxa" w:w="90"/>
              <w:right w:type="dxa" w:w="120"/>
            </w:tcMar>
          </w:tcPr>
          <w:p>
            <w:r>
              <w:rPr>
                <w:rFonts w:ascii="Calibri" w:cs="Calibri" w:eastAsia="Calibri" w:hAnsi="Calibri"/>
                <w:b/>
                <w:bCs/>
                <w:color w:val="FFFFFF"/>
                <w:sz w:val="18"/>
                <w:szCs w:val="18"/>
              </w:rPr>
              <w:t xml:space="preserve">Specification</w:t>
            </w:r>
          </w:p>
        </w:tc>
      </w:tr>
      <w:tr>
        <w:tc>
          <w:tcPr>
            <w:tcBorders>
              <w:top w:val="single" w:color="E2E8F0" w:sz="4"/>
              <w:left w:val="single" w:color="E2E8F0" w:sz="4"/>
              <w:bottom w:val="single" w:color="E2E8F0" w:sz="4"/>
              <w:right w:val="single" w:color="E2E8F0" w:sz="4"/>
            </w:tcBorders>
            <w:shd w:fill="E8F5F0"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Sector COR trend</w:t>
            </w:r>
          </w:p>
        </w:tc>
        <w:tc>
          <w:tcPr>
            <w:tcBorders>
              <w:top w:val="single" w:color="E2E8F0" w:sz="4"/>
              <w:left w:val="single" w:color="E2E8F0" w:sz="4"/>
              <w:bottom w:val="single" w:color="E2E8F0" w:sz="4"/>
              <w:right w:val="single" w:color="E2E8F0" w:sz="4"/>
            </w:tcBorders>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Line chart</w:t>
            </w:r>
          </w:p>
        </w:tc>
        <w:tc>
          <w:tcPr>
            <w:tcBorders>
              <w:top w:val="single" w:color="E2E8F0" w:sz="4"/>
              <w:left w:val="single" w:color="E2E8F0" w:sz="4"/>
              <w:bottom w:val="single" w:color="E2E8F0" w:sz="4"/>
              <w:right w:val="single" w:color="E2E8F0" w:sz="4"/>
            </w:tcBorders>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3 lines (one per company) — COR% by quarter — 8 quarters — with 100% reference line</w:t>
            </w:r>
          </w:p>
        </w:tc>
      </w:tr>
      <w:tr>
        <w:tc>
          <w:tcPr>
            <w:tcBorders>
              <w:top w:val="single" w:color="E2E8F0" w:sz="4"/>
              <w:left w:val="single" w:color="E2E8F0" w:sz="4"/>
              <w:bottom w:val="single" w:color="E2E8F0" w:sz="4"/>
              <w:right w:val="single" w:color="E2E8F0" w:sz="4"/>
            </w:tcBorders>
            <w:shd w:fill="F0F4F8"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GWP growth comparison</w:t>
            </w:r>
          </w:p>
        </w:tc>
        <w:tc>
          <w:tcPr>
            <w:tcBorders>
              <w:top w:val="single" w:color="E2E8F0" w:sz="4"/>
              <w:left w:val="single" w:color="E2E8F0" w:sz="4"/>
              <w:bottom w:val="single" w:color="E2E8F0" w:sz="4"/>
              <w:right w:val="single" w:color="E2E8F0" w:sz="4"/>
            </w:tcBorders>
            <w:shd w:fill="F0F4F8"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Clustered bar</w:t>
            </w:r>
          </w:p>
        </w:tc>
        <w:tc>
          <w:tcPr>
            <w:tcBorders>
              <w:top w:val="single" w:color="E2E8F0" w:sz="4"/>
              <w:left w:val="single" w:color="E2E8F0" w:sz="4"/>
              <w:bottom w:val="single" w:color="E2E8F0" w:sz="4"/>
              <w:right w:val="single" w:color="E2E8F0" w:sz="4"/>
            </w:tcBorders>
            <w:shd w:fill="F0F4F8"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YoY GWP growth % — current vs prior year — grouped by company</w:t>
            </w:r>
          </w:p>
        </w:tc>
      </w:tr>
      <w:tr>
        <w:tc>
          <w:tcPr>
            <w:tcBorders>
              <w:top w:val="single" w:color="E2E8F0" w:sz="4"/>
              <w:left w:val="single" w:color="E2E8F0" w:sz="4"/>
              <w:bottom w:val="single" w:color="E2E8F0" w:sz="4"/>
              <w:right w:val="single" w:color="E2E8F0" w:sz="4"/>
            </w:tcBorders>
            <w:shd w:fill="E8F5F0"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KPI scorecard</w:t>
            </w:r>
          </w:p>
        </w:tc>
        <w:tc>
          <w:tcPr>
            <w:tcBorders>
              <w:top w:val="single" w:color="E2E8F0" w:sz="4"/>
              <w:left w:val="single" w:color="E2E8F0" w:sz="4"/>
              <w:bottom w:val="single" w:color="E2E8F0" w:sz="4"/>
              <w:right w:val="single" w:color="E2E8F0" w:sz="4"/>
            </w:tcBorders>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Matrix / table</w:t>
            </w:r>
          </w:p>
        </w:tc>
        <w:tc>
          <w:tcPr>
            <w:tcBorders>
              <w:top w:val="single" w:color="E2E8F0" w:sz="4"/>
              <w:left w:val="single" w:color="E2E8F0" w:sz="4"/>
              <w:bottom w:val="single" w:color="E2E8F0" w:sz="4"/>
              <w:right w:val="single" w:color="E2E8F0" w:sz="4"/>
            </w:tcBorders>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Rows = KPIs, Columns = Companies — RAG conditional formatting — current quarter values</w:t>
            </w:r>
          </w:p>
        </w:tc>
      </w:tr>
      <w:tr>
        <w:tc>
          <w:tcPr>
            <w:tcBorders>
              <w:top w:val="single" w:color="E2E8F0" w:sz="4"/>
              <w:left w:val="single" w:color="E2E8F0" w:sz="4"/>
              <w:bottom w:val="single" w:color="E2E8F0" w:sz="4"/>
              <w:right w:val="single" w:color="E2E8F0" w:sz="4"/>
            </w:tcBorders>
            <w:shd w:fill="F0F4F8"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COR components</w:t>
            </w:r>
          </w:p>
        </w:tc>
        <w:tc>
          <w:tcPr>
            <w:tcBorders>
              <w:top w:val="single" w:color="E2E8F0" w:sz="4"/>
              <w:left w:val="single" w:color="E2E8F0" w:sz="4"/>
              <w:bottom w:val="single" w:color="E2E8F0" w:sz="4"/>
              <w:right w:val="single" w:color="E2E8F0" w:sz="4"/>
            </w:tcBorders>
            <w:shd w:fill="F0F4F8"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Stacked bar</w:t>
            </w:r>
          </w:p>
        </w:tc>
        <w:tc>
          <w:tcPr>
            <w:tcBorders>
              <w:top w:val="single" w:color="E2E8F0" w:sz="4"/>
              <w:left w:val="single" w:color="E2E8F0" w:sz="4"/>
              <w:bottom w:val="single" w:color="E2E8F0" w:sz="4"/>
              <w:right w:val="single" w:color="E2E8F0" w:sz="4"/>
            </w:tcBorders>
            <w:shd w:fill="F0F4F8"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Claims ratio + Expense ratio stacked — by company — current quarter</w:t>
            </w:r>
          </w:p>
        </w:tc>
      </w:tr>
      <w:tr>
        <w:tc>
          <w:tcPr>
            <w:tcBorders>
              <w:top w:val="single" w:color="E2E8F0" w:sz="4"/>
              <w:left w:val="single" w:color="E2E8F0" w:sz="4"/>
              <w:bottom w:val="single" w:color="E2E8F0" w:sz="4"/>
              <w:right w:val="single" w:color="E2E8F0" w:sz="4"/>
            </w:tcBorders>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Period slicer</w:t>
            </w:r>
          </w:p>
        </w:tc>
        <w:tc>
          <w:tcPr>
            <w:tcBorders>
              <w:top w:val="single" w:color="E2E8F0" w:sz="4"/>
              <w:left w:val="single" w:color="E2E8F0" w:sz="4"/>
              <w:bottom w:val="single" w:color="E2E8F0" w:sz="4"/>
              <w:right w:val="single" w:color="E2E8F0" w:sz="4"/>
            </w:tcBorders>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Slicer</w:t>
            </w:r>
          </w:p>
        </w:tc>
        <w:tc>
          <w:tcPr>
            <w:tcBorders>
              <w:top w:val="single" w:color="E2E8F0" w:sz="4"/>
              <w:left w:val="single" w:color="E2E8F0" w:sz="4"/>
              <w:bottom w:val="single" w:color="E2E8F0" w:sz="4"/>
              <w:right w:val="single" w:color="E2E8F0" w:sz="4"/>
            </w:tcBorders>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Quarter selector — default to most recent quarter — cascades to all visuals on page</w:t>
            </w:r>
          </w:p>
        </w:tc>
      </w:tr>
      <w:tr>
        <w:tc>
          <w:tcPr>
            <w:tcBorders>
              <w:top w:val="single" w:color="E2E8F0" w:sz="4"/>
              <w:left w:val="single" w:color="E2E8F0" w:sz="4"/>
              <w:bottom w:val="single" w:color="E2E8F0" w:sz="4"/>
              <w:right w:val="single" w:color="E2E8F0" w:sz="4"/>
            </w:tcBorders>
            <w:shd w:fill="F0F4F8"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Company slicer</w:t>
            </w:r>
          </w:p>
        </w:tc>
        <w:tc>
          <w:tcPr>
            <w:tcBorders>
              <w:top w:val="single" w:color="E2E8F0" w:sz="4"/>
              <w:left w:val="single" w:color="E2E8F0" w:sz="4"/>
              <w:bottom w:val="single" w:color="E2E8F0" w:sz="4"/>
              <w:right w:val="single" w:color="E2E8F0" w:sz="4"/>
            </w:tcBorders>
            <w:shd w:fill="F0F4F8"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Slicer</w:t>
            </w:r>
          </w:p>
        </w:tc>
        <w:tc>
          <w:tcPr>
            <w:tcBorders>
              <w:top w:val="single" w:color="E2E8F0" w:sz="4"/>
              <w:left w:val="single" w:color="E2E8F0" w:sz="4"/>
              <w:bottom w:val="single" w:color="E2E8F0" w:sz="4"/>
              <w:right w:val="single" w:color="E2E8F0" w:sz="4"/>
            </w:tcBorders>
            <w:shd w:fill="F0F4F8"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Multi-select — default all — allows single company focus</w:t>
            </w:r>
          </w:p>
        </w:tc>
      </w:tr>
    </w:tbl>
    <w:p>
      <w:pPr>
        <w:spacing w:before="80" w:after="0"/>
      </w:pPr>
    </w:p>
    <w:p>
      <w:pPr>
        <w:spacing w:before="180" w:after="60"/>
      </w:pPr>
      <w:r>
        <w:rPr>
          <w:rFonts w:ascii="Calibri" w:cs="Calibri" w:eastAsia="Calibri" w:hAnsi="Calibri"/>
          <w:b/>
          <w:bCs/>
          <w:color w:val="0F1419"/>
          <w:sz w:val="21"/>
          <w:szCs w:val="21"/>
        </w:rPr>
        <w:t xml:space="preserve">Page 2 — Variance Analysis</w:t>
      </w:r>
    </w:p>
    <w:p>
      <w:pPr>
        <w:spacing w:before="50" w:after="50"/>
      </w:pPr>
      <w:r>
        <w:rPr>
          <w:rFonts w:ascii="Calibri" w:cs="Calibri" w:eastAsia="Calibri" w:hAnsi="Calibri"/>
          <w:color w:val="3D4A5A"/>
          <w:sz w:val="19"/>
          <w:szCs w:val="19"/>
        </w:rPr>
        <w:t xml:space="preserve"/>
      </w:r>
      <w:r>
        <w:rPr>
          <w:rFonts w:ascii="Calibri" w:cs="Calibri" w:eastAsia="Calibri" w:hAnsi="Calibri"/>
          <w:b/>
          <w:bCs/>
          <w:color w:val="0F1419"/>
          <w:sz w:val="19"/>
          <w:szCs w:val="19"/>
        </w:rPr>
        <w:t xml:space="preserve">Audience:</w:t>
      </w:r>
      <w:r>
        <w:rPr>
          <w:rFonts w:ascii="Calibri" w:cs="Calibri" w:eastAsia="Calibri" w:hAnsi="Calibri"/>
          <w:color w:val="3D4A5A"/>
          <w:sz w:val="19"/>
          <w:szCs w:val="19"/>
        </w:rPr>
        <w:t xml:space="preserve"> Research Analysts  </w:t>
      </w:r>
      <w:r>
        <w:rPr>
          <w:rFonts w:ascii="Calibri" w:cs="Calibri" w:eastAsia="Calibri" w:hAnsi="Calibri"/>
          <w:b/>
          <w:bCs/>
          <w:color w:val="0F1419"/>
          <w:sz w:val="19"/>
          <w:szCs w:val="19"/>
        </w:rPr>
        <w:t xml:space="preserve">Purpose:</w:t>
      </w:r>
      <w:r>
        <w:rPr>
          <w:rFonts w:ascii="Calibri" w:cs="Calibri" w:eastAsia="Calibri" w:hAnsi="Calibri"/>
          <w:color w:val="3D4A5A"/>
          <w:sz w:val="19"/>
          <w:szCs w:val="19"/>
        </w:rPr>
        <w:t xml:space="preserve"> Quarter-on-quarter and year-on-year variance with driver commentary</w:t>
      </w:r>
    </w:p>
    <w:p>
      <w:pPr>
        <w:spacing w:before="40" w:after="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946"/>
      </w:tblGrid>
      <w:tr>
        <w:tc>
          <w:tcPr>
            <w:tcBorders>
              <w:top w:val="single" w:color="E2E8F0" w:sz="4"/>
              <w:left w:val="single" w:color="E2E8F0" w:sz="4"/>
              <w:bottom w:val="single" w:color="E2E8F0" w:sz="4"/>
              <w:right w:val="single" w:color="E2E8F0" w:sz="4"/>
            </w:tcBorders>
            <w:shd w:fill="1A6B4A" w:val="clear"/>
            <w:tcMar>
              <w:top w:type="dxa" w:w="90"/>
              <w:left w:type="dxa" w:w="120"/>
              <w:bottom w:type="dxa" w:w="90"/>
              <w:right w:type="dxa" w:w="120"/>
            </w:tcMar>
          </w:tcPr>
          <w:p>
            <w:r>
              <w:rPr>
                <w:rFonts w:ascii="Calibri" w:cs="Calibri" w:eastAsia="Calibri" w:hAnsi="Calibri"/>
                <w:b/>
                <w:bCs/>
                <w:color w:val="FFFFFF"/>
                <w:sz w:val="18"/>
                <w:szCs w:val="18"/>
              </w:rPr>
              <w:t xml:space="preserve">Visual</w:t>
            </w:r>
          </w:p>
        </w:tc>
        <w:tc>
          <w:tcPr>
            <w:tcBorders>
              <w:top w:val="single" w:color="E2E8F0" w:sz="4"/>
              <w:left w:val="single" w:color="E2E8F0" w:sz="4"/>
              <w:bottom w:val="single" w:color="E2E8F0" w:sz="4"/>
              <w:right w:val="single" w:color="E2E8F0" w:sz="4"/>
            </w:tcBorders>
            <w:shd w:fill="1A6B4A" w:val="clear"/>
            <w:tcMar>
              <w:top w:type="dxa" w:w="90"/>
              <w:left w:type="dxa" w:w="120"/>
              <w:bottom w:type="dxa" w:w="90"/>
              <w:right w:type="dxa" w:w="120"/>
            </w:tcMar>
          </w:tcPr>
          <w:p>
            <w:r>
              <w:rPr>
                <w:rFonts w:ascii="Calibri" w:cs="Calibri" w:eastAsia="Calibri" w:hAnsi="Calibri"/>
                <w:b/>
                <w:bCs/>
                <w:color w:val="FFFFFF"/>
                <w:sz w:val="18"/>
                <w:szCs w:val="18"/>
              </w:rPr>
              <w:t xml:space="preserve">Type</w:t>
            </w:r>
          </w:p>
        </w:tc>
        <w:tc>
          <w:tcPr>
            <w:tcBorders>
              <w:top w:val="single" w:color="E2E8F0" w:sz="4"/>
              <w:left w:val="single" w:color="E2E8F0" w:sz="4"/>
              <w:bottom w:val="single" w:color="E2E8F0" w:sz="4"/>
              <w:right w:val="single" w:color="E2E8F0" w:sz="4"/>
            </w:tcBorders>
            <w:shd w:fill="1A6B4A" w:val="clear"/>
            <w:tcMar>
              <w:top w:type="dxa" w:w="90"/>
              <w:left w:type="dxa" w:w="120"/>
              <w:bottom w:type="dxa" w:w="90"/>
              <w:right w:type="dxa" w:w="120"/>
            </w:tcMar>
          </w:tcPr>
          <w:p>
            <w:r>
              <w:rPr>
                <w:rFonts w:ascii="Calibri" w:cs="Calibri" w:eastAsia="Calibri" w:hAnsi="Calibri"/>
                <w:b/>
                <w:bCs/>
                <w:color w:val="FFFFFF"/>
                <w:sz w:val="18"/>
                <w:szCs w:val="18"/>
              </w:rPr>
              <w:t xml:space="preserve">Specification</w:t>
            </w:r>
          </w:p>
        </w:tc>
      </w:tr>
      <w:tr>
        <w:tc>
          <w:tcPr>
            <w:tcBorders>
              <w:top w:val="single" w:color="E2E8F0" w:sz="4"/>
              <w:left w:val="single" w:color="E2E8F0" w:sz="4"/>
              <w:bottom w:val="single" w:color="E2E8F0" w:sz="4"/>
              <w:right w:val="single" w:color="E2E8F0" w:sz="4"/>
            </w:tcBorders>
            <w:shd w:fill="E8F5F0"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QoQ variance waterfall</w:t>
            </w:r>
          </w:p>
        </w:tc>
        <w:tc>
          <w:tcPr>
            <w:tcBorders>
              <w:top w:val="single" w:color="E2E8F0" w:sz="4"/>
              <w:left w:val="single" w:color="E2E8F0" w:sz="4"/>
              <w:bottom w:val="single" w:color="E2E8F0" w:sz="4"/>
              <w:right w:val="single" w:color="E2E8F0" w:sz="4"/>
            </w:tcBorders>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Waterfall chart</w:t>
            </w:r>
          </w:p>
        </w:tc>
        <w:tc>
          <w:tcPr>
            <w:tcBorders>
              <w:top w:val="single" w:color="E2E8F0" w:sz="4"/>
              <w:left w:val="single" w:color="E2E8F0" w:sz="4"/>
              <w:bottom w:val="single" w:color="E2E8F0" w:sz="4"/>
              <w:right w:val="single" w:color="E2E8F0" w:sz="4"/>
            </w:tcBorders>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COR bridge — prior quarter to current quarter — claims + expense components — by company</w:t>
            </w:r>
          </w:p>
        </w:tc>
      </w:tr>
      <w:tr>
        <w:tc>
          <w:tcPr>
            <w:tcBorders>
              <w:top w:val="single" w:color="E2E8F0" w:sz="4"/>
              <w:left w:val="single" w:color="E2E8F0" w:sz="4"/>
              <w:bottom w:val="single" w:color="E2E8F0" w:sz="4"/>
              <w:right w:val="single" w:color="E2E8F0" w:sz="4"/>
            </w:tcBorders>
            <w:shd w:fill="F0F4F8"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Claims ratio drill</w:t>
            </w:r>
          </w:p>
        </w:tc>
        <w:tc>
          <w:tcPr>
            <w:tcBorders>
              <w:top w:val="single" w:color="E2E8F0" w:sz="4"/>
              <w:left w:val="single" w:color="E2E8F0" w:sz="4"/>
              <w:bottom w:val="single" w:color="E2E8F0" w:sz="4"/>
              <w:right w:val="single" w:color="E2E8F0" w:sz="4"/>
            </w:tcBorders>
            <w:shd w:fill="F0F4F8"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Line + bar combo</w:t>
            </w:r>
          </w:p>
        </w:tc>
        <w:tc>
          <w:tcPr>
            <w:tcBorders>
              <w:top w:val="single" w:color="E2E8F0" w:sz="4"/>
              <w:left w:val="single" w:color="E2E8F0" w:sz="4"/>
              <w:bottom w:val="single" w:color="E2E8F0" w:sz="4"/>
              <w:right w:val="single" w:color="E2E8F0" w:sz="4"/>
            </w:tcBorders>
            <w:shd w:fill="F0F4F8"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Claims ratio trend + QoQ change bars — natural catastrophe flag where applicable</w:t>
            </w:r>
          </w:p>
        </w:tc>
      </w:tr>
      <w:tr>
        <w:tc>
          <w:tcPr>
            <w:tcBorders>
              <w:top w:val="single" w:color="E2E8F0" w:sz="4"/>
              <w:left w:val="single" w:color="E2E8F0" w:sz="4"/>
              <w:bottom w:val="single" w:color="E2E8F0" w:sz="4"/>
              <w:right w:val="single" w:color="E2E8F0" w:sz="4"/>
            </w:tcBorders>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YoY KPI table</w:t>
            </w:r>
          </w:p>
        </w:tc>
        <w:tc>
          <w:tcPr>
            <w:tcBorders>
              <w:top w:val="single" w:color="E2E8F0" w:sz="4"/>
              <w:left w:val="single" w:color="E2E8F0" w:sz="4"/>
              <w:bottom w:val="single" w:color="E2E8F0" w:sz="4"/>
              <w:right w:val="single" w:color="E2E8F0" w:sz="4"/>
            </w:tcBorders>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Table</w:t>
            </w:r>
          </w:p>
        </w:tc>
        <w:tc>
          <w:tcPr>
            <w:tcBorders>
              <w:top w:val="single" w:color="E2E8F0" w:sz="4"/>
              <w:left w:val="single" w:color="E2E8F0" w:sz="4"/>
              <w:bottom w:val="single" w:color="E2E8F0" w:sz="4"/>
              <w:right w:val="single" w:color="E2E8F0" w:sz="4"/>
            </w:tcBorders>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All KPIs — current quarter, prior quarter, prior year quarter — absolute and % variance — conditional formatting</w:t>
            </w:r>
          </w:p>
        </w:tc>
      </w:tr>
      <w:tr>
        <w:tc>
          <w:tcPr>
            <w:tcBorders>
              <w:top w:val="single" w:color="E2E8F0" w:sz="4"/>
              <w:left w:val="single" w:color="E2E8F0" w:sz="4"/>
              <w:bottom w:val="single" w:color="E2E8F0" w:sz="4"/>
              <w:right w:val="single" w:color="E2E8F0" w:sz="4"/>
            </w:tcBorders>
            <w:shd w:fill="F0F4F8"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GWP mix shift</w:t>
            </w:r>
          </w:p>
        </w:tc>
        <w:tc>
          <w:tcPr>
            <w:tcBorders>
              <w:top w:val="single" w:color="E2E8F0" w:sz="4"/>
              <w:left w:val="single" w:color="E2E8F0" w:sz="4"/>
              <w:bottom w:val="single" w:color="E2E8F0" w:sz="4"/>
              <w:right w:val="single" w:color="E2E8F0" w:sz="4"/>
            </w:tcBorders>
            <w:shd w:fill="F0F4F8"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Area chart</w:t>
            </w:r>
          </w:p>
        </w:tc>
        <w:tc>
          <w:tcPr>
            <w:tcBorders>
              <w:top w:val="single" w:color="E2E8F0" w:sz="4"/>
              <w:left w:val="single" w:color="E2E8F0" w:sz="4"/>
              <w:bottom w:val="single" w:color="E2E8F0" w:sz="4"/>
              <w:right w:val="single" w:color="E2E8F0" w:sz="4"/>
            </w:tcBorders>
            <w:shd w:fill="F0F4F8"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GWP by company as % of total sector — 8 quarter trend — market share dynamics</w:t>
            </w:r>
          </w:p>
        </w:tc>
      </w:tr>
    </w:tbl>
    <w:p>
      <w:pPr>
        <w:spacing w:before="80" w:after="0"/>
      </w:pPr>
    </w:p>
    <w:p>
      <w:pPr>
        <w:spacing w:before="180" w:after="60"/>
      </w:pPr>
      <w:r>
        <w:rPr>
          <w:rFonts w:ascii="Calibri" w:cs="Calibri" w:eastAsia="Calibri" w:hAnsi="Calibri"/>
          <w:b/>
          <w:bCs/>
          <w:color w:val="0F1419"/>
          <w:sz w:val="21"/>
          <w:szCs w:val="21"/>
        </w:rPr>
        <w:t xml:space="preserve">Page 3 — KPI Trends</w:t>
      </w:r>
    </w:p>
    <w:p>
      <w:pPr>
        <w:spacing w:before="50" w:after="50"/>
      </w:pPr>
      <w:r>
        <w:rPr>
          <w:rFonts w:ascii="Calibri" w:cs="Calibri" w:eastAsia="Calibri" w:hAnsi="Calibri"/>
          <w:color w:val="3D4A5A"/>
          <w:sz w:val="19"/>
          <w:szCs w:val="19"/>
        </w:rPr>
        <w:t xml:space="preserve"/>
      </w:r>
      <w:r>
        <w:rPr>
          <w:rFonts w:ascii="Calibri" w:cs="Calibri" w:eastAsia="Calibri" w:hAnsi="Calibri"/>
          <w:b/>
          <w:bCs/>
          <w:color w:val="0F1419"/>
          <w:sz w:val="19"/>
          <w:szCs w:val="19"/>
        </w:rPr>
        <w:t xml:space="preserve">Audience:</w:t>
      </w:r>
      <w:r>
        <w:rPr>
          <w:rFonts w:ascii="Calibri" w:cs="Calibri" w:eastAsia="Calibri" w:hAnsi="Calibri"/>
          <w:color w:val="3D4A5A"/>
          <w:sz w:val="19"/>
          <w:szCs w:val="19"/>
        </w:rPr>
        <w:t xml:space="preserve"> Research Analysts  </w:t>
      </w:r>
      <w:r>
        <w:rPr>
          <w:rFonts w:ascii="Calibri" w:cs="Calibri" w:eastAsia="Calibri" w:hAnsi="Calibri"/>
          <w:b/>
          <w:bCs/>
          <w:color w:val="0F1419"/>
          <w:sz w:val="19"/>
          <w:szCs w:val="19"/>
        </w:rPr>
        <w:t xml:space="preserve">Purpose:</w:t>
      </w:r>
      <w:r>
        <w:rPr>
          <w:rFonts w:ascii="Calibri" w:cs="Calibri" w:eastAsia="Calibri" w:hAnsi="Calibri"/>
          <w:color w:val="3D4A5A"/>
          <w:sz w:val="19"/>
          <w:szCs w:val="19"/>
        </w:rPr>
        <w:t xml:space="preserve"> 8-quarter trend view for all KPIs with benchmark lines</w:t>
      </w:r>
    </w:p>
    <w:p>
      <w:pPr>
        <w:spacing w:before="40" w:after="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946"/>
      </w:tblGrid>
      <w:tr>
        <w:tc>
          <w:tcPr>
            <w:tcBorders>
              <w:top w:val="single" w:color="E2E8F0" w:sz="4"/>
              <w:left w:val="single" w:color="E2E8F0" w:sz="4"/>
              <w:bottom w:val="single" w:color="E2E8F0" w:sz="4"/>
              <w:right w:val="single" w:color="E2E8F0" w:sz="4"/>
            </w:tcBorders>
            <w:shd w:fill="1A6B4A" w:val="clear"/>
            <w:tcMar>
              <w:top w:type="dxa" w:w="90"/>
              <w:left w:type="dxa" w:w="120"/>
              <w:bottom w:type="dxa" w:w="90"/>
              <w:right w:type="dxa" w:w="120"/>
            </w:tcMar>
          </w:tcPr>
          <w:p>
            <w:r>
              <w:rPr>
                <w:rFonts w:ascii="Calibri" w:cs="Calibri" w:eastAsia="Calibri" w:hAnsi="Calibri"/>
                <w:b/>
                <w:bCs/>
                <w:color w:val="FFFFFF"/>
                <w:sz w:val="18"/>
                <w:szCs w:val="18"/>
              </w:rPr>
              <w:t xml:space="preserve">KPI</w:t>
            </w:r>
          </w:p>
        </w:tc>
        <w:tc>
          <w:tcPr>
            <w:tcBorders>
              <w:top w:val="single" w:color="E2E8F0" w:sz="4"/>
              <w:left w:val="single" w:color="E2E8F0" w:sz="4"/>
              <w:bottom w:val="single" w:color="E2E8F0" w:sz="4"/>
              <w:right w:val="single" w:color="E2E8F0" w:sz="4"/>
            </w:tcBorders>
            <w:shd w:fill="1A6B4A" w:val="clear"/>
            <w:tcMar>
              <w:top w:type="dxa" w:w="90"/>
              <w:left w:type="dxa" w:w="120"/>
              <w:bottom w:type="dxa" w:w="90"/>
              <w:right w:type="dxa" w:w="120"/>
            </w:tcMar>
          </w:tcPr>
          <w:p>
            <w:r>
              <w:rPr>
                <w:rFonts w:ascii="Calibri" w:cs="Calibri" w:eastAsia="Calibri" w:hAnsi="Calibri"/>
                <w:b/>
                <w:bCs/>
                <w:color w:val="FFFFFF"/>
                <w:sz w:val="18"/>
                <w:szCs w:val="18"/>
              </w:rPr>
              <w:t xml:space="preserve">Visual</w:t>
            </w:r>
          </w:p>
        </w:tc>
        <w:tc>
          <w:tcPr>
            <w:tcBorders>
              <w:top w:val="single" w:color="E2E8F0" w:sz="4"/>
              <w:left w:val="single" w:color="E2E8F0" w:sz="4"/>
              <w:bottom w:val="single" w:color="E2E8F0" w:sz="4"/>
              <w:right w:val="single" w:color="E2E8F0" w:sz="4"/>
            </w:tcBorders>
            <w:shd w:fill="1A6B4A" w:val="clear"/>
            <w:tcMar>
              <w:top w:type="dxa" w:w="90"/>
              <w:left w:type="dxa" w:w="120"/>
              <w:bottom w:type="dxa" w:w="90"/>
              <w:right w:type="dxa" w:w="120"/>
            </w:tcMar>
          </w:tcPr>
          <w:p>
            <w:r>
              <w:rPr>
                <w:rFonts w:ascii="Calibri" w:cs="Calibri" w:eastAsia="Calibri" w:hAnsi="Calibri"/>
                <w:b/>
                <w:bCs/>
                <w:color w:val="FFFFFF"/>
                <w:sz w:val="18"/>
                <w:szCs w:val="18"/>
              </w:rPr>
              <w:t xml:space="preserve">Specification</w:t>
            </w:r>
          </w:p>
        </w:tc>
      </w:tr>
      <w:tr>
        <w:tc>
          <w:tcPr>
            <w:tcBorders>
              <w:top w:val="single" w:color="E2E8F0" w:sz="4"/>
              <w:left w:val="single" w:color="E2E8F0" w:sz="4"/>
              <w:bottom w:val="single" w:color="E2E8F0" w:sz="4"/>
              <w:right w:val="single" w:color="E2E8F0" w:sz="4"/>
            </w:tcBorders>
            <w:shd w:fill="E8F5F0"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COR</w:t>
            </w:r>
          </w:p>
        </w:tc>
        <w:tc>
          <w:tcPr>
            <w:tcBorders>
              <w:top w:val="single" w:color="E2E8F0" w:sz="4"/>
              <w:left w:val="single" w:color="E2E8F0" w:sz="4"/>
              <w:bottom w:val="single" w:color="E2E8F0" w:sz="4"/>
              <w:right w:val="single" w:color="E2E8F0" w:sz="4"/>
            </w:tcBorders>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Line chart × 3</w:t>
            </w:r>
          </w:p>
        </w:tc>
        <w:tc>
          <w:tcPr>
            <w:tcBorders>
              <w:top w:val="single" w:color="E2E8F0" w:sz="4"/>
              <w:left w:val="single" w:color="E2E8F0" w:sz="4"/>
              <w:bottom w:val="single" w:color="E2E8F0" w:sz="4"/>
              <w:right w:val="single" w:color="E2E8F0" w:sz="4"/>
            </w:tcBorders>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One line per company — 8 quarters — 100% reference line — tooltip shows claims + expense breakdown</w:t>
            </w:r>
          </w:p>
        </w:tc>
      </w:tr>
      <w:tr>
        <w:tc>
          <w:tcPr>
            <w:tcBorders>
              <w:top w:val="single" w:color="E2E8F0" w:sz="4"/>
              <w:left w:val="single" w:color="E2E8F0" w:sz="4"/>
              <w:bottom w:val="single" w:color="E2E8F0" w:sz="4"/>
              <w:right w:val="single" w:color="E2E8F0" w:sz="4"/>
            </w:tcBorders>
            <w:shd w:fill="F0F4F8"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GWP Growth %</w:t>
            </w:r>
          </w:p>
        </w:tc>
        <w:tc>
          <w:tcPr>
            <w:tcBorders>
              <w:top w:val="single" w:color="E2E8F0" w:sz="4"/>
              <w:left w:val="single" w:color="E2E8F0" w:sz="4"/>
              <w:bottom w:val="single" w:color="E2E8F0" w:sz="4"/>
              <w:right w:val="single" w:color="E2E8F0" w:sz="4"/>
            </w:tcBorders>
            <w:shd w:fill="F0F4F8"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Bar chart</w:t>
            </w:r>
          </w:p>
        </w:tc>
        <w:tc>
          <w:tcPr>
            <w:tcBorders>
              <w:top w:val="single" w:color="E2E8F0" w:sz="4"/>
              <w:left w:val="single" w:color="E2E8F0" w:sz="4"/>
              <w:bottom w:val="single" w:color="E2E8F0" w:sz="4"/>
              <w:right w:val="single" w:color="E2E8F0" w:sz="4"/>
            </w:tcBorders>
            <w:shd w:fill="F0F4F8"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YoY growth bars — positive green, negative red — by company per quarter</w:t>
            </w:r>
          </w:p>
        </w:tc>
      </w:tr>
      <w:tr>
        <w:tc>
          <w:tcPr>
            <w:tcBorders>
              <w:top w:val="single" w:color="E2E8F0" w:sz="4"/>
              <w:left w:val="single" w:color="E2E8F0" w:sz="4"/>
              <w:bottom w:val="single" w:color="E2E8F0" w:sz="4"/>
              <w:right w:val="single" w:color="E2E8F0" w:sz="4"/>
            </w:tcBorders>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Investment Return</w:t>
            </w:r>
          </w:p>
        </w:tc>
        <w:tc>
          <w:tcPr>
            <w:tcBorders>
              <w:top w:val="single" w:color="E2E8F0" w:sz="4"/>
              <w:left w:val="single" w:color="E2E8F0" w:sz="4"/>
              <w:bottom w:val="single" w:color="E2E8F0" w:sz="4"/>
              <w:right w:val="single" w:color="E2E8F0" w:sz="4"/>
            </w:tcBorders>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Line chart</w:t>
            </w:r>
          </w:p>
        </w:tc>
        <w:tc>
          <w:tcPr>
            <w:tcBorders>
              <w:top w:val="single" w:color="E2E8F0" w:sz="4"/>
              <w:left w:val="single" w:color="E2E8F0" w:sz="4"/>
              <w:bottom w:val="single" w:color="E2E8F0" w:sz="4"/>
              <w:right w:val="single" w:color="E2E8F0" w:sz="4"/>
            </w:tcBorders>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3 lines — 8 quarters — 3.5% benchmark reference line</w:t>
            </w:r>
          </w:p>
        </w:tc>
      </w:tr>
      <w:tr>
        <w:tc>
          <w:tcPr>
            <w:tcBorders>
              <w:top w:val="single" w:color="E2E8F0" w:sz="4"/>
              <w:left w:val="single" w:color="E2E8F0" w:sz="4"/>
              <w:bottom w:val="single" w:color="E2E8F0" w:sz="4"/>
              <w:right w:val="single" w:color="E2E8F0" w:sz="4"/>
            </w:tcBorders>
            <w:shd w:fill="F0F4F8"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ROE</w:t>
            </w:r>
          </w:p>
        </w:tc>
        <w:tc>
          <w:tcPr>
            <w:tcBorders>
              <w:top w:val="single" w:color="E2E8F0" w:sz="4"/>
              <w:left w:val="single" w:color="E2E8F0" w:sz="4"/>
              <w:bottom w:val="single" w:color="E2E8F0" w:sz="4"/>
              <w:right w:val="single" w:color="E2E8F0" w:sz="4"/>
            </w:tcBorders>
            <w:shd w:fill="F0F4F8"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Line chart</w:t>
            </w:r>
          </w:p>
        </w:tc>
        <w:tc>
          <w:tcPr>
            <w:tcBorders>
              <w:top w:val="single" w:color="E2E8F0" w:sz="4"/>
              <w:left w:val="single" w:color="E2E8F0" w:sz="4"/>
              <w:bottom w:val="single" w:color="E2E8F0" w:sz="4"/>
              <w:right w:val="single" w:color="E2E8F0" w:sz="4"/>
            </w:tcBorders>
            <w:shd w:fill="F0F4F8"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3 lines — 8 quarters — 12% target reference line</w:t>
            </w:r>
          </w:p>
        </w:tc>
      </w:tr>
    </w:tbl>
    <w:p>
      <w:pPr>
        <w:spacing w:before="80" w:after="0"/>
      </w:pPr>
    </w:p>
    <w:p>
      <w:pPr>
        <w:spacing w:before="180" w:after="60"/>
      </w:pPr>
      <w:r>
        <w:rPr>
          <w:rFonts w:ascii="Calibri" w:cs="Calibri" w:eastAsia="Calibri" w:hAnsi="Calibri"/>
          <w:b/>
          <w:bCs/>
          <w:color w:val="0F1419"/>
          <w:sz w:val="21"/>
          <w:szCs w:val="21"/>
        </w:rPr>
        <w:t xml:space="preserve">Page 4 — Company Deep-Dive</w:t>
      </w:r>
    </w:p>
    <w:p>
      <w:pPr>
        <w:spacing w:before="50" w:after="50"/>
      </w:pPr>
      <w:r>
        <w:rPr>
          <w:rFonts w:ascii="Calibri" w:cs="Calibri" w:eastAsia="Calibri" w:hAnsi="Calibri"/>
          <w:color w:val="3D4A5A"/>
          <w:sz w:val="19"/>
          <w:szCs w:val="19"/>
        </w:rPr>
        <w:t xml:space="preserve"/>
      </w:r>
      <w:r>
        <w:rPr>
          <w:rFonts w:ascii="Calibri" w:cs="Calibri" w:eastAsia="Calibri" w:hAnsi="Calibri"/>
          <w:b/>
          <w:bCs/>
          <w:color w:val="0F1419"/>
          <w:sz w:val="19"/>
          <w:szCs w:val="19"/>
        </w:rPr>
        <w:t xml:space="preserve">Audience:</w:t>
      </w:r>
      <w:r>
        <w:rPr>
          <w:rFonts w:ascii="Calibri" w:cs="Calibri" w:eastAsia="Calibri" w:hAnsi="Calibri"/>
          <w:color w:val="3D4A5A"/>
          <w:sz w:val="19"/>
          <w:szCs w:val="19"/>
        </w:rPr>
        <w:t xml:space="preserve"> All users  </w:t>
      </w:r>
      <w:r>
        <w:rPr>
          <w:rFonts w:ascii="Calibri" w:cs="Calibri" w:eastAsia="Calibri" w:hAnsi="Calibri"/>
          <w:b/>
          <w:bCs/>
          <w:color w:val="0F1419"/>
          <w:sz w:val="19"/>
          <w:szCs w:val="19"/>
        </w:rPr>
        <w:t xml:space="preserve">Purpose:</w:t>
      </w:r>
      <w:r>
        <w:rPr>
          <w:rFonts w:ascii="Calibri" w:cs="Calibri" w:eastAsia="Calibri" w:hAnsi="Calibri"/>
          <w:color w:val="3D4A5A"/>
          <w:sz w:val="19"/>
          <w:szCs w:val="19"/>
        </w:rPr>
        <w:t xml:space="preserve"> Single-company focus with full metric detail — accessed via drill-through from Page 1 or Page 3</w:t>
      </w:r>
    </w:p>
    <w:p>
      <w:pPr>
        <w:spacing w:before="40" w:after="0"/>
      </w:pPr>
    </w:p>
    <w:p>
      <w:pPr>
        <w:pStyle w:val="ListParagraph"/>
        <w:numPr>
          <w:ilvl w:val="0"/>
          <w:numId w:val="2"/>
        </w:numPr>
        <w:spacing w:before="40" w:after="40"/>
      </w:pPr>
      <w:r>
        <w:rPr>
          <w:rFonts w:ascii="Calibri" w:cs="Calibri" w:eastAsia="Calibri" w:hAnsi="Calibri"/>
          <w:color w:val="3D4A5A"/>
          <w:sz w:val="19"/>
          <w:szCs w:val="19"/>
        </w:rPr>
        <w:t xml:space="preserve"/>
      </w:r>
      <w:r>
        <w:rPr>
          <w:rFonts w:ascii="Calibri" w:cs="Calibri" w:eastAsia="Calibri" w:hAnsi="Calibri"/>
          <w:b/>
          <w:bCs/>
          <w:color w:val="0F1419"/>
          <w:sz w:val="19"/>
          <w:szCs w:val="19"/>
        </w:rPr>
        <w:t xml:space="preserve">Drill-through:</w:t>
      </w:r>
      <w:r>
        <w:rPr>
          <w:rFonts w:ascii="Calibri" w:cs="Calibri" w:eastAsia="Calibri" w:hAnsi="Calibri"/>
          <w:color w:val="3D4A5A"/>
          <w:sz w:val="19"/>
          <w:szCs w:val="19"/>
        </w:rPr>
        <w:t xml:space="preserve"> Right-click any company name on Pages 1–3 → 'Drill through' → Company Deep-Dive — pre-filtered to selected company</w:t>
      </w:r>
    </w:p>
    <w:p>
      <w:pPr>
        <w:pStyle w:val="ListParagraph"/>
        <w:numPr>
          <w:ilvl w:val="0"/>
          <w:numId w:val="2"/>
        </w:numPr>
        <w:spacing w:before="40" w:after="40"/>
      </w:pPr>
      <w:r>
        <w:rPr>
          <w:rFonts w:ascii="Calibri" w:cs="Calibri" w:eastAsia="Calibri" w:hAnsi="Calibri"/>
          <w:color w:val="3D4A5A"/>
          <w:sz w:val="19"/>
          <w:szCs w:val="19"/>
        </w:rPr>
        <w:t xml:space="preserve"/>
      </w:r>
      <w:r>
        <w:rPr>
          <w:rFonts w:ascii="Calibri" w:cs="Calibri" w:eastAsia="Calibri" w:hAnsi="Calibri"/>
          <w:b/>
          <w:bCs/>
          <w:color w:val="0F1419"/>
          <w:sz w:val="19"/>
          <w:szCs w:val="19"/>
        </w:rPr>
        <w:t xml:space="preserve">Back button:</w:t>
      </w:r>
      <w:r>
        <w:rPr>
          <w:rFonts w:ascii="Calibri" w:cs="Calibri" w:eastAsia="Calibri" w:hAnsi="Calibri"/>
          <w:color w:val="3D4A5A"/>
          <w:sz w:val="19"/>
          <w:szCs w:val="19"/>
        </w:rPr>
        <w:t xml:space="preserve"> Visible on Page 4 — returns user to originating page</w:t>
      </w:r>
    </w:p>
    <w:p>
      <w:pPr>
        <w:pStyle w:val="ListParagraph"/>
        <w:numPr>
          <w:ilvl w:val="0"/>
          <w:numId w:val="2"/>
        </w:numPr>
        <w:spacing w:before="40" w:after="40"/>
      </w:pPr>
      <w:r>
        <w:rPr>
          <w:rFonts w:ascii="Calibri" w:cs="Calibri" w:eastAsia="Calibri" w:hAnsi="Calibri"/>
          <w:color w:val="3D4A5A"/>
          <w:sz w:val="19"/>
          <w:szCs w:val="19"/>
        </w:rPr>
        <w:t xml:space="preserve"/>
      </w:r>
      <w:r>
        <w:rPr>
          <w:rFonts w:ascii="Calibri" w:cs="Calibri" w:eastAsia="Calibri" w:hAnsi="Calibri"/>
          <w:b/>
          <w:bCs/>
          <w:color w:val="0F1419"/>
          <w:sz w:val="19"/>
          <w:szCs w:val="19"/>
        </w:rPr>
        <w:t xml:space="preserve">Content:</w:t>
      </w:r>
      <w:r>
        <w:rPr>
          <w:rFonts w:ascii="Calibri" w:cs="Calibri" w:eastAsia="Calibri" w:hAnsi="Calibri"/>
          <w:color w:val="3D4A5A"/>
          <w:sz w:val="19"/>
          <w:szCs w:val="19"/>
        </w:rPr>
        <w:t xml:space="preserve"> All 9 KPIs for the selected company — 8 quarter trend lines — current quarter callout cards — YoY comparison table</w:t>
      </w:r>
    </w:p>
    <w:p>
      <w:pPr>
        <w:spacing w:before="200" w:after="0"/>
      </w:pPr>
    </w:p>
    <w:p>
      <w:r>
        <w:br w:type="page"/>
      </w:r>
    </w:p>
    <w:p>
      <w:pPr>
        <w:pBdr>
          <w:bottom w:val="single" w:color="1A6B4A" w:sz="8" w:space="4"/>
        </w:pBdr>
        <w:spacing w:before="280" w:after="80"/>
      </w:pPr>
      <w:r>
        <w:rPr>
          <w:rFonts w:ascii="Calibri" w:cs="Calibri" w:eastAsia="Calibri" w:hAnsi="Calibri"/>
          <w:b/>
          <w:bCs/>
          <w:color w:val="1A6B4A"/>
          <w:sz w:val="22"/>
          <w:szCs w:val="22"/>
        </w:rPr>
        <w:t xml:space="preserve">5. DAX MEASURES DOCUMENTATION</w:t>
      </w:r>
    </w:p>
    <w:p>
      <w:pPr>
        <w:spacing w:before="50" w:after="50"/>
      </w:pPr>
      <w:r>
        <w:rPr>
          <w:rFonts w:ascii="Calibri" w:cs="Calibri" w:eastAsia="Calibri" w:hAnsi="Calibri"/>
          <w:color w:val="3D4A5A"/>
          <w:sz w:val="19"/>
          <w:szCs w:val="19"/>
        </w:rPr>
        <w:t xml:space="preserve">All calculated measures are stored in a dedicated </w:t>
      </w:r>
      <w:r>
        <w:rPr>
          <w:rFonts w:ascii="Calibri" w:cs="Calibri" w:eastAsia="Calibri" w:hAnsi="Calibri"/>
          <w:b/>
          <w:bCs/>
          <w:color w:val="0F1419"/>
          <w:sz w:val="19"/>
          <w:szCs w:val="19"/>
        </w:rPr>
        <w:t xml:space="preserve">_Measures table</w:t>
      </w:r>
      <w:r>
        <w:rPr>
          <w:rFonts w:ascii="Calibri" w:cs="Calibri" w:eastAsia="Calibri" w:hAnsi="Calibri"/>
          <w:color w:val="3D4A5A"/>
          <w:sz w:val="19"/>
          <w:szCs w:val="19"/>
        </w:rPr>
        <w:t xml:space="preserve"> (hidden from report view). Naming convention: [Category — Metric Name]. All measures use CALCULATE with explicit filter context to ensure consistent behaviour across pages and slicers.</w:t>
      </w:r>
    </w:p>
    <w:p>
      <w:pPr>
        <w:spacing w:before="60" w:after="0"/>
      </w:pPr>
    </w:p>
    <w:p>
      <w:pPr>
        <w:spacing w:before="180" w:after="60"/>
      </w:pPr>
      <w:r>
        <w:rPr>
          <w:rFonts w:ascii="Calibri" w:cs="Calibri" w:eastAsia="Calibri" w:hAnsi="Calibri"/>
          <w:b/>
          <w:bCs/>
          <w:color w:val="0F1419"/>
          <w:sz w:val="21"/>
          <w:szCs w:val="21"/>
        </w:rPr>
        <w:t xml:space="preserve">5.1 Core KPI Measures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c>
          <w:tcPr>
            <w:tcBorders>
              <w:top w:val="single" w:color="E2E8F0" w:sz="4"/>
              <w:left w:val="single" w:color="E2E8F0" w:sz="4"/>
              <w:bottom w:val="single" w:color="E2E8F0" w:sz="4"/>
              <w:right w:val="single" w:color="E2E8F0" w:sz="4"/>
            </w:tcBorders>
            <w:shd w:fill="1A6B4A" w:val="clear"/>
            <w:tcMar>
              <w:top w:type="dxa" w:w="90"/>
              <w:left w:type="dxa" w:w="120"/>
              <w:bottom w:type="dxa" w:w="90"/>
              <w:right w:type="dxa" w:w="120"/>
            </w:tcMar>
          </w:tcPr>
          <w:p>
            <w:r>
              <w:rPr>
                <w:rFonts w:ascii="Calibri" w:cs="Calibri" w:eastAsia="Calibri" w:hAnsi="Calibri"/>
                <w:b/>
                <w:bCs/>
                <w:color w:val="FFFFFF"/>
                <w:sz w:val="18"/>
                <w:szCs w:val="18"/>
              </w:rPr>
              <w:t xml:space="preserve">Measure Name</w:t>
            </w:r>
          </w:p>
        </w:tc>
        <w:tc>
          <w:tcPr>
            <w:tcBorders>
              <w:top w:val="single" w:color="E2E8F0" w:sz="4"/>
              <w:left w:val="single" w:color="E2E8F0" w:sz="4"/>
              <w:bottom w:val="single" w:color="E2E8F0" w:sz="4"/>
              <w:right w:val="single" w:color="E2E8F0" w:sz="4"/>
            </w:tcBorders>
            <w:shd w:fill="1A6B4A" w:val="clear"/>
            <w:tcMar>
              <w:top w:type="dxa" w:w="90"/>
              <w:left w:type="dxa" w:w="120"/>
              <w:bottom w:type="dxa" w:w="90"/>
              <w:right w:type="dxa" w:w="120"/>
            </w:tcMar>
          </w:tcPr>
          <w:p>
            <w:r>
              <w:rPr>
                <w:rFonts w:ascii="Calibri" w:cs="Calibri" w:eastAsia="Calibri" w:hAnsi="Calibri"/>
                <w:b/>
                <w:bCs/>
                <w:color w:val="FFFFFF"/>
                <w:sz w:val="18"/>
                <w:szCs w:val="18"/>
              </w:rPr>
              <w:t xml:space="preserve">DAX Expression</w:t>
            </w:r>
          </w:p>
        </w:tc>
      </w:tr>
      <w:tr>
        <w:tc>
          <w:tcPr>
            <w:tcBorders>
              <w:top w:val="single" w:color="E2E8F0" w:sz="4"/>
              <w:left w:val="single" w:color="E2E8F0" w:sz="4"/>
              <w:bottom w:val="single" w:color="E2E8F0" w:sz="4"/>
              <w:right w:val="single" w:color="E2E8F0" w:sz="4"/>
            </w:tcBorders>
            <w:shd w:fill="E8F5F0" w:val="clear"/>
            <w:tcMar>
              <w:top w:type="dxa" w:w="90"/>
              <w:left w:type="dxa" w:w="120"/>
              <w:bottom w:type="dxa" w:w="90"/>
              <w:right w:type="dxa" w:w="120"/>
            </w:tcMar>
            <w:vAlign w:val="center"/>
          </w:tcPr>
          <w:p>
            <w:pPr>
              <w:jc w:val="left"/>
            </w:pPr>
            <w:r>
              <w:rPr>
                <w:rFonts w:ascii="Calibri" w:cs="Calibri" w:eastAsia="Calibri" w:hAnsi="Calibri"/>
                <w:b/>
                <w:bCs/>
                <w:color w:val="0F1419"/>
                <w:sz w:val="18"/>
                <w:szCs w:val="18"/>
              </w:rPr>
              <w:t xml:space="preserve">[COR — Current Quarter]</w:t>
            </w:r>
          </w:p>
        </w:tc>
        <w:tc>
          <w:tcPr>
            <w:tcBorders>
              <w:top w:val="single" w:color="E2E8F0" w:sz="4"/>
              <w:left w:val="single" w:color="E2E8F0" w:sz="4"/>
              <w:bottom w:val="single" w:color="E2E8F0" w:sz="4"/>
              <w:right w:val="single" w:color="E2E8F0" w:sz="4"/>
            </w:tcBorders>
            <w:shd w:fill="E8F5F0"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DIVIDE([Claims Ratio] + [Expense Ratio], 1, 0)</w:t>
            </w:r>
          </w:p>
        </w:tc>
      </w:tr>
      <w:tr>
        <w:tc>
          <w:tcPr>
            <w:tcBorders>
              <w:top w:val="single" w:color="E2E8F0" w:sz="4"/>
              <w:left w:val="single" w:color="E2E8F0" w:sz="4"/>
              <w:bottom w:val="single" w:color="E2E8F0" w:sz="4"/>
              <w:right w:val="single" w:color="E2E8F0" w:sz="4"/>
            </w:tcBorders>
            <w:shd w:fill="F0F4F8"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[Claims Ratio]</w:t>
            </w:r>
          </w:p>
        </w:tc>
        <w:tc>
          <w:tcPr>
            <w:tcBorders>
              <w:top w:val="single" w:color="E2E8F0" w:sz="4"/>
              <w:left w:val="single" w:color="E2E8F0" w:sz="4"/>
              <w:bottom w:val="single" w:color="E2E8F0" w:sz="4"/>
              <w:right w:val="single" w:color="E2E8F0" w:sz="4"/>
            </w:tcBorders>
            <w:shd w:fill="F0F4F8"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DIVIDE(SUM(fact_financials[net_claims]), SUM(fact_financials[nep]), 0) * 100</w:t>
            </w:r>
          </w:p>
        </w:tc>
      </w:tr>
      <w:tr>
        <w:tc>
          <w:tcPr>
            <w:tcBorders>
              <w:top w:val="single" w:color="E2E8F0" w:sz="4"/>
              <w:left w:val="single" w:color="E2E8F0" w:sz="4"/>
              <w:bottom w:val="single" w:color="E2E8F0" w:sz="4"/>
              <w:right w:val="single" w:color="E2E8F0" w:sz="4"/>
            </w:tcBorders>
            <w:shd w:fill="E8F5F0"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[Expense Ratio]</w:t>
            </w:r>
          </w:p>
        </w:tc>
        <w:tc>
          <w:tcPr>
            <w:tcBorders>
              <w:top w:val="single" w:color="E2E8F0" w:sz="4"/>
              <w:left w:val="single" w:color="E2E8F0" w:sz="4"/>
              <w:bottom w:val="single" w:color="E2E8F0" w:sz="4"/>
              <w:right w:val="single" w:color="E2E8F0" w:sz="4"/>
            </w:tcBorders>
            <w:shd w:fill="E8F5F0"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DIVIDE(SUM(fact_financials[uw_expenses]) + SUM(fact_financials[mgmt_expenses]), SUM(fact_financials[nep]), 0) * 100</w:t>
            </w:r>
          </w:p>
        </w:tc>
      </w:tr>
      <w:tr>
        <w:tc>
          <w:tcPr>
            <w:tcBorders>
              <w:top w:val="single" w:color="E2E8F0" w:sz="4"/>
              <w:left w:val="single" w:color="E2E8F0" w:sz="4"/>
              <w:bottom w:val="single" w:color="E2E8F0" w:sz="4"/>
              <w:right w:val="single" w:color="E2E8F0" w:sz="4"/>
            </w:tcBorders>
            <w:shd w:fill="F0F4F8"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[GWP Growth YoY %]</w:t>
            </w:r>
          </w:p>
        </w:tc>
        <w:tc>
          <w:tcPr>
            <w:tcBorders>
              <w:top w:val="single" w:color="E2E8F0" w:sz="4"/>
              <w:left w:val="single" w:color="E2E8F0" w:sz="4"/>
              <w:bottom w:val="single" w:color="E2E8F0" w:sz="4"/>
              <w:right w:val="single" w:color="E2E8F0" w:sz="4"/>
            </w:tcBorders>
            <w:shd w:fill="F0F4F8"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VAR CurrentGWP = SUM(fact_financials[gwp])
VAR PriorYearGWP = CALCULATE(SUM(fact_financials[gwp]), SAMEPERIODLASTYEAR(dim_period[calendar_quarter]))
RETURN DIVIDE(CurrentGWP - PriorYearGWP, PriorYearGWP, 0) * 100</w:t>
            </w:r>
          </w:p>
        </w:tc>
      </w:tr>
      <w:tr>
        <w:tc>
          <w:tcPr>
            <w:tcBorders>
              <w:top w:val="single" w:color="E2E8F0" w:sz="4"/>
              <w:left w:val="single" w:color="E2E8F0" w:sz="4"/>
              <w:bottom w:val="single" w:color="E2E8F0" w:sz="4"/>
              <w:right w:val="single" w:color="E2E8F0" w:sz="4"/>
            </w:tcBorders>
            <w:shd w:fill="E8F5F0"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[Investment Return %]</w:t>
            </w:r>
          </w:p>
        </w:tc>
        <w:tc>
          <w:tcPr>
            <w:tcBorders>
              <w:top w:val="single" w:color="E2E8F0" w:sz="4"/>
              <w:left w:val="single" w:color="E2E8F0" w:sz="4"/>
              <w:bottom w:val="single" w:color="E2E8F0" w:sz="4"/>
              <w:right w:val="single" w:color="E2E8F0" w:sz="4"/>
            </w:tcBorders>
            <w:shd w:fill="E8F5F0"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DIVIDE(SUM(fact_financials[inv_income]), AVERAGE(fact_financials[invested_assets]), 0) * 100</w:t>
            </w:r>
          </w:p>
        </w:tc>
      </w:tr>
      <w:tr>
        <w:tc>
          <w:tcPr>
            <w:tcBorders>
              <w:top w:val="single" w:color="E2E8F0" w:sz="4"/>
              <w:left w:val="single" w:color="E2E8F0" w:sz="4"/>
              <w:bottom w:val="single" w:color="E2E8F0" w:sz="4"/>
              <w:right w:val="single" w:color="E2E8F0" w:sz="4"/>
            </w:tcBorders>
            <w:shd w:fill="F0F4F8"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[ROE %]</w:t>
            </w:r>
          </w:p>
        </w:tc>
        <w:tc>
          <w:tcPr>
            <w:tcBorders>
              <w:top w:val="single" w:color="E2E8F0" w:sz="4"/>
              <w:left w:val="single" w:color="E2E8F0" w:sz="4"/>
              <w:bottom w:val="single" w:color="E2E8F0" w:sz="4"/>
              <w:right w:val="single" w:color="E2E8F0" w:sz="4"/>
            </w:tcBorders>
            <w:shd w:fill="F0F4F8"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DIVIDE(SUM(fact_financials[npat]), AVERAGE(fact_financials[equity]), 0) * 100</w:t>
            </w:r>
          </w:p>
        </w:tc>
      </w:tr>
    </w:tbl>
    <w:p>
      <w:pPr>
        <w:spacing w:before="80" w:after="0"/>
      </w:pPr>
    </w:p>
    <w:p>
      <w:pPr>
        <w:spacing w:before="180" w:after="60"/>
      </w:pPr>
      <w:r>
        <w:rPr>
          <w:rFonts w:ascii="Calibri" w:cs="Calibri" w:eastAsia="Calibri" w:hAnsi="Calibri"/>
          <w:b/>
          <w:bCs/>
          <w:color w:val="0F1419"/>
          <w:sz w:val="21"/>
          <w:szCs w:val="21"/>
        </w:rPr>
        <w:t xml:space="preserve">5.2 Variance Measures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c>
          <w:tcPr>
            <w:tcBorders>
              <w:top w:val="single" w:color="E2E8F0" w:sz="4"/>
              <w:left w:val="single" w:color="E2E8F0" w:sz="4"/>
              <w:bottom w:val="single" w:color="E2E8F0" w:sz="4"/>
              <w:right w:val="single" w:color="E2E8F0" w:sz="4"/>
            </w:tcBorders>
            <w:shd w:fill="1A6B4A" w:val="clear"/>
            <w:tcMar>
              <w:top w:type="dxa" w:w="90"/>
              <w:left w:type="dxa" w:w="120"/>
              <w:bottom w:type="dxa" w:w="90"/>
              <w:right w:type="dxa" w:w="120"/>
            </w:tcMar>
          </w:tcPr>
          <w:p>
            <w:r>
              <w:rPr>
                <w:rFonts w:ascii="Calibri" w:cs="Calibri" w:eastAsia="Calibri" w:hAnsi="Calibri"/>
                <w:b/>
                <w:bCs/>
                <w:color w:val="FFFFFF"/>
                <w:sz w:val="18"/>
                <w:szCs w:val="18"/>
              </w:rPr>
              <w:t xml:space="preserve">Measure Name</w:t>
            </w:r>
          </w:p>
        </w:tc>
        <w:tc>
          <w:tcPr>
            <w:tcBorders>
              <w:top w:val="single" w:color="E2E8F0" w:sz="4"/>
              <w:left w:val="single" w:color="E2E8F0" w:sz="4"/>
              <w:bottom w:val="single" w:color="E2E8F0" w:sz="4"/>
              <w:right w:val="single" w:color="E2E8F0" w:sz="4"/>
            </w:tcBorders>
            <w:shd w:fill="1A6B4A" w:val="clear"/>
            <w:tcMar>
              <w:top w:type="dxa" w:w="90"/>
              <w:left w:type="dxa" w:w="120"/>
              <w:bottom w:type="dxa" w:w="90"/>
              <w:right w:type="dxa" w:w="120"/>
            </w:tcMar>
          </w:tcPr>
          <w:p>
            <w:r>
              <w:rPr>
                <w:rFonts w:ascii="Calibri" w:cs="Calibri" w:eastAsia="Calibri" w:hAnsi="Calibri"/>
                <w:b/>
                <w:bCs/>
                <w:color w:val="FFFFFF"/>
                <w:sz w:val="18"/>
                <w:szCs w:val="18"/>
              </w:rPr>
              <w:t xml:space="preserve">DAX Expression</w:t>
            </w:r>
          </w:p>
        </w:tc>
      </w:tr>
      <w:tr>
        <w:tc>
          <w:tcPr>
            <w:tcBorders>
              <w:top w:val="single" w:color="E2E8F0" w:sz="4"/>
              <w:left w:val="single" w:color="E2E8F0" w:sz="4"/>
              <w:bottom w:val="single" w:color="E2E8F0" w:sz="4"/>
              <w:right w:val="single" w:color="E2E8F0" w:sz="4"/>
            </w:tcBorders>
            <w:shd w:fill="E8F5F0" w:val="clear"/>
            <w:tcMar>
              <w:top w:type="dxa" w:w="90"/>
              <w:left w:type="dxa" w:w="120"/>
              <w:bottom w:type="dxa" w:w="90"/>
              <w:right w:type="dxa" w:w="120"/>
            </w:tcMar>
            <w:vAlign w:val="center"/>
          </w:tcPr>
          <w:p>
            <w:pPr>
              <w:jc w:val="left"/>
            </w:pPr>
            <w:r>
              <w:rPr>
                <w:rFonts w:ascii="Calibri" w:cs="Calibri" w:eastAsia="Calibri" w:hAnsi="Calibri"/>
                <w:b/>
                <w:bCs/>
                <w:color w:val="0F1419"/>
                <w:sz w:val="18"/>
                <w:szCs w:val="18"/>
              </w:rPr>
              <w:t xml:space="preserve">[COR — QoQ Change pp]</w:t>
            </w:r>
          </w:p>
        </w:tc>
        <w:tc>
          <w:tcPr>
            <w:tcBorders>
              <w:top w:val="single" w:color="E2E8F0" w:sz="4"/>
              <w:left w:val="single" w:color="E2E8F0" w:sz="4"/>
              <w:bottom w:val="single" w:color="E2E8F0" w:sz="4"/>
              <w:right w:val="single" w:color="E2E8F0" w:sz="4"/>
            </w:tcBorders>
            <w:shd w:fill="E8F5F0"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VAR CurrentCOR = [COR — Current Quarter]
VAR PriorCOR = CALCULATE([COR — Current Quarter],
  DATEADD(dim_period[period_id], -1, QUARTER))
RETURN CurrentCOR - PriorCOR</w:t>
            </w:r>
          </w:p>
        </w:tc>
      </w:tr>
      <w:tr>
        <w:tc>
          <w:tcPr>
            <w:tcBorders>
              <w:top w:val="single" w:color="E2E8F0" w:sz="4"/>
              <w:left w:val="single" w:color="E2E8F0" w:sz="4"/>
              <w:bottom w:val="single" w:color="E2E8F0" w:sz="4"/>
              <w:right w:val="single" w:color="E2E8F0" w:sz="4"/>
            </w:tcBorders>
            <w:shd w:fill="F0F4F8"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[COR — YoY Change pp]</w:t>
            </w:r>
          </w:p>
        </w:tc>
        <w:tc>
          <w:tcPr>
            <w:tcBorders>
              <w:top w:val="single" w:color="E2E8F0" w:sz="4"/>
              <w:left w:val="single" w:color="E2E8F0" w:sz="4"/>
              <w:bottom w:val="single" w:color="E2E8F0" w:sz="4"/>
              <w:right w:val="single" w:color="E2E8F0" w:sz="4"/>
            </w:tcBorders>
            <w:shd w:fill="F0F4F8"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VAR CurrentCOR = [COR — Current Quarter]
VAR PriorYearCOR = CALCULATE([COR — Current Quarter],
  SAMEPERIODLASTYEAR(dim_period[calendar_quarter]))
RETURN CurrentCOR - PriorYearCOR</w:t>
            </w:r>
          </w:p>
        </w:tc>
      </w:tr>
      <w:tr>
        <w:tc>
          <w:tcPr>
            <w:tcBorders>
              <w:top w:val="single" w:color="E2E8F0" w:sz="4"/>
              <w:left w:val="single" w:color="E2E8F0" w:sz="4"/>
              <w:bottom w:val="single" w:color="E2E8F0" w:sz="4"/>
              <w:right w:val="single" w:color="E2E8F0" w:sz="4"/>
            </w:tcBorders>
            <w:shd w:fill="E8F5F0"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[COR RAG Status]</w:t>
            </w:r>
          </w:p>
        </w:tc>
        <w:tc>
          <w:tcPr>
            <w:tcBorders>
              <w:top w:val="single" w:color="E2E8F0" w:sz="4"/>
              <w:left w:val="single" w:color="E2E8F0" w:sz="4"/>
              <w:bottom w:val="single" w:color="E2E8F0" w:sz="4"/>
              <w:right w:val="single" w:color="E2E8F0" w:sz="4"/>
            </w:tcBorders>
            <w:shd w:fill="E8F5F0"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SWITCH(TRUE(),
  [COR — Current Quarter] &lt; 95, "Green",
  [COR — Current Quarter] &lt; 100, "Amber",
  "Red")</w:t>
            </w:r>
          </w:p>
        </w:tc>
      </w:tr>
    </w:tbl>
    <w:p>
      <w:pPr>
        <w:spacing w:before="80" w:after="0"/>
      </w:pPr>
    </w:p>
    <w:p>
      <w:pPr>
        <w:spacing w:before="180" w:after="60"/>
      </w:pPr>
      <w:r>
        <w:rPr>
          <w:rFonts w:ascii="Calibri" w:cs="Calibri" w:eastAsia="Calibri" w:hAnsi="Calibri"/>
          <w:b/>
          <w:bCs/>
          <w:color w:val="0F1419"/>
          <w:sz w:val="21"/>
          <w:szCs w:val="21"/>
        </w:rPr>
        <w:t xml:space="preserve">5.3 Conditional Formatting Rules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848"/>
        <w:gridCol w:w="1849"/>
        <w:gridCol w:w="1849"/>
      </w:tblGrid>
      <w:tr>
        <w:tc>
          <w:tcPr>
            <w:tcBorders>
              <w:top w:val="single" w:color="E2E8F0" w:sz="4"/>
              <w:left w:val="single" w:color="E2E8F0" w:sz="4"/>
              <w:bottom w:val="single" w:color="E2E8F0" w:sz="4"/>
              <w:right w:val="single" w:color="E2E8F0" w:sz="4"/>
            </w:tcBorders>
            <w:shd w:fill="1A6B4A" w:val="clear"/>
            <w:tcMar>
              <w:top w:type="dxa" w:w="90"/>
              <w:left w:type="dxa" w:w="120"/>
              <w:bottom w:type="dxa" w:w="90"/>
              <w:right w:type="dxa" w:w="120"/>
            </w:tcMar>
          </w:tcPr>
          <w:p>
            <w:r>
              <w:rPr>
                <w:rFonts w:ascii="Calibri" w:cs="Calibri" w:eastAsia="Calibri" w:hAnsi="Calibri"/>
                <w:b/>
                <w:bCs/>
                <w:color w:val="FFFFFF"/>
                <w:sz w:val="18"/>
                <w:szCs w:val="18"/>
              </w:rPr>
              <w:t xml:space="preserve">KPI</w:t>
            </w:r>
          </w:p>
        </w:tc>
        <w:tc>
          <w:tcPr>
            <w:tcBorders>
              <w:top w:val="single" w:color="E2E8F0" w:sz="4"/>
              <w:left w:val="single" w:color="E2E8F0" w:sz="4"/>
              <w:bottom w:val="single" w:color="E2E8F0" w:sz="4"/>
              <w:right w:val="single" w:color="E2E8F0" w:sz="4"/>
            </w:tcBorders>
            <w:shd w:fill="1A6B4A" w:val="clear"/>
            <w:tcMar>
              <w:top w:type="dxa" w:w="90"/>
              <w:left w:type="dxa" w:w="120"/>
              <w:bottom w:type="dxa" w:w="90"/>
              <w:right w:type="dxa" w:w="120"/>
            </w:tcMar>
          </w:tcPr>
          <w:p>
            <w:r>
              <w:rPr>
                <w:rFonts w:ascii="Calibri" w:cs="Calibri" w:eastAsia="Calibri" w:hAnsi="Calibri"/>
                <w:b/>
                <w:bCs/>
                <w:color w:val="FFFFFF"/>
                <w:sz w:val="18"/>
                <w:szCs w:val="18"/>
              </w:rPr>
              <w:t xml:space="preserve">Format</w:t>
            </w:r>
          </w:p>
        </w:tc>
        <w:tc>
          <w:tcPr>
            <w:tcBorders>
              <w:top w:val="single" w:color="E2E8F0" w:sz="4"/>
              <w:left w:val="single" w:color="E2E8F0" w:sz="4"/>
              <w:bottom w:val="single" w:color="E2E8F0" w:sz="4"/>
              <w:right w:val="single" w:color="E2E8F0" w:sz="4"/>
            </w:tcBorders>
            <w:shd w:fill="1A6B4A" w:val="clear"/>
            <w:tcMar>
              <w:top w:type="dxa" w:w="90"/>
              <w:left w:type="dxa" w:w="120"/>
              <w:bottom w:type="dxa" w:w="90"/>
              <w:right w:type="dxa" w:w="120"/>
            </w:tcMar>
          </w:tcPr>
          <w:p>
            <w:r>
              <w:rPr>
                <w:rFonts w:ascii="Calibri" w:cs="Calibri" w:eastAsia="Calibri" w:hAnsi="Calibri"/>
                <w:b/>
                <w:bCs/>
                <w:color w:val="FFFFFF"/>
                <w:sz w:val="18"/>
                <w:szCs w:val="18"/>
              </w:rPr>
              <w:t xml:space="preserve">🟢 Green</w:t>
            </w:r>
          </w:p>
        </w:tc>
        <w:tc>
          <w:tcPr>
            <w:tcBorders>
              <w:top w:val="single" w:color="E2E8F0" w:sz="4"/>
              <w:left w:val="single" w:color="E2E8F0" w:sz="4"/>
              <w:bottom w:val="single" w:color="E2E8F0" w:sz="4"/>
              <w:right w:val="single" w:color="E2E8F0" w:sz="4"/>
            </w:tcBorders>
            <w:shd w:fill="1A6B4A" w:val="clear"/>
            <w:tcMar>
              <w:top w:type="dxa" w:w="90"/>
              <w:left w:type="dxa" w:w="120"/>
              <w:bottom w:type="dxa" w:w="90"/>
              <w:right w:type="dxa" w:w="120"/>
            </w:tcMar>
          </w:tcPr>
          <w:p>
            <w:r>
              <w:rPr>
                <w:rFonts w:ascii="Calibri" w:cs="Calibri" w:eastAsia="Calibri" w:hAnsi="Calibri"/>
                <w:b/>
                <w:bCs/>
                <w:color w:val="FFFFFF"/>
                <w:sz w:val="18"/>
                <w:szCs w:val="18"/>
              </w:rPr>
              <w:t xml:space="preserve">🟡 Amber</w:t>
            </w:r>
          </w:p>
        </w:tc>
        <w:tc>
          <w:tcPr>
            <w:tcBorders>
              <w:top w:val="single" w:color="E2E8F0" w:sz="4"/>
              <w:left w:val="single" w:color="E2E8F0" w:sz="4"/>
              <w:bottom w:val="single" w:color="E2E8F0" w:sz="4"/>
              <w:right w:val="single" w:color="E2E8F0" w:sz="4"/>
            </w:tcBorders>
            <w:shd w:fill="1A6B4A" w:val="clear"/>
            <w:tcMar>
              <w:top w:type="dxa" w:w="90"/>
              <w:left w:type="dxa" w:w="120"/>
              <w:bottom w:type="dxa" w:w="90"/>
              <w:right w:type="dxa" w:w="120"/>
            </w:tcMar>
          </w:tcPr>
          <w:p>
            <w:r>
              <w:rPr>
                <w:rFonts w:ascii="Calibri" w:cs="Calibri" w:eastAsia="Calibri" w:hAnsi="Calibri"/>
                <w:b/>
                <w:bCs/>
                <w:color w:val="FFFFFF"/>
                <w:sz w:val="18"/>
                <w:szCs w:val="18"/>
              </w:rPr>
              <w:t xml:space="preserve">🔴 Red</w:t>
            </w:r>
          </w:p>
        </w:tc>
      </w:tr>
      <w:tr>
        <w:tc>
          <w:tcPr>
            <w:tcBorders>
              <w:top w:val="single" w:color="E2E8F0" w:sz="4"/>
              <w:left w:val="single" w:color="E2E8F0" w:sz="4"/>
              <w:bottom w:val="single" w:color="E2E8F0" w:sz="4"/>
              <w:right w:val="single" w:color="E2E8F0" w:sz="4"/>
            </w:tcBorders>
            <w:shd w:fill="E8F5F0"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COR</w:t>
            </w:r>
          </w:p>
        </w:tc>
        <w:tc>
          <w:tcPr>
            <w:tcBorders>
              <w:top w:val="single" w:color="E2E8F0" w:sz="4"/>
              <w:left w:val="single" w:color="E2E8F0" w:sz="4"/>
              <w:bottom w:val="single" w:color="E2E8F0" w:sz="4"/>
              <w:right w:val="single" w:color="E2E8F0" w:sz="4"/>
            </w:tcBorders>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 — 1dp</w:t>
            </w:r>
          </w:p>
        </w:tc>
        <w:tc>
          <w:tcPr>
            <w:tcBorders>
              <w:top w:val="single" w:color="E2E8F0" w:sz="4"/>
              <w:left w:val="single" w:color="E2E8F0" w:sz="4"/>
              <w:bottom w:val="single" w:color="E2E8F0" w:sz="4"/>
              <w:right w:val="single" w:color="E2E8F0" w:sz="4"/>
            </w:tcBorders>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&lt; 95%</w:t>
            </w:r>
          </w:p>
        </w:tc>
        <w:tc>
          <w:tcPr>
            <w:tcBorders>
              <w:top w:val="single" w:color="E2E8F0" w:sz="4"/>
              <w:left w:val="single" w:color="E2E8F0" w:sz="4"/>
              <w:bottom w:val="single" w:color="E2E8F0" w:sz="4"/>
              <w:right w:val="single" w:color="E2E8F0" w:sz="4"/>
            </w:tcBorders>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95–100%</w:t>
            </w:r>
          </w:p>
        </w:tc>
        <w:tc>
          <w:tcPr>
            <w:tcBorders>
              <w:top w:val="single" w:color="E2E8F0" w:sz="4"/>
              <w:left w:val="single" w:color="E2E8F0" w:sz="4"/>
              <w:bottom w:val="single" w:color="E2E8F0" w:sz="4"/>
              <w:right w:val="single" w:color="E2E8F0" w:sz="4"/>
            </w:tcBorders>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&gt; 100%</w:t>
            </w:r>
          </w:p>
        </w:tc>
      </w:tr>
      <w:tr>
        <w:tc>
          <w:tcPr>
            <w:tcBorders>
              <w:top w:val="single" w:color="E2E8F0" w:sz="4"/>
              <w:left w:val="single" w:color="E2E8F0" w:sz="4"/>
              <w:bottom w:val="single" w:color="E2E8F0" w:sz="4"/>
              <w:right w:val="single" w:color="E2E8F0" w:sz="4"/>
            </w:tcBorders>
            <w:shd w:fill="F0F4F8"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Claims Ratio</w:t>
            </w:r>
          </w:p>
        </w:tc>
        <w:tc>
          <w:tcPr>
            <w:tcBorders>
              <w:top w:val="single" w:color="E2E8F0" w:sz="4"/>
              <w:left w:val="single" w:color="E2E8F0" w:sz="4"/>
              <w:bottom w:val="single" w:color="E2E8F0" w:sz="4"/>
              <w:right w:val="single" w:color="E2E8F0" w:sz="4"/>
            </w:tcBorders>
            <w:shd w:fill="F0F4F8"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 — 1dp</w:t>
            </w:r>
          </w:p>
        </w:tc>
        <w:tc>
          <w:tcPr>
            <w:tcBorders>
              <w:top w:val="single" w:color="E2E8F0" w:sz="4"/>
              <w:left w:val="single" w:color="E2E8F0" w:sz="4"/>
              <w:bottom w:val="single" w:color="E2E8F0" w:sz="4"/>
              <w:right w:val="single" w:color="E2E8F0" w:sz="4"/>
            </w:tcBorders>
            <w:shd w:fill="F0F4F8"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&lt; 60%</w:t>
            </w:r>
          </w:p>
        </w:tc>
        <w:tc>
          <w:tcPr>
            <w:tcBorders>
              <w:top w:val="single" w:color="E2E8F0" w:sz="4"/>
              <w:left w:val="single" w:color="E2E8F0" w:sz="4"/>
              <w:bottom w:val="single" w:color="E2E8F0" w:sz="4"/>
              <w:right w:val="single" w:color="E2E8F0" w:sz="4"/>
            </w:tcBorders>
            <w:shd w:fill="F0F4F8"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60–70%</w:t>
            </w:r>
          </w:p>
        </w:tc>
        <w:tc>
          <w:tcPr>
            <w:tcBorders>
              <w:top w:val="single" w:color="E2E8F0" w:sz="4"/>
              <w:left w:val="single" w:color="E2E8F0" w:sz="4"/>
              <w:bottom w:val="single" w:color="E2E8F0" w:sz="4"/>
              <w:right w:val="single" w:color="E2E8F0" w:sz="4"/>
            </w:tcBorders>
            <w:shd w:fill="F0F4F8"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&gt; 70%</w:t>
            </w:r>
          </w:p>
        </w:tc>
      </w:tr>
      <w:tr>
        <w:tc>
          <w:tcPr>
            <w:tcBorders>
              <w:top w:val="single" w:color="E2E8F0" w:sz="4"/>
              <w:left w:val="single" w:color="E2E8F0" w:sz="4"/>
              <w:bottom w:val="single" w:color="E2E8F0" w:sz="4"/>
              <w:right w:val="single" w:color="E2E8F0" w:sz="4"/>
            </w:tcBorders>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Expense Ratio</w:t>
            </w:r>
          </w:p>
        </w:tc>
        <w:tc>
          <w:tcPr>
            <w:tcBorders>
              <w:top w:val="single" w:color="E2E8F0" w:sz="4"/>
              <w:left w:val="single" w:color="E2E8F0" w:sz="4"/>
              <w:bottom w:val="single" w:color="E2E8F0" w:sz="4"/>
              <w:right w:val="single" w:color="E2E8F0" w:sz="4"/>
            </w:tcBorders>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 — 1dp</w:t>
            </w:r>
          </w:p>
        </w:tc>
        <w:tc>
          <w:tcPr>
            <w:tcBorders>
              <w:top w:val="single" w:color="E2E8F0" w:sz="4"/>
              <w:left w:val="single" w:color="E2E8F0" w:sz="4"/>
              <w:bottom w:val="single" w:color="E2E8F0" w:sz="4"/>
              <w:right w:val="single" w:color="E2E8F0" w:sz="4"/>
            </w:tcBorders>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&lt; 28%</w:t>
            </w:r>
          </w:p>
        </w:tc>
        <w:tc>
          <w:tcPr>
            <w:tcBorders>
              <w:top w:val="single" w:color="E2E8F0" w:sz="4"/>
              <w:left w:val="single" w:color="E2E8F0" w:sz="4"/>
              <w:bottom w:val="single" w:color="E2E8F0" w:sz="4"/>
              <w:right w:val="single" w:color="E2E8F0" w:sz="4"/>
            </w:tcBorders>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28–33%</w:t>
            </w:r>
          </w:p>
        </w:tc>
        <w:tc>
          <w:tcPr>
            <w:tcBorders>
              <w:top w:val="single" w:color="E2E8F0" w:sz="4"/>
              <w:left w:val="single" w:color="E2E8F0" w:sz="4"/>
              <w:bottom w:val="single" w:color="E2E8F0" w:sz="4"/>
              <w:right w:val="single" w:color="E2E8F0" w:sz="4"/>
            </w:tcBorders>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&gt; 33%</w:t>
            </w:r>
          </w:p>
        </w:tc>
      </w:tr>
      <w:tr>
        <w:tc>
          <w:tcPr>
            <w:tcBorders>
              <w:top w:val="single" w:color="E2E8F0" w:sz="4"/>
              <w:left w:val="single" w:color="E2E8F0" w:sz="4"/>
              <w:bottom w:val="single" w:color="E2E8F0" w:sz="4"/>
              <w:right w:val="single" w:color="E2E8F0" w:sz="4"/>
            </w:tcBorders>
            <w:shd w:fill="F0F4F8"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GWP Growth</w:t>
            </w:r>
          </w:p>
        </w:tc>
        <w:tc>
          <w:tcPr>
            <w:tcBorders>
              <w:top w:val="single" w:color="E2E8F0" w:sz="4"/>
              <w:left w:val="single" w:color="E2E8F0" w:sz="4"/>
              <w:bottom w:val="single" w:color="E2E8F0" w:sz="4"/>
              <w:right w:val="single" w:color="E2E8F0" w:sz="4"/>
            </w:tcBorders>
            <w:shd w:fill="F0F4F8"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 — 1dp</w:t>
            </w:r>
          </w:p>
        </w:tc>
        <w:tc>
          <w:tcPr>
            <w:tcBorders>
              <w:top w:val="single" w:color="E2E8F0" w:sz="4"/>
              <w:left w:val="single" w:color="E2E8F0" w:sz="4"/>
              <w:bottom w:val="single" w:color="E2E8F0" w:sz="4"/>
              <w:right w:val="single" w:color="E2E8F0" w:sz="4"/>
            </w:tcBorders>
            <w:shd w:fill="F0F4F8"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&gt; +5%</w:t>
            </w:r>
          </w:p>
        </w:tc>
        <w:tc>
          <w:tcPr>
            <w:tcBorders>
              <w:top w:val="single" w:color="E2E8F0" w:sz="4"/>
              <w:left w:val="single" w:color="E2E8F0" w:sz="4"/>
              <w:bottom w:val="single" w:color="E2E8F0" w:sz="4"/>
              <w:right w:val="single" w:color="E2E8F0" w:sz="4"/>
            </w:tcBorders>
            <w:shd w:fill="F0F4F8"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0–5%</w:t>
            </w:r>
          </w:p>
        </w:tc>
        <w:tc>
          <w:tcPr>
            <w:tcBorders>
              <w:top w:val="single" w:color="E2E8F0" w:sz="4"/>
              <w:left w:val="single" w:color="E2E8F0" w:sz="4"/>
              <w:bottom w:val="single" w:color="E2E8F0" w:sz="4"/>
              <w:right w:val="single" w:color="E2E8F0" w:sz="4"/>
            </w:tcBorders>
            <w:shd w:fill="F0F4F8"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&lt; 0%</w:t>
            </w:r>
          </w:p>
        </w:tc>
      </w:tr>
      <w:tr>
        <w:tc>
          <w:tcPr>
            <w:tcBorders>
              <w:top w:val="single" w:color="E2E8F0" w:sz="4"/>
              <w:left w:val="single" w:color="E2E8F0" w:sz="4"/>
              <w:bottom w:val="single" w:color="E2E8F0" w:sz="4"/>
              <w:right w:val="single" w:color="E2E8F0" w:sz="4"/>
            </w:tcBorders>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ROE</w:t>
            </w:r>
          </w:p>
        </w:tc>
        <w:tc>
          <w:tcPr>
            <w:tcBorders>
              <w:top w:val="single" w:color="E2E8F0" w:sz="4"/>
              <w:left w:val="single" w:color="E2E8F0" w:sz="4"/>
              <w:bottom w:val="single" w:color="E2E8F0" w:sz="4"/>
              <w:right w:val="single" w:color="E2E8F0" w:sz="4"/>
            </w:tcBorders>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 — 1dp</w:t>
            </w:r>
          </w:p>
        </w:tc>
        <w:tc>
          <w:tcPr>
            <w:tcBorders>
              <w:top w:val="single" w:color="E2E8F0" w:sz="4"/>
              <w:left w:val="single" w:color="E2E8F0" w:sz="4"/>
              <w:bottom w:val="single" w:color="E2E8F0" w:sz="4"/>
              <w:right w:val="single" w:color="E2E8F0" w:sz="4"/>
            </w:tcBorders>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&gt; 14%</w:t>
            </w:r>
          </w:p>
        </w:tc>
        <w:tc>
          <w:tcPr>
            <w:tcBorders>
              <w:top w:val="single" w:color="E2E8F0" w:sz="4"/>
              <w:left w:val="single" w:color="E2E8F0" w:sz="4"/>
              <w:bottom w:val="single" w:color="E2E8F0" w:sz="4"/>
              <w:right w:val="single" w:color="E2E8F0" w:sz="4"/>
            </w:tcBorders>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10–14%</w:t>
            </w:r>
          </w:p>
        </w:tc>
        <w:tc>
          <w:tcPr>
            <w:tcBorders>
              <w:top w:val="single" w:color="E2E8F0" w:sz="4"/>
              <w:left w:val="single" w:color="E2E8F0" w:sz="4"/>
              <w:bottom w:val="single" w:color="E2E8F0" w:sz="4"/>
              <w:right w:val="single" w:color="E2E8F0" w:sz="4"/>
            </w:tcBorders>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&lt; 10%</w:t>
            </w:r>
          </w:p>
        </w:tc>
      </w:tr>
      <w:tr>
        <w:tc>
          <w:tcPr>
            <w:tcBorders>
              <w:top w:val="single" w:color="E2E8F0" w:sz="4"/>
              <w:left w:val="single" w:color="E2E8F0" w:sz="4"/>
              <w:bottom w:val="single" w:color="E2E8F0" w:sz="4"/>
              <w:right w:val="single" w:color="E2E8F0" w:sz="4"/>
            </w:tcBorders>
            <w:shd w:fill="F0F4F8"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Investment Return</w:t>
            </w:r>
          </w:p>
        </w:tc>
        <w:tc>
          <w:tcPr>
            <w:tcBorders>
              <w:top w:val="single" w:color="E2E8F0" w:sz="4"/>
              <w:left w:val="single" w:color="E2E8F0" w:sz="4"/>
              <w:bottom w:val="single" w:color="E2E8F0" w:sz="4"/>
              <w:right w:val="single" w:color="E2E8F0" w:sz="4"/>
            </w:tcBorders>
            <w:shd w:fill="F0F4F8"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 — 2dp</w:t>
            </w:r>
          </w:p>
        </w:tc>
        <w:tc>
          <w:tcPr>
            <w:tcBorders>
              <w:top w:val="single" w:color="E2E8F0" w:sz="4"/>
              <w:left w:val="single" w:color="E2E8F0" w:sz="4"/>
              <w:bottom w:val="single" w:color="E2E8F0" w:sz="4"/>
              <w:right w:val="single" w:color="E2E8F0" w:sz="4"/>
            </w:tcBorders>
            <w:shd w:fill="F0F4F8"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&gt; 4.0%</w:t>
            </w:r>
          </w:p>
        </w:tc>
        <w:tc>
          <w:tcPr>
            <w:tcBorders>
              <w:top w:val="single" w:color="E2E8F0" w:sz="4"/>
              <w:left w:val="single" w:color="E2E8F0" w:sz="4"/>
              <w:bottom w:val="single" w:color="E2E8F0" w:sz="4"/>
              <w:right w:val="single" w:color="E2E8F0" w:sz="4"/>
            </w:tcBorders>
            <w:shd w:fill="F0F4F8"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3.0–4.0%</w:t>
            </w:r>
          </w:p>
        </w:tc>
        <w:tc>
          <w:tcPr>
            <w:tcBorders>
              <w:top w:val="single" w:color="E2E8F0" w:sz="4"/>
              <w:left w:val="single" w:color="E2E8F0" w:sz="4"/>
              <w:bottom w:val="single" w:color="E2E8F0" w:sz="4"/>
              <w:right w:val="single" w:color="E2E8F0" w:sz="4"/>
            </w:tcBorders>
            <w:shd w:fill="F0F4F8"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&lt; 3.0%</w:t>
            </w:r>
          </w:p>
        </w:tc>
      </w:tr>
    </w:tbl>
    <w:p>
      <w:pPr>
        <w:spacing w:before="200" w:after="0"/>
      </w:pPr>
    </w:p>
    <w:p>
      <w:r>
        <w:br w:type="page"/>
      </w:r>
    </w:p>
    <w:p>
      <w:pPr>
        <w:pBdr>
          <w:bottom w:val="single" w:color="1A6B4A" w:sz="8" w:space="4"/>
        </w:pBdr>
        <w:spacing w:before="280" w:after="80"/>
      </w:pPr>
      <w:r>
        <w:rPr>
          <w:rFonts w:ascii="Calibri" w:cs="Calibri" w:eastAsia="Calibri" w:hAnsi="Calibri"/>
          <w:b/>
          <w:bCs/>
          <w:color w:val="1A6B4A"/>
          <w:sz w:val="22"/>
          <w:szCs w:val="22"/>
        </w:rPr>
        <w:t xml:space="preserve">6. TESTING, VALIDATION &amp; ACCEPTANCE CRITERIA</w:t>
      </w:r>
    </w:p>
    <w:p>
      <w:pPr>
        <w:spacing w:before="180" w:after="60"/>
      </w:pPr>
      <w:r>
        <w:rPr>
          <w:rFonts w:ascii="Calibri" w:cs="Calibri" w:eastAsia="Calibri" w:hAnsi="Calibri"/>
          <w:b/>
          <w:bCs/>
          <w:color w:val="0F1419"/>
          <w:sz w:val="21"/>
          <w:szCs w:val="21"/>
        </w:rPr>
        <w:t xml:space="preserve">6.1 Data Validation Checks</w:t>
      </w:r>
    </w:p>
    <w:p>
      <w:pPr>
        <w:pStyle w:val="ListParagraph"/>
        <w:numPr>
          <w:ilvl w:val="0"/>
          <w:numId w:val="2"/>
        </w:numPr>
        <w:spacing w:before="40" w:after="40"/>
      </w:pPr>
      <w:r>
        <w:rPr>
          <w:rFonts w:ascii="Calibri" w:cs="Calibri" w:eastAsia="Calibri" w:hAnsi="Calibri"/>
          <w:color w:val="3D4A5A"/>
          <w:sz w:val="19"/>
          <w:szCs w:val="19"/>
        </w:rPr>
        <w:t xml:space="preserve"/>
      </w:r>
      <w:r>
        <w:rPr>
          <w:rFonts w:ascii="Calibri" w:cs="Calibri" w:eastAsia="Calibri" w:hAnsi="Calibri"/>
          <w:b/>
          <w:bCs/>
          <w:color w:val="0F1419"/>
          <w:sz w:val="19"/>
          <w:szCs w:val="19"/>
        </w:rPr>
        <w:t xml:space="preserve">COR cross-check:</w:t>
      </w:r>
      <w:r>
        <w:rPr>
          <w:rFonts w:ascii="Calibri" w:cs="Calibri" w:eastAsia="Calibri" w:hAnsi="Calibri"/>
          <w:color w:val="3D4A5A"/>
          <w:sz w:val="19"/>
          <w:szCs w:val="19"/>
        </w:rPr>
        <w:t xml:space="preserve"> COR calculated in Power BI must match COR reported in company results presentations within ±0.1pp. Any variance triggers a data quality review.</w:t>
      </w:r>
    </w:p>
    <w:p>
      <w:pPr>
        <w:pStyle w:val="ListParagraph"/>
        <w:numPr>
          <w:ilvl w:val="0"/>
          <w:numId w:val="2"/>
        </w:numPr>
        <w:spacing w:before="40" w:after="40"/>
      </w:pPr>
      <w:r>
        <w:rPr>
          <w:rFonts w:ascii="Calibri" w:cs="Calibri" w:eastAsia="Calibri" w:hAnsi="Calibri"/>
          <w:color w:val="3D4A5A"/>
          <w:sz w:val="19"/>
          <w:szCs w:val="19"/>
        </w:rPr>
        <w:t xml:space="preserve"/>
      </w:r>
      <w:r>
        <w:rPr>
          <w:rFonts w:ascii="Calibri" w:cs="Calibri" w:eastAsia="Calibri" w:hAnsi="Calibri"/>
          <w:b/>
          <w:bCs/>
          <w:color w:val="0F1419"/>
          <w:sz w:val="19"/>
          <w:szCs w:val="19"/>
        </w:rPr>
        <w:t xml:space="preserve">Totals reconciliation:</w:t>
      </w:r>
      <w:r>
        <w:rPr>
          <w:rFonts w:ascii="Calibri" w:cs="Calibri" w:eastAsia="Calibri" w:hAnsi="Calibri"/>
          <w:color w:val="3D4A5A"/>
          <w:sz w:val="19"/>
          <w:szCs w:val="19"/>
        </w:rPr>
        <w:t xml:space="preserve"> Sum of quarterly GWP for any financial year must equal the annual GWP reported in company annual reports within ±A$1M rounding.</w:t>
      </w:r>
    </w:p>
    <w:p>
      <w:pPr>
        <w:pStyle w:val="ListParagraph"/>
        <w:numPr>
          <w:ilvl w:val="0"/>
          <w:numId w:val="2"/>
        </w:numPr>
        <w:spacing w:before="40" w:after="40"/>
      </w:pPr>
      <w:r>
        <w:rPr>
          <w:rFonts w:ascii="Calibri" w:cs="Calibri" w:eastAsia="Calibri" w:hAnsi="Calibri"/>
          <w:color w:val="3D4A5A"/>
          <w:sz w:val="19"/>
          <w:szCs w:val="19"/>
        </w:rPr>
        <w:t xml:space="preserve"/>
      </w:r>
      <w:r>
        <w:rPr>
          <w:rFonts w:ascii="Calibri" w:cs="Calibri" w:eastAsia="Calibri" w:hAnsi="Calibri"/>
          <w:b/>
          <w:bCs/>
          <w:color w:val="0F1419"/>
          <w:sz w:val="19"/>
          <w:szCs w:val="19"/>
        </w:rPr>
        <w:t xml:space="preserve">Period alignment:</w:t>
      </w:r>
      <w:r>
        <w:rPr>
          <w:rFonts w:ascii="Calibri" w:cs="Calibri" w:eastAsia="Calibri" w:hAnsi="Calibri"/>
          <w:color w:val="3D4A5A"/>
          <w:sz w:val="19"/>
          <w:szCs w:val="19"/>
        </w:rPr>
        <w:t xml:space="preserve"> All four quarters for each company must be present. Any missing period triggers a data completeness alert in Power Query.</w:t>
      </w:r>
    </w:p>
    <w:p>
      <w:pPr>
        <w:pStyle w:val="ListParagraph"/>
        <w:numPr>
          <w:ilvl w:val="0"/>
          <w:numId w:val="2"/>
        </w:numPr>
        <w:spacing w:before="40" w:after="40"/>
      </w:pPr>
      <w:r>
        <w:rPr>
          <w:rFonts w:ascii="Calibri" w:cs="Calibri" w:eastAsia="Calibri" w:hAnsi="Calibri"/>
          <w:color w:val="3D4A5A"/>
          <w:sz w:val="19"/>
          <w:szCs w:val="19"/>
        </w:rPr>
        <w:t xml:space="preserve"/>
      </w:r>
      <w:r>
        <w:rPr>
          <w:rFonts w:ascii="Calibri" w:cs="Calibri" w:eastAsia="Calibri" w:hAnsi="Calibri"/>
          <w:b/>
          <w:bCs/>
          <w:color w:val="0F1419"/>
          <w:sz w:val="19"/>
          <w:szCs w:val="19"/>
        </w:rPr>
        <w:t xml:space="preserve">Slicer validation:</w:t>
      </w:r>
      <w:r>
        <w:rPr>
          <w:rFonts w:ascii="Calibri" w:cs="Calibri" w:eastAsia="Calibri" w:hAnsi="Calibri"/>
          <w:color w:val="3D4A5A"/>
          <w:sz w:val="19"/>
          <w:szCs w:val="19"/>
        </w:rPr>
        <w:t xml:space="preserve"> Selecting a single company must filter all visuals on all pages correctly. Cross-page filter state is preserved on navigation.</w:t>
      </w:r>
    </w:p>
    <w:p>
      <w:pPr>
        <w:spacing w:before="60" w:after="0"/>
      </w:pPr>
    </w:p>
    <w:p>
      <w:pPr>
        <w:spacing w:before="180" w:after="60"/>
      </w:pPr>
      <w:r>
        <w:rPr>
          <w:rFonts w:ascii="Calibri" w:cs="Calibri" w:eastAsia="Calibri" w:hAnsi="Calibri"/>
          <w:b/>
          <w:bCs/>
          <w:color w:val="0F1419"/>
          <w:sz w:val="21"/>
          <w:szCs w:val="21"/>
        </w:rPr>
        <w:t xml:space="preserve">6.2 User Acceptance Criteria</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00"/>
        <w:gridCol w:w="4500"/>
        <w:gridCol w:w="4846"/>
      </w:tblGrid>
      <w:tr>
        <w:tc>
          <w:tcPr>
            <w:tcBorders>
              <w:top w:val="single" w:color="E2E8F0" w:sz="4"/>
              <w:left w:val="single" w:color="E2E8F0" w:sz="4"/>
              <w:bottom w:val="single" w:color="E2E8F0" w:sz="4"/>
              <w:right w:val="single" w:color="E2E8F0" w:sz="4"/>
            </w:tcBorders>
            <w:shd w:fill="1A6B4A" w:val="clear"/>
            <w:tcMar>
              <w:top w:type="dxa" w:w="90"/>
              <w:left w:type="dxa" w:w="120"/>
              <w:bottom w:type="dxa" w:w="90"/>
              <w:right w:type="dxa" w:w="120"/>
            </w:tcMar>
          </w:tcPr>
          <w:p>
            <w:r>
              <w:rPr>
                <w:rFonts w:ascii="Calibri" w:cs="Calibri" w:eastAsia="Calibri" w:hAnsi="Calibri"/>
                <w:b/>
                <w:bCs/>
                <w:color w:val="FFFFFF"/>
                <w:sz w:val="18"/>
                <w:szCs w:val="18"/>
              </w:rPr>
              <w:t xml:space="preserve">#</w:t>
            </w:r>
          </w:p>
        </w:tc>
        <w:tc>
          <w:tcPr>
            <w:tcBorders>
              <w:top w:val="single" w:color="E2E8F0" w:sz="4"/>
              <w:left w:val="single" w:color="E2E8F0" w:sz="4"/>
              <w:bottom w:val="single" w:color="E2E8F0" w:sz="4"/>
              <w:right w:val="single" w:color="E2E8F0" w:sz="4"/>
            </w:tcBorders>
            <w:shd w:fill="1A6B4A" w:val="clear"/>
            <w:tcMar>
              <w:top w:type="dxa" w:w="90"/>
              <w:left w:type="dxa" w:w="120"/>
              <w:bottom w:type="dxa" w:w="90"/>
              <w:right w:type="dxa" w:w="120"/>
            </w:tcMar>
          </w:tcPr>
          <w:p>
            <w:r>
              <w:rPr>
                <w:rFonts w:ascii="Calibri" w:cs="Calibri" w:eastAsia="Calibri" w:hAnsi="Calibri"/>
                <w:b/>
                <w:bCs/>
                <w:color w:val="FFFFFF"/>
                <w:sz w:val="18"/>
                <w:szCs w:val="18"/>
              </w:rPr>
              <w:t xml:space="preserve">Acceptance Criterion</w:t>
            </w:r>
          </w:p>
        </w:tc>
        <w:tc>
          <w:tcPr>
            <w:tcBorders>
              <w:top w:val="single" w:color="E2E8F0" w:sz="4"/>
              <w:left w:val="single" w:color="E2E8F0" w:sz="4"/>
              <w:bottom w:val="single" w:color="E2E8F0" w:sz="4"/>
              <w:right w:val="single" w:color="E2E8F0" w:sz="4"/>
            </w:tcBorders>
            <w:shd w:fill="1A6B4A" w:val="clear"/>
            <w:tcMar>
              <w:top w:type="dxa" w:w="90"/>
              <w:left w:type="dxa" w:w="120"/>
              <w:bottom w:type="dxa" w:w="90"/>
              <w:right w:type="dxa" w:w="120"/>
            </w:tcMar>
          </w:tcPr>
          <w:p>
            <w:r>
              <w:rPr>
                <w:rFonts w:ascii="Calibri" w:cs="Calibri" w:eastAsia="Calibri" w:hAnsi="Calibri"/>
                <w:b/>
                <w:bCs/>
                <w:color w:val="FFFFFF"/>
                <w:sz w:val="18"/>
                <w:szCs w:val="18"/>
              </w:rPr>
              <w:t xml:space="preserve">Test Method</w:t>
            </w:r>
          </w:p>
        </w:tc>
      </w:tr>
      <w:tr>
        <w:tc>
          <w:tcPr>
            <w:tcBorders>
              <w:top w:val="single" w:color="E2E8F0" w:sz="4"/>
              <w:left w:val="single" w:color="E2E8F0" w:sz="4"/>
              <w:bottom w:val="single" w:color="E2E8F0" w:sz="4"/>
              <w:right w:val="single" w:color="E2E8F0" w:sz="4"/>
            </w:tcBorders>
            <w:shd w:fill="E8F5F0"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1</w:t>
            </w:r>
          </w:p>
        </w:tc>
        <w:tc>
          <w:tcPr>
            <w:tcBorders>
              <w:top w:val="single" w:color="E2E8F0" w:sz="4"/>
              <w:left w:val="single" w:color="E2E8F0" w:sz="4"/>
              <w:bottom w:val="single" w:color="E2E8F0" w:sz="4"/>
              <w:right w:val="single" w:color="E2E8F0" w:sz="4"/>
            </w:tcBorders>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Dashboard loads in under 5 seconds on standard analyst laptop</w:t>
            </w:r>
          </w:p>
        </w:tc>
        <w:tc>
          <w:tcPr>
            <w:tcBorders>
              <w:top w:val="single" w:color="E2E8F0" w:sz="4"/>
              <w:left w:val="single" w:color="E2E8F0" w:sz="4"/>
              <w:bottom w:val="single" w:color="E2E8F0" w:sz="4"/>
              <w:right w:val="single" w:color="E2E8F0" w:sz="4"/>
            </w:tcBorders>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Timed load test on MacBook Pro — 3 consecutive loads</w:t>
            </w:r>
          </w:p>
        </w:tc>
      </w:tr>
      <w:tr>
        <w:tc>
          <w:tcPr>
            <w:tcBorders>
              <w:top w:val="single" w:color="E2E8F0" w:sz="4"/>
              <w:left w:val="single" w:color="E2E8F0" w:sz="4"/>
              <w:bottom w:val="single" w:color="E2E8F0" w:sz="4"/>
              <w:right w:val="single" w:color="E2E8F0" w:sz="4"/>
            </w:tcBorders>
            <w:shd w:fill="F0F4F8"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2</w:t>
            </w:r>
          </w:p>
        </w:tc>
        <w:tc>
          <w:tcPr>
            <w:tcBorders>
              <w:top w:val="single" w:color="E2E8F0" w:sz="4"/>
              <w:left w:val="single" w:color="E2E8F0" w:sz="4"/>
              <w:bottom w:val="single" w:color="E2E8F0" w:sz="4"/>
              <w:right w:val="single" w:color="E2E8F0" w:sz="4"/>
            </w:tcBorders>
            <w:shd w:fill="F0F4F8"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COR values match source reports within ±0.1pp for all 3 companies across all 8 quarters</w:t>
            </w:r>
          </w:p>
        </w:tc>
        <w:tc>
          <w:tcPr>
            <w:tcBorders>
              <w:top w:val="single" w:color="E2E8F0" w:sz="4"/>
              <w:left w:val="single" w:color="E2E8F0" w:sz="4"/>
              <w:bottom w:val="single" w:color="E2E8F0" w:sz="4"/>
              <w:right w:val="single" w:color="E2E8F0" w:sz="4"/>
            </w:tcBorders>
            <w:shd w:fill="F0F4F8"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Manual cross-check against company half-year and annual reports</w:t>
            </w:r>
          </w:p>
        </w:tc>
      </w:tr>
      <w:tr>
        <w:tc>
          <w:tcPr>
            <w:tcBorders>
              <w:top w:val="single" w:color="E2E8F0" w:sz="4"/>
              <w:left w:val="single" w:color="E2E8F0" w:sz="4"/>
              <w:bottom w:val="single" w:color="E2E8F0" w:sz="4"/>
              <w:right w:val="single" w:color="E2E8F0" w:sz="4"/>
            </w:tcBorders>
            <w:shd w:fill="E8F5F0"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3</w:t>
            </w:r>
          </w:p>
        </w:tc>
        <w:tc>
          <w:tcPr>
            <w:tcBorders>
              <w:top w:val="single" w:color="E2E8F0" w:sz="4"/>
              <w:left w:val="single" w:color="E2E8F0" w:sz="4"/>
              <w:bottom w:val="single" w:color="E2E8F0" w:sz="4"/>
              <w:right w:val="single" w:color="E2E8F0" w:sz="4"/>
            </w:tcBorders>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Drill-through from Pages 1 and 3 correctly filters Page 4 to selected company</w:t>
            </w:r>
          </w:p>
        </w:tc>
        <w:tc>
          <w:tcPr>
            <w:tcBorders>
              <w:top w:val="single" w:color="E2E8F0" w:sz="4"/>
              <w:left w:val="single" w:color="E2E8F0" w:sz="4"/>
              <w:bottom w:val="single" w:color="E2E8F0" w:sz="4"/>
              <w:right w:val="single" w:color="E2E8F0" w:sz="4"/>
            </w:tcBorders>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Test all 3 companies from both originating pages</w:t>
            </w:r>
          </w:p>
        </w:tc>
      </w:tr>
      <w:tr>
        <w:tc>
          <w:tcPr>
            <w:tcBorders>
              <w:top w:val="single" w:color="E2E8F0" w:sz="4"/>
              <w:left w:val="single" w:color="E2E8F0" w:sz="4"/>
              <w:bottom w:val="single" w:color="E2E8F0" w:sz="4"/>
              <w:right w:val="single" w:color="E2E8F0" w:sz="4"/>
            </w:tcBorders>
            <w:shd w:fill="F0F4F8"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4</w:t>
            </w:r>
          </w:p>
        </w:tc>
        <w:tc>
          <w:tcPr>
            <w:tcBorders>
              <w:top w:val="single" w:color="E2E8F0" w:sz="4"/>
              <w:left w:val="single" w:color="E2E8F0" w:sz="4"/>
              <w:bottom w:val="single" w:color="E2E8F0" w:sz="4"/>
              <w:right w:val="single" w:color="E2E8F0" w:sz="4"/>
            </w:tcBorders>
            <w:shd w:fill="F0F4F8"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Conditional formatting correctly RAG-rates all KPIs using defined thresholds</w:t>
            </w:r>
          </w:p>
        </w:tc>
        <w:tc>
          <w:tcPr>
            <w:tcBorders>
              <w:top w:val="single" w:color="E2E8F0" w:sz="4"/>
              <w:left w:val="single" w:color="E2E8F0" w:sz="4"/>
              <w:bottom w:val="single" w:color="E2E8F0" w:sz="4"/>
              <w:right w:val="single" w:color="E2E8F0" w:sz="4"/>
            </w:tcBorders>
            <w:shd w:fill="F0F4F8"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Review scorecard against manual calculation for each company</w:t>
            </w:r>
          </w:p>
        </w:tc>
      </w:tr>
      <w:tr>
        <w:tc>
          <w:tcPr>
            <w:tcBorders>
              <w:top w:val="single" w:color="E2E8F0" w:sz="4"/>
              <w:left w:val="single" w:color="E2E8F0" w:sz="4"/>
              <w:bottom w:val="single" w:color="E2E8F0" w:sz="4"/>
              <w:right w:val="single" w:color="E2E8F0" w:sz="4"/>
            </w:tcBorders>
            <w:shd w:fill="E8F5F0"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5</w:t>
            </w:r>
          </w:p>
        </w:tc>
        <w:tc>
          <w:tcPr>
            <w:tcBorders>
              <w:top w:val="single" w:color="E2E8F0" w:sz="4"/>
              <w:left w:val="single" w:color="E2E8F0" w:sz="4"/>
              <w:bottom w:val="single" w:color="E2E8F0" w:sz="4"/>
              <w:right w:val="single" w:color="E2E8F0" w:sz="4"/>
            </w:tcBorders>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Period slicer on Page 1 cascades correctly to all 4 visuals on the page</w:t>
            </w:r>
          </w:p>
        </w:tc>
        <w:tc>
          <w:tcPr>
            <w:tcBorders>
              <w:top w:val="single" w:color="E2E8F0" w:sz="4"/>
              <w:left w:val="single" w:color="E2E8F0" w:sz="4"/>
              <w:bottom w:val="single" w:color="E2E8F0" w:sz="4"/>
              <w:right w:val="single" w:color="E2E8F0" w:sz="4"/>
            </w:tcBorders>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Select each of the 8 quarters individually and verify all visuals update</w:t>
            </w:r>
          </w:p>
        </w:tc>
      </w:tr>
      <w:tr>
        <w:tc>
          <w:tcPr>
            <w:tcBorders>
              <w:top w:val="single" w:color="E2E8F0" w:sz="4"/>
              <w:left w:val="single" w:color="E2E8F0" w:sz="4"/>
              <w:bottom w:val="single" w:color="E2E8F0" w:sz="4"/>
              <w:right w:val="single" w:color="E2E8F0" w:sz="4"/>
            </w:tcBorders>
            <w:shd w:fill="F0F4F8"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6</w:t>
            </w:r>
          </w:p>
        </w:tc>
        <w:tc>
          <w:tcPr>
            <w:tcBorders>
              <w:top w:val="single" w:color="E2E8F0" w:sz="4"/>
              <w:left w:val="single" w:color="E2E8F0" w:sz="4"/>
              <w:bottom w:val="single" w:color="E2E8F0" w:sz="4"/>
              <w:right w:val="single" w:color="E2E8F0" w:sz="4"/>
            </w:tcBorders>
            <w:shd w:fill="F0F4F8"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Reporting cycle preparation time reduced to under 30 minutes (from 3–4 hours)</w:t>
            </w:r>
          </w:p>
        </w:tc>
        <w:tc>
          <w:tcPr>
            <w:tcBorders>
              <w:top w:val="single" w:color="E2E8F0" w:sz="4"/>
              <w:left w:val="single" w:color="E2E8F0" w:sz="4"/>
              <w:bottom w:val="single" w:color="E2E8F0" w:sz="4"/>
              <w:right w:val="single" w:color="E2E8F0" w:sz="4"/>
            </w:tcBorders>
            <w:shd w:fill="F0F4F8"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Timed test with research analyst during first quarterly refresh</w:t>
            </w:r>
          </w:p>
        </w:tc>
      </w:tr>
    </w:tbl>
    <w:p>
      <w:pPr>
        <w:spacing w:before="120" w:after="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Borders>
              <w:top w:val="single" w:color="E2E8F0" w:sz="4"/>
              <w:left w:val="none" w:color="FFFFFF" w:sz="0"/>
              <w:bottom w:val="none" w:color="FFFFFF" w:sz="0"/>
              <w:right w:val="none" w:color="FFFFFF" w:sz="0"/>
            </w:tcBorders>
            <w:shd w:fill="F0F4F8" w:val="clear"/>
            <w:tcMar>
              <w:top w:type="dxa" w:w="120"/>
              <w:left w:type="dxa" w:w="160"/>
              <w:bottom w:type="dxa" w:w="120"/>
              <w:right w:type="dxa" w:w="160"/>
            </w:tcMar>
          </w:tcPr>
          <w:p>
            <w:pPr>
              <w:jc w:val="center"/>
            </w:pPr>
            <w:r>
              <w:rPr>
                <w:rFonts w:ascii="Calibri" w:cs="Calibri" w:eastAsia="Calibri" w:hAnsi="Calibri"/>
                <w:color w:val="6B7A8D"/>
                <w:sz w:val="16"/>
                <w:szCs w:val="16"/>
              </w:rPr>
              <w:t xml:space="preserve">Prepared by Suyash Thakuri  ·  Financial Data Analyst  ·  suyashthakuri@gmail.com  ·  github.com/Suyashthakuri</w:t>
            </w:r>
          </w:p>
          <w:p>
            <w:pPr>
              <w:jc w:val="center"/>
            </w:pPr>
            <w:r>
              <w:rPr>
                <w:rFonts w:ascii="Calibri" w:cs="Calibri" w:eastAsia="Calibri" w:hAnsi="Calibri"/>
                <w:i/>
                <w:iCs/>
                <w:color w:val="6B7A8D"/>
                <w:sz w:val="15"/>
                <w:szCs w:val="15"/>
              </w:rPr>
              <w:t xml:space="preserve">GitHub: github.com/Suyashthakuri/asx-insurer-kpi-dashboard-</w:t>
            </w:r>
          </w:p>
        </w:tc>
      </w:tr>
    </w:tbl>
    <w:sectPr>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before="40" w:after="40"/>
        <w:ind w:left="480" w:hanging="240"/>
      </w:pPr>
      <w:rPr>
        <w:rFonts w:ascii="Calibri" w:cs="Calibri" w:eastAsia="Calibri" w:hAnsi="Calibri"/>
        <w:color w:val="1A6B4A"/>
        <w:sz w:val="19"/>
        <w:szCs w:val="19"/>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2026-03-29T08:04:19.227Z</dcterms:created>
  <dcterms:modified xsi:type="dcterms:W3CDTF">2026-03-29T08:04:19.228Z</dcterms:modified>
</cp:coreProperties>
</file>

<file path=docProps/custom.xml><?xml version="1.0" encoding="utf-8"?>
<Properties xmlns="http://schemas.openxmlformats.org/officeDocument/2006/custom-properties" xmlns:vt="http://schemas.openxmlformats.org/officeDocument/2006/docPropsVTypes"/>
</file>