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plan-de-pruebas-e-cloudi"/>
    <w:p>
      <w:pPr>
        <w:pStyle w:val="Heading1"/>
      </w:pPr>
      <w:r>
        <w:t xml:space="preserve">Plan de Pruebas — e-cloudi</w:t>
      </w:r>
    </w:p>
    <w:p>
      <w:pPr>
        <w:pStyle w:val="FirstParagraph"/>
      </w:pPr>
      <w:r>
        <w:rPr>
          <w:b/>
          <w:bCs/>
        </w:rPr>
        <w:t xml:space="preserve">Estándar de referencia:</w:t>
      </w:r>
      <w:r>
        <w:t xml:space="preserve"> </w:t>
      </w:r>
      <w:r>
        <w:t xml:space="preserve">ISO/IEC/IEEE 29119-3:2021 (Test Documentation), con alineamiento a ISTQB (Syllabus Foundation Level) y OWASP Top 10 para los criterios de seguridad.</w:t>
      </w:r>
      <w:r>
        <w:t xml:space="preserve"> </w:t>
      </w:r>
      <w:r>
        <w:rPr>
          <w:b/>
          <w:bCs/>
        </w:rPr>
        <w:t xml:space="preserve">Curso:</w:t>
      </w:r>
      <w:r>
        <w:t xml:space="preserve"> </w:t>
      </w:r>
      <w:r>
        <w:t xml:space="preserve">Pruebas de Software — VII Ciclo</w:t>
      </w:r>
      <w:r>
        <w:t xml:space="preserve"> </w:t>
      </w:r>
      <w:r>
        <w:rPr>
          <w:b/>
          <w:bCs/>
        </w:rPr>
        <w:t xml:space="preserve">Proyecto:</w:t>
      </w:r>
      <w:r>
        <w:t xml:space="preserve"> </w:t>
      </w:r>
      <w:r>
        <w:t xml:space="preserve">e-cloudi (plataforma de e-commerce con probador virtual asistido por IA)</w:t>
      </w:r>
      <w:r>
        <w:t xml:space="preserve"> </w:t>
      </w: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Equipo:</w:t>
      </w:r>
      <w:r>
        <w:t xml:space="preserve"> </w:t>
      </w:r>
      <w:r>
        <w:t xml:space="preserve">Andre Cuenca, Pedro Suyco, Giancarlo Villavicencio</w:t>
      </w:r>
    </w:p>
    <w:p>
      <w:pPr>
        <w:pStyle w:val="BlockText"/>
      </w:pPr>
      <w:r>
        <w:t xml:space="preserve">Nota de alcance: este plan no es genérico. Está construido a partir de la arquitectura real del repositorio (Next.js 15 / App Router, MySQL vía</w:t>
      </w:r>
      <w:r>
        <w:t xml:space="preserve"> </w:t>
      </w:r>
      <w:r>
        <w:rPr>
          <w:rStyle w:val="VerbatimChar"/>
        </w:rPr>
        <w:t xml:space="preserve">mysql2</w:t>
      </w:r>
      <w:r>
        <w:t xml:space="preserve">, NextAuth, MercadoPago, AWS S3, IA para probador virtual) y prioriza el esfuerzo de prueba según el riesgo de negocio, dado que el equipo parte de cero en automatización y dispone de tiempo de curso limitado.</w:t>
      </w:r>
    </w:p>
    <w:p>
      <w:r>
        <w:pict>
          <v:rect style="width:0;height:1.5pt" o:hralign="center" o:hrstd="t" o:hr="t"/>
        </w:pict>
      </w:r>
    </w:p>
    <w:bookmarkStart w:id="13" w:name="introducción"/>
    <w:p>
      <w:pPr>
        <w:pStyle w:val="Heading2"/>
      </w:pPr>
      <w:r>
        <w:t xml:space="preserve">1. Introducción</w:t>
      </w:r>
    </w:p>
    <w:bookmarkStart w:id="9" w:name="identificador-del-plan"/>
    <w:p>
      <w:pPr>
        <w:pStyle w:val="Heading3"/>
      </w:pPr>
      <w:r>
        <w:t xml:space="preserve">1.1 Identificador del plan</w:t>
      </w:r>
    </w:p>
    <w:p>
      <w:pPr>
        <w:pStyle w:val="FirstParagraph"/>
      </w:pPr>
      <w:r>
        <w:rPr>
          <w:rStyle w:val="VerbatimChar"/>
        </w:rPr>
        <w:t xml:space="preserve">PP-ECLOUDI-2026-01</w:t>
      </w:r>
    </w:p>
    <w:bookmarkEnd w:id="9"/>
    <w:bookmarkStart w:id="10" w:name="propósito-y-alcance"/>
    <w:p>
      <w:pPr>
        <w:pStyle w:val="Heading3"/>
      </w:pPr>
      <w:r>
        <w:t xml:space="preserve">1.2 Propósito y alcance</w:t>
      </w:r>
    </w:p>
    <w:p>
      <w:pPr>
        <w:pStyle w:val="FirstParagraph"/>
      </w:pPr>
      <w:r>
        <w:t xml:space="preserve">Este documento define la estrategia, el alcance, los recursos y los criterios de prueba para validar la calidad funcional, de seguridad y de rendimiento de</w:t>
      </w:r>
      <w:r>
        <w:t xml:space="preserve"> </w:t>
      </w:r>
      <w:r>
        <w:rPr>
          <w:b/>
          <w:bCs/>
        </w:rPr>
        <w:t xml:space="preserve">e-cloudi</w:t>
      </w:r>
      <w:r>
        <w:t xml:space="preserve">, una plataforma de comercio electrónico que además de las funciones estándar de un e-commerce (catálogo, carrito, checkout, panel administrativo) incorpora un módulo diferenciador de</w:t>
      </w:r>
      <w:r>
        <w:t xml:space="preserve"> </w:t>
      </w:r>
      <w:r>
        <w:rPr>
          <w:b/>
          <w:bCs/>
        </w:rPr>
        <w:t xml:space="preserve">probador virtual con IA</w:t>
      </w:r>
      <w:r>
        <w:t xml:space="preserve"> </w:t>
      </w:r>
      <w:r>
        <w:t xml:space="preserve">(avatar, análisis de colorimetría, validación de fotografía).</w:t>
      </w:r>
    </w:p>
    <w:p>
      <w:pPr>
        <w:pStyle w:val="BodyText"/>
      </w:pPr>
      <w:r>
        <w:t xml:space="preserve">El plan cubre</w:t>
      </w:r>
      <w:r>
        <w:t xml:space="preserve"> </w:t>
      </w:r>
      <w:r>
        <w:rPr>
          <w:b/>
          <w:bCs/>
        </w:rPr>
        <w:t xml:space="preserve">todo el sistema</w:t>
      </w:r>
      <w:r>
        <w:t xml:space="preserve">, pero aplica</w:t>
      </w:r>
      <w:r>
        <w:t xml:space="preserve"> </w:t>
      </w:r>
      <w:r>
        <w:rPr>
          <w:b/>
          <w:bCs/>
        </w:rPr>
        <w:t xml:space="preserve">profundidad de prueba diferenciada según el nivel de riesgo</w:t>
      </w:r>
      <w:r>
        <w:t xml:space="preserve"> </w:t>
      </w:r>
      <w:r>
        <w:t xml:space="preserve">de cada módulo (ver sección 2.2). Esto significa: los módulos de riesgo alto reciben pruebas unitarias, de integración, de sistema, de seguridad y automatización priorizada; los módulos de riesgo medio reciben pruebas funcionales de sistema y un smoke suite automatizado; los módulos de riesgo bajo reciben pruebas exploratorias/manuales dirigidas.</w:t>
      </w:r>
    </w:p>
    <w:bookmarkEnd w:id="10"/>
    <w:bookmarkStart w:id="11" w:name="documentos-de-referencia"/>
    <w:p>
      <w:pPr>
        <w:pStyle w:val="Heading3"/>
      </w:pPr>
      <w:r>
        <w:t xml:space="preserve">1.3 Documentos de referencia</w:t>
      </w:r>
    </w:p>
    <w:p>
      <w:pPr>
        <w:pStyle w:val="Compact"/>
        <w:numPr>
          <w:ilvl w:val="0"/>
          <w:numId w:val="1001"/>
        </w:numPr>
      </w:pPr>
      <w:r>
        <w:t xml:space="preserve">ISO/IEC/IEEE 29119-3:2021 — Test Documentation</w:t>
      </w:r>
    </w:p>
    <w:p>
      <w:pPr>
        <w:pStyle w:val="Compact"/>
        <w:numPr>
          <w:ilvl w:val="0"/>
          <w:numId w:val="1001"/>
        </w:numPr>
      </w:pPr>
      <w:r>
        <w:t xml:space="preserve">ISTQB Certified Tester Foundation Level Syllabus</w:t>
      </w:r>
    </w:p>
    <w:p>
      <w:pPr>
        <w:pStyle w:val="Compact"/>
        <w:numPr>
          <w:ilvl w:val="0"/>
          <w:numId w:val="1001"/>
        </w:numPr>
      </w:pPr>
      <w:r>
        <w:t xml:space="preserve">OWASP Top 10 (2021)</w:t>
      </w:r>
    </w:p>
    <w:p>
      <w:pPr>
        <w:pStyle w:val="Compact"/>
        <w:numPr>
          <w:ilvl w:val="0"/>
          <w:numId w:val="1001"/>
        </w:numPr>
      </w:pPr>
      <w:r>
        <w:t xml:space="preserve">Documentación interna del repositorio:</w:t>
      </w:r>
      <w:r>
        <w:t xml:space="preserve"> </w:t>
      </w:r>
      <w:r>
        <w:rPr>
          <w:rStyle w:val="VerbatimChar"/>
        </w:rPr>
        <w:t xml:space="preserve">docs/S3-setup.md</w:t>
      </w:r>
      <w:r>
        <w:t xml:space="preserve">, estructura de</w:t>
      </w:r>
      <w:r>
        <w:t xml:space="preserve"> </w:t>
      </w:r>
      <w:r>
        <w:rPr>
          <w:rStyle w:val="VerbatimChar"/>
        </w:rPr>
        <w:t xml:space="preserve">app/api/*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lib/*</w:t>
      </w:r>
    </w:p>
    <w:bookmarkEnd w:id="11"/>
    <w:bookmarkStart w:id="12" w:name="glosario-mínimo"/>
    <w:p>
      <w:pPr>
        <w:pStyle w:val="Heading3"/>
      </w:pPr>
      <w:r>
        <w:t xml:space="preserve">1.4 Glosario mínimo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SUT</w:t>
            </w:r>
          </w:p>
        </w:tc>
        <w:tc>
          <w:tcPr/>
          <w:p>
            <w:pPr>
              <w:pStyle w:val="Compact"/>
            </w:pPr>
            <w:r>
              <w:t xml:space="preserve">System Under Test (e-cloudi)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End-to-End (prueba de extremo a extremo)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Integración/Entrega continua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Caja negra</w:t>
            </w:r>
          </w:p>
        </w:tc>
        <w:tc>
          <w:tcPr/>
          <w:p>
            <w:pPr>
              <w:pStyle w:val="Compact"/>
            </w:pPr>
            <w:r>
              <w:t xml:space="preserve">Prueba basada en entradas/salidas, sin ver el código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Caja blanca</w:t>
            </w:r>
          </w:p>
        </w:tc>
        <w:tc>
          <w:tcPr/>
          <w:p>
            <w:pPr>
              <w:pStyle w:val="Compact"/>
            </w:pPr>
            <w:r>
              <w:t xml:space="preserve">Prueba basada en la estructura interna del código (ramas, sentencias)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6" w:name="contexto-de-las-pruebas"/>
    <w:p>
      <w:pPr>
        <w:pStyle w:val="Heading2"/>
      </w:pPr>
      <w:r>
        <w:t xml:space="preserve">2. Contexto de las pruebas</w:t>
      </w:r>
    </w:p>
    <w:bookmarkStart w:id="14" w:name="elementos-de-prueba-test-items"/>
    <w:p>
      <w:pPr>
        <w:pStyle w:val="Heading3"/>
      </w:pPr>
      <w:r>
        <w:t xml:space="preserve">2.1 Elementos de prueba (Test Items)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Componentes principales (código real)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Autenticación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app/auth/login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app/auth/register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app/api/auth/*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lib/auth.ts</w:t>
            </w:r>
            <w:r>
              <w:t xml:space="preserve"> </w:t>
            </w:r>
            <w:r>
              <w:t xml:space="preserve">(NextAuth), hashing con</w:t>
            </w:r>
            <w:r>
              <w:t xml:space="preserve"> </w:t>
            </w:r>
            <w:r>
              <w:rPr>
                <w:rStyle w:val="VerbatimChar"/>
              </w:rPr>
              <w:t xml:space="preserve">bcrypt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Catálogo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app/(client)/productos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app/(client)/categoria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app/api/productos/*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app/api/categorias/*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app/api/marcas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app/api/variacion*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app/api/stock/*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lib/products.ts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lib/categorias.ts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Carrito y Checkout (</w:t>
            </w:r>
            <w:r>
              <w:t xml:space="preserve">“venta”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app/(client)/venta/*</w:t>
            </w:r>
            <w:r>
              <w:t xml:space="preserve"> </w:t>
            </w:r>
            <w:r>
              <w:t xml:space="preserve">(carro-compras, direcciones, entrega, metodo-pago, pago, resumen, confirmacion, identificacion),</w:t>
            </w:r>
            <w:r>
              <w:t xml:space="preserve"> </w:t>
            </w:r>
            <w:r>
              <w:rPr>
                <w:rStyle w:val="VerbatimChar"/>
              </w:rPr>
              <w:t xml:space="preserve">app/api/cart/*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Pagos y comprobantes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app/api/mercadopago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app/api/mercado-pago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app/api/generar-boleta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lib/boleta.ts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lib/pdf.ts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Pedidos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app/(client)/profile/pedidos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app/api/pedidos</w:t>
            </w:r>
            <w:r>
              <w:t xml:space="preserve"> </w:t>
            </w:r>
            <w:r>
              <w:t xml:space="preserve">(tabla</w:t>
            </w:r>
            <w:r>
              <w:t xml:space="preserve"> </w:t>
            </w:r>
            <w:r>
              <w:rPr>
                <w:rStyle w:val="VerbatimChar"/>
              </w:rPr>
              <w:t xml:space="preserve">orden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estado_orden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orden_producto_especifico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Perfil de usuario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app/(client)/profile/*</w:t>
            </w:r>
            <w:r>
              <w:t xml:space="preserve"> </w:t>
            </w:r>
            <w:r>
              <w:t xml:space="preserve">(mi-perfil, direcciones, método de pago, avatar-virtual),</w:t>
            </w:r>
            <w:r>
              <w:t xml:space="preserve"> </w:t>
            </w:r>
            <w:r>
              <w:rPr>
                <w:rStyle w:val="VerbatimChar"/>
              </w:rPr>
              <w:t xml:space="preserve">app/api/direccion/*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app/api/metodo-pago/*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app/api/usuario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Panel administrativo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app/(admin)/admin/*</w:t>
            </w:r>
            <w:r>
              <w:t xml:space="preserve"> </w:t>
            </w:r>
            <w:r>
              <w:t xml:space="preserve">(login, add-products, update-products, add-promotions),</w:t>
            </w:r>
            <w:r>
              <w:t xml:space="preserve"> </w:t>
            </w:r>
            <w:r>
              <w:rPr>
                <w:rStyle w:val="VerbatimChar"/>
              </w:rPr>
              <w:t xml:space="preserve">app/api/admin/productos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app/api/promociones/*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app/api/descuentos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Probador virtual / 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app/api/tryon/status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app/api/avatar/*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lib/colorimetriaModel.ts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lib/avatarPhotoValidator.ts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lib/azureAiClient.ts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Infraestructura transversal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lib/db.ts</w:t>
            </w:r>
            <w:r>
              <w:t xml:space="preserve"> </w:t>
            </w:r>
            <w:r>
              <w:t xml:space="preserve">(pool MySQL),</w:t>
            </w:r>
            <w:r>
              <w:t xml:space="preserve"> </w:t>
            </w:r>
            <w:r>
              <w:rPr>
                <w:rStyle w:val="VerbatimChar"/>
              </w:rPr>
              <w:t xml:space="preserve">lib/s3.ts</w:t>
            </w:r>
            <w:r>
              <w:t xml:space="preserve"> </w:t>
            </w:r>
            <w:r>
              <w:t xml:space="preserve">(AWS S3), envío de correo (</w:t>
            </w:r>
            <w:r>
              <w:rPr>
                <w:rStyle w:val="VerbatimChar"/>
              </w:rPr>
              <w:t xml:space="preserve">nodemailer</w:t>
            </w:r>
            <w:r>
              <w:t xml:space="preserve">)</w:t>
            </w:r>
          </w:p>
        </w:tc>
      </w:tr>
    </w:tbl>
    <w:bookmarkEnd w:id="14"/>
    <w:bookmarkStart w:id="15" w:name="evaluación-de-riesgo-del-producto"/>
    <w:p>
      <w:pPr>
        <w:pStyle w:val="Heading3"/>
      </w:pPr>
      <w:r>
        <w:t xml:space="preserve">2.2 Evaluación de riesgo del producto</w:t>
      </w:r>
    </w:p>
    <w:p>
      <w:pPr>
        <w:pStyle w:val="FirstParagraph"/>
      </w:pPr>
      <w:r>
        <w:t xml:space="preserve">Se evalúa cada módulo por</w:t>
      </w:r>
      <w:r>
        <w:t xml:space="preserve"> </w:t>
      </w:r>
      <w:r>
        <w:rPr>
          <w:b/>
          <w:bCs/>
        </w:rPr>
        <w:t xml:space="preserve">probabilidad de falla</w:t>
      </w:r>
      <w:r>
        <w:t xml:space="preserve"> </w:t>
      </w:r>
      <w:r>
        <w:t xml:space="preserve">(complejidad, dependencias externas) x</w:t>
      </w:r>
      <w:r>
        <w:t xml:space="preserve"> </w:t>
      </w:r>
      <w:r>
        <w:rPr>
          <w:b/>
          <w:bCs/>
        </w:rPr>
        <w:t xml:space="preserve">impacto de negocio</w:t>
      </w:r>
      <w:r>
        <w:t xml:space="preserve"> </w:t>
      </w:r>
      <w:r>
        <w:t xml:space="preserve">(pérdida económica, reputación, incumplimiento legal), siguiendo el enfoque de pruebas basadas en riesgo de la Unidad II.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Probabilidad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Nivel de riesgo</w:t>
            </w:r>
          </w:p>
        </w:tc>
        <w:tc>
          <w:tcPr/>
          <w:p>
            <w:pPr>
              <w:pStyle w:val="Compac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Checkout y Pagos (MercadoPago)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Involucra dinero real y una API de terceros; un fallo bloquea la venta o duplica cobros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Gestión de stock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Vender sin stock real (overselling) genera incumplimientos y reclamos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Autenticación (NextAuth + bcrypt)</w:t>
            </w:r>
          </w:p>
        </w:tc>
        <w:tc>
          <w:tcPr/>
          <w:p>
            <w:pPr>
              <w:pStyle w:val="Compact"/>
            </w:pPr>
            <w:r>
              <w:t xml:space="preserve">Baja-Media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Acceso indebido a cuentas o al panel admin compromete todo el sistema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 de acceso al panel administrativo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Alta (evidencia confirmada en código)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Se verificó en el código fuente que</w:t>
            </w:r>
            <w:r>
              <w:t xml:space="preserve"> </w:t>
            </w:r>
            <w:r>
              <w:rPr>
                <w:b/>
                <w:bCs/>
              </w:rPr>
              <w:t xml:space="preserve">no existe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middleware.ts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ni validación de sesión/rol en ninguna ruta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/api/admin/*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[id]/route.ts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update/route.ts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disable/route.ts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app/(admin)/admin/layout.tsx</w:t>
            </w:r>
            <w:r>
              <w:t xml:space="preserve"> </w:t>
            </w:r>
            <w:r>
              <w:t xml:space="preserve">es solo maquetación. Cualquier usuario, autenticado o no, puede invocar directamente estos endpoints. Corresponde a OWASP Top 10 A01:2021 – Broken Access Control. Se reclasifica de Medio a Alto tras la revisión de código, con evidencia concreta en vez de una estimación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Panel administrativo (CRUD productos/promociones, lógica funcional)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  <w:r>
              <w:t xml:space="preserve"> </w:t>
            </w:r>
            <w:r>
              <w:rPr>
                <w:b/>
                <w:bCs/>
              </w:rP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Con el control de acceso ya tratado como riesgo aparte (fila anterior), la lógica funcional del CRUD en sí (validaciones de datos, transacciones) tiene impacto medio: errores afectan el catálogo público pero son corregibles sin pérdida económica directa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Carrito y navegación de catálogo</w:t>
            </w:r>
          </w:p>
        </w:tc>
        <w:tc>
          <w:tcPr/>
          <w:p>
            <w:pPr>
              <w:pStyle w:val="Compact"/>
            </w:pPr>
            <w:r>
              <w:t xml:space="preserve">Alta (uso frecuente)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  <w:r>
              <w:t xml:space="preserve"> </w:t>
            </w:r>
            <w:r>
              <w:rPr>
                <w:b/>
                <w:bCs/>
              </w:rP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Es el flujo más usado; errores frustran al usuario pero no comprometen datos críticos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Generación de boleta (PDF)</w:t>
            </w:r>
          </w:p>
        </w:tc>
        <w:tc>
          <w:tcPr/>
          <w:p>
            <w:pPr>
              <w:pStyle w:val="Compact"/>
            </w:pPr>
            <w:r>
              <w:t xml:space="preserve">Baja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  <w:r>
              <w:t xml:space="preserve"> </w:t>
            </w:r>
            <w:r>
              <w:rPr>
                <w:b/>
                <w:bCs/>
              </w:rP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Es un documento de respaldo de venta; un error es detectable y corregible post-venta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Perfil / direcciones / métodos de pago guardados</w:t>
            </w:r>
          </w:p>
        </w:tc>
        <w:tc>
          <w:tcPr/>
          <w:p>
            <w:pPr>
              <w:pStyle w:val="Compact"/>
            </w:pPr>
            <w:r>
              <w:t xml:space="preserve">Baja</w:t>
            </w:r>
          </w:p>
        </w:tc>
        <w:tc>
          <w:tcPr/>
          <w:p>
            <w:pPr>
              <w:pStyle w:val="Compact"/>
            </w:pPr>
            <w:r>
              <w:t xml:space="preserve">Medio-Bajo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Medio-bajo</w:t>
            </w:r>
          </w:p>
        </w:tc>
        <w:tc>
          <w:tcPr/>
          <w:p>
            <w:pPr>
              <w:pStyle w:val="Compact"/>
            </w:pPr>
            <w:r>
              <w:t xml:space="preserve">Afecta comodidad del usuario, no la transacción en curso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Probador virtual / IA (avatar, colorimetría, tryon)</w:t>
            </w:r>
          </w:p>
        </w:tc>
        <w:tc>
          <w:tcPr/>
          <w:p>
            <w:pPr>
              <w:pStyle w:val="Compact"/>
            </w:pPr>
            <w:r>
              <w:t xml:space="preserve">Media (depende de APIs externas de IA)</w:t>
            </w:r>
          </w:p>
        </w:tc>
        <w:tc>
          <w:tcPr/>
          <w:p>
            <w:pPr>
              <w:pStyle w:val="Compact"/>
            </w:pPr>
            <w:r>
              <w:t xml:space="preserve">Bajo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Bajo</w:t>
            </w:r>
          </w:p>
        </w:tc>
        <w:tc>
          <w:tcPr/>
          <w:p>
            <w:pPr>
              <w:pStyle w:val="Compact"/>
            </w:pPr>
            <w:r>
              <w:t xml:space="preserve">Es diferenciador de producto pero no bloquea la compra si falla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Notificaciones por correo</w:t>
            </w:r>
          </w:p>
        </w:tc>
        <w:tc>
          <w:tcPr/>
          <w:p>
            <w:pPr>
              <w:pStyle w:val="Compact"/>
            </w:pPr>
            <w:r>
              <w:t xml:space="preserve">Baja</w:t>
            </w:r>
          </w:p>
        </w:tc>
        <w:tc>
          <w:tcPr/>
          <w:p>
            <w:pPr>
              <w:pStyle w:val="Compact"/>
            </w:pPr>
            <w:r>
              <w:t xml:space="preserve">Bajo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Bajo</w:t>
            </w:r>
          </w:p>
        </w:tc>
        <w:tc>
          <w:tcPr/>
          <w:p>
            <w:pPr>
              <w:pStyle w:val="Compact"/>
            </w:pPr>
            <w:r>
              <w:t xml:space="preserve">No crítico para completar la operación de negocio</w:t>
            </w:r>
          </w:p>
        </w:tc>
      </w:tr>
    </w:tbl>
    <w:p>
      <w:pPr>
        <w:pStyle w:val="BodyText"/>
      </w:pPr>
      <w:r>
        <w:t xml:space="preserve">Esta tabla es la que determina la</w:t>
      </w:r>
      <w:r>
        <w:t xml:space="preserve"> </w:t>
      </w:r>
      <w:r>
        <w:rPr>
          <w:b/>
          <w:bCs/>
        </w:rPr>
        <w:t xml:space="preserve">profundidad de prueba</w:t>
      </w:r>
      <w:r>
        <w:t xml:space="preserve"> </w:t>
      </w:r>
      <w:r>
        <w:t xml:space="preserve">en la sección 4 y debe mostrarse en la sustentación como evidencia de pensamiento basado en riesgo (criterio 5 de la rúbrica).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elementos-a-probar-y-fuera-de-alcance"/>
    <w:p>
      <w:pPr>
        <w:pStyle w:val="Heading2"/>
      </w:pPr>
      <w:r>
        <w:t xml:space="preserve">3. Elementos a probar y fuera de alcance</w:t>
      </w:r>
    </w:p>
    <w:bookmarkStart w:id="17" w:name="funcionalidades-a-probar"/>
    <w:p>
      <w:pPr>
        <w:pStyle w:val="Heading3"/>
      </w:pPr>
      <w:r>
        <w:t xml:space="preserve">3.1 Funcionalidades a probar</w:t>
      </w:r>
    </w:p>
    <w:p>
      <w:pPr>
        <w:pStyle w:val="Compact"/>
        <w:numPr>
          <w:ilvl w:val="0"/>
          <w:numId w:val="1002"/>
        </w:numPr>
      </w:pPr>
      <w:r>
        <w:t xml:space="preserve">Registro e inicio de sesión (incluye validación de credenciales inválidas/duplicadas)</w:t>
      </w:r>
    </w:p>
    <w:p>
      <w:pPr>
        <w:pStyle w:val="Compact"/>
        <w:numPr>
          <w:ilvl w:val="0"/>
          <w:numId w:val="1002"/>
        </w:numPr>
      </w:pPr>
      <w:r>
        <w:t xml:space="preserve">Navegación y filtrado del catálogo (categorías, marcas, variaciones)</w:t>
      </w:r>
    </w:p>
    <w:p>
      <w:pPr>
        <w:pStyle w:val="Compact"/>
        <w:numPr>
          <w:ilvl w:val="0"/>
          <w:numId w:val="1002"/>
        </w:numPr>
      </w:pPr>
      <w:r>
        <w:t xml:space="preserve">Agregar/actualizar/eliminar productos del carrito, incluyendo validación de stock disponible</w:t>
      </w:r>
    </w:p>
    <w:p>
      <w:pPr>
        <w:pStyle w:val="Compact"/>
        <w:numPr>
          <w:ilvl w:val="0"/>
          <w:numId w:val="1002"/>
        </w:numPr>
      </w:pPr>
      <w:r>
        <w:t xml:space="preserve">Flujo completo de checkout: dirección → entrega → método de pago → pago → confirmación</w:t>
      </w:r>
    </w:p>
    <w:p>
      <w:pPr>
        <w:pStyle w:val="Compact"/>
        <w:numPr>
          <w:ilvl w:val="0"/>
          <w:numId w:val="1002"/>
        </w:numPr>
      </w:pPr>
      <w:r>
        <w:t xml:space="preserve">Integración con MercadoPago (sandbox) y generación de boleta en PDF</w:t>
      </w:r>
    </w:p>
    <w:p>
      <w:pPr>
        <w:pStyle w:val="Compact"/>
        <w:numPr>
          <w:ilvl w:val="0"/>
          <w:numId w:val="1002"/>
        </w:numPr>
      </w:pPr>
      <w:r>
        <w:t xml:space="preserve">Consulta de pedidos y su estado</w:t>
      </w:r>
    </w:p>
    <w:p>
      <w:pPr>
        <w:pStyle w:val="Compact"/>
        <w:numPr>
          <w:ilvl w:val="0"/>
          <w:numId w:val="1002"/>
        </w:numPr>
      </w:pPr>
      <w:r>
        <w:t xml:space="preserve">CRUD de productos y promociones desde el panel admin, incluyendo control de acceso (solo admin)</w:t>
      </w:r>
    </w:p>
    <w:p>
      <w:pPr>
        <w:pStyle w:val="Compact"/>
        <w:numPr>
          <w:ilvl w:val="0"/>
          <w:numId w:val="1002"/>
        </w:numPr>
      </w:pPr>
      <w:r>
        <w:t xml:space="preserve">Carga y validación de foto para el avatar virtual (</w:t>
      </w:r>
      <w:r>
        <w:rPr>
          <w:rStyle w:val="VerbatimChar"/>
        </w:rPr>
        <w:t xml:space="preserve">avatarPhotoValidator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Autorización por rol entre rutas de cliente</w:t>
      </w:r>
      <w:r>
        <w:t xml:space="preserve"> </w:t>
      </w:r>
      <w:r>
        <w:rPr>
          <w:rStyle w:val="VerbatimChar"/>
        </w:rPr>
        <w:t xml:space="preserve">(client)</w:t>
      </w:r>
      <w:r>
        <w:t xml:space="preserve"> </w:t>
      </w:r>
      <w:r>
        <w:t xml:space="preserve">y administrador</w:t>
      </w:r>
      <w:r>
        <w:t xml:space="preserve"> </w:t>
      </w:r>
      <w:r>
        <w:rPr>
          <w:rStyle w:val="VerbatimChar"/>
        </w:rPr>
        <w:t xml:space="preserve">(admin)</w:t>
      </w:r>
    </w:p>
    <w:bookmarkEnd w:id="17"/>
    <w:bookmarkStart w:id="18" w:name="Xeb2bb3ba55a41ed69d112312c80fa69fcb654e1"/>
    <w:p>
      <w:pPr>
        <w:pStyle w:val="Heading3"/>
      </w:pPr>
      <w:r>
        <w:t xml:space="preserve">3.2 Fuera de alcance (para esta iteración del plan)</w:t>
      </w:r>
    </w:p>
    <w:p>
      <w:pPr>
        <w:pStyle w:val="Compact"/>
        <w:numPr>
          <w:ilvl w:val="0"/>
          <w:numId w:val="1003"/>
        </w:numPr>
      </w:pPr>
      <w:r>
        <w:t xml:space="preserve">Precisión del modelo de colorimetría o del resultado visual del probador virtual (es un problema de calidad de modelo de IA, no de pruebas de software funcionales; se documenta como riesgo conocido, no se prueba exhaustivamente)</w:t>
      </w:r>
    </w:p>
    <w:p>
      <w:pPr>
        <w:pStyle w:val="Compact"/>
        <w:numPr>
          <w:ilvl w:val="0"/>
          <w:numId w:val="1003"/>
        </w:numPr>
      </w:pPr>
      <w:r>
        <w:t xml:space="preserve">Pruebas de carga a gran escala (miles de usuarios concurrentes) — se hará una prueba de rendimiento acotada, no un ensayo de capacidad productiva</w:t>
      </w:r>
    </w:p>
    <w:p>
      <w:pPr>
        <w:pStyle w:val="Compact"/>
        <w:numPr>
          <w:ilvl w:val="0"/>
          <w:numId w:val="1003"/>
        </w:numPr>
      </w:pPr>
      <w:r>
        <w:t xml:space="preserve">Pruebas de compatibilidad multi-navegador exhaustiva (se prueba en Chromium como navegador principal de Playwright)</w:t>
      </w:r>
    </w:p>
    <w:p>
      <w:pPr>
        <w:pStyle w:val="Compact"/>
        <w:numPr>
          <w:ilvl w:val="0"/>
          <w:numId w:val="1003"/>
        </w:numPr>
      </w:pPr>
      <w:r>
        <w:t xml:space="preserve">Migraciones de base de datos o procesos de despliegue a producción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enfoque-de-pruebas-estrategia"/>
    <w:p>
      <w:pPr>
        <w:pStyle w:val="Heading2"/>
      </w:pPr>
      <w:r>
        <w:t xml:space="preserve">4. Enfoque de pruebas (estrategia)</w:t>
      </w:r>
    </w:p>
    <w:p>
      <w:pPr>
        <w:pStyle w:val="FirstParagraph"/>
      </w:pPr>
      <w:r>
        <w:t xml:space="preserve">La profundidad de cada nivel/tipo de prueba se asigna según el riesgo (sección 2.2):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Nivel de riesgo</w:t>
            </w:r>
          </w:p>
        </w:tc>
        <w:tc>
          <w:tcPr/>
          <w:p>
            <w:pPr>
              <w:pStyle w:val="Compact"/>
            </w:pPr>
            <w:r>
              <w:t xml:space="preserve">Niveles de prueba aplicados</w:t>
            </w:r>
          </w:p>
        </w:tc>
        <w:tc>
          <w:tcPr/>
          <w:p>
            <w:pPr>
              <w:pStyle w:val="Compact"/>
            </w:pPr>
            <w:r>
              <w:t xml:space="preserve">Tipos de prueba</w:t>
            </w:r>
          </w:p>
        </w:tc>
        <w:tc>
          <w:tcPr/>
          <w:p>
            <w:pPr>
              <w:pStyle w:val="Compact"/>
            </w:pPr>
            <w:r>
              <w:t xml:space="preserve">Técnicas de diseño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Alto (Pagos, Stock, Auth)</w:t>
            </w:r>
          </w:p>
        </w:tc>
        <w:tc>
          <w:tcPr/>
          <w:p>
            <w:pPr>
              <w:pStyle w:val="Compact"/>
            </w:pPr>
            <w:r>
              <w:t xml:space="preserve">Unitaria + Integración + Sistema/E2E + Seguridad</w:t>
            </w:r>
          </w:p>
        </w:tc>
        <w:tc>
          <w:tcPr/>
          <w:p>
            <w:pPr>
              <w:pStyle w:val="Compact"/>
            </w:pPr>
            <w:r>
              <w:t xml:space="preserve">Funcional, seguridad, regresión, aceptación</w:t>
            </w:r>
          </w:p>
        </w:tc>
        <w:tc>
          <w:tcPr/>
          <w:p>
            <w:pPr>
              <w:pStyle w:val="Compact"/>
            </w:pPr>
            <w:r>
              <w:t xml:space="preserve">Partición de equivalencia, análisis de valores límite, tablas de decisión, pruebas de transición de estados (estado del pedido), caja blanca dirigida a funciones críticas de</w:t>
            </w:r>
            <w:r>
              <w:t xml:space="preserve"> </w:t>
            </w:r>
            <w:r>
              <w:rPr>
                <w:rStyle w:val="VerbatimChar"/>
              </w:rPr>
              <w:t xml:space="preserve">lib/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🟠 Medio (Admin, Catálogo/Carrito, Boleta)</w:t>
            </w:r>
          </w:p>
        </w:tc>
        <w:tc>
          <w:tcPr/>
          <w:p>
            <w:pPr>
              <w:pStyle w:val="Compact"/>
            </w:pPr>
            <w:r>
              <w:t xml:space="preserve">Integración + Sistema</w:t>
            </w:r>
          </w:p>
        </w:tc>
        <w:tc>
          <w:tcPr/>
          <w:p>
            <w:pPr>
              <w:pStyle w:val="Compact"/>
            </w:pPr>
            <w:r>
              <w:t xml:space="preserve">Funcional, regresión (smoke)</w:t>
            </w:r>
          </w:p>
        </w:tc>
        <w:tc>
          <w:tcPr/>
          <w:p>
            <w:pPr>
              <w:pStyle w:val="Compact"/>
            </w:pPr>
            <w:r>
              <w:t xml:space="preserve">Partición de equivalencia, caja negra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 Bajo (IA/Avatar, Notificaciones)</w:t>
            </w:r>
          </w:p>
        </w:tc>
        <w:tc>
          <w:tcPr/>
          <w:p>
            <w:pPr>
              <w:pStyle w:val="Compact"/>
            </w:pPr>
            <w:r>
              <w:t xml:space="preserve">Sistema (exploratoria)</w:t>
            </w:r>
          </w:p>
        </w:tc>
        <w:tc>
          <w:tcPr/>
          <w:p>
            <w:pPr>
              <w:pStyle w:val="Compact"/>
            </w:pPr>
            <w:r>
              <w:t xml:space="preserve">Funcional exploratorio,</w:t>
            </w:r>
            <w:r>
              <w:t xml:space="preserve"> </w:t>
            </w:r>
            <w:r>
              <w:t xml:space="preserve">“happy path”</w:t>
            </w:r>
          </w:p>
        </w:tc>
        <w:tc>
          <w:tcPr/>
          <w:p>
            <w:pPr>
              <w:pStyle w:val="Compact"/>
            </w:pPr>
            <w:r>
              <w:t xml:space="preserve">Pruebas ad hoc / checklist exploratorio</w:t>
            </w:r>
          </w:p>
        </w:tc>
      </w:tr>
    </w:tbl>
    <w:p>
      <w:pPr>
        <w:pStyle w:val="BodyText"/>
      </w:pPr>
      <w:r>
        <w:rPr>
          <w:b/>
          <w:bCs/>
        </w:rPr>
        <w:t xml:space="preserve">Niveles de prueba (ISTQB):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Componente/Unitaria:</w:t>
      </w:r>
      <w:r>
        <w:t xml:space="preserve"> </w:t>
      </w:r>
      <w:r>
        <w:t xml:space="preserve">funciones puras de</w:t>
      </w:r>
      <w:r>
        <w:t xml:space="preserve"> </w:t>
      </w:r>
      <w:r>
        <w:rPr>
          <w:rStyle w:val="VerbatimChar"/>
        </w:rPr>
        <w:t xml:space="preserve">lib/</w:t>
      </w:r>
      <w:r>
        <w:t xml:space="preserve"> </w:t>
      </w:r>
      <w:r>
        <w:t xml:space="preserve">con lógica de negocio (ej. cálculo de disponibilidad de stock, validación de foto de avatar, armado de la boleta).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Integración:</w:t>
      </w:r>
      <w:r>
        <w:t xml:space="preserve"> </w:t>
      </w:r>
      <w:r>
        <w:t xml:space="preserve">rutas de</w:t>
      </w:r>
      <w:r>
        <w:t xml:space="preserve"> </w:t>
      </w:r>
      <w:r>
        <w:rPr>
          <w:rStyle w:val="VerbatimChar"/>
        </w:rPr>
        <w:t xml:space="preserve">app/api/*</w:t>
      </w:r>
      <w:r>
        <w:t xml:space="preserve"> </w:t>
      </w:r>
      <w:r>
        <w:t xml:space="preserve">contra la base de datos MySQL real (entorno local), verificando contratos de entrada/salida y manejo de errores (ya se observó buen manejo, ej. validación de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numérico en</w:t>
      </w:r>
      <w:r>
        <w:t xml:space="preserve"> </w:t>
      </w:r>
      <w:r>
        <w:rPr>
          <w:rStyle w:val="VerbatimChar"/>
        </w:rPr>
        <w:t xml:space="preserve">app/api/productos/[id]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Sistema/E2E:</w:t>
      </w:r>
      <w:r>
        <w:t xml:space="preserve"> </w:t>
      </w:r>
      <w:r>
        <w:t xml:space="preserve">flujos de usuario completos simulando un navegador real (checkout de principio a fin, login, administración de productos).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Aceptación:</w:t>
      </w:r>
      <w:r>
        <w:t xml:space="preserve"> </w:t>
      </w:r>
      <w:r>
        <w:t xml:space="preserve">validación contra reglas de negocio explícitas (ej.</w:t>
      </w:r>
      <w:r>
        <w:t xml:space="preserve"> </w:t>
      </w:r>
      <w:r>
        <w:t xml:space="preserve">“no se debe permitir confirmar una compra si el stock es insuficiente”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Tipos de prueba no funcional incluidos según Unidad IV: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Seguridad (OWASP-aligned):</w:t>
      </w:r>
      <w:r>
        <w:t xml:space="preserve"> </w:t>
      </w:r>
      <w:r>
        <w:t xml:space="preserve">control de acceso entre rutas</w:t>
      </w:r>
      <w:r>
        <w:t xml:space="preserve"> </w:t>
      </w:r>
      <w:r>
        <w:rPr>
          <w:rStyle w:val="VerbatimChar"/>
        </w:rPr>
        <w:t xml:space="preserve">(client)</w:t>
      </w:r>
      <w:r>
        <w:t xml:space="preserve">/</w:t>
      </w:r>
      <w:r>
        <w:rPr>
          <w:rStyle w:val="VerbatimChar"/>
        </w:rPr>
        <w:t xml:space="preserve">(admin)</w:t>
      </w:r>
      <w:r>
        <w:t xml:space="preserve">, protección de endpoints sensibles sin sesión válida, validación de archivos subidos (avatar/S3) contra tipos MIME falsificados, manejo de variables sensibles en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(credenciales de BD, MercadoPago, S3, IA), verificación de que las contraseñas nunca se expongan en respuestas de API.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Rendimiento (acotado):</w:t>
      </w:r>
      <w:r>
        <w:t xml:space="preserve"> </w:t>
      </w:r>
      <w:r>
        <w:t xml:space="preserve">tiempo de respuesta de endpoints críticos (</w:t>
      </w:r>
      <w:r>
        <w:rPr>
          <w:rStyle w:val="VerbatimChar"/>
        </w:rPr>
        <w:t xml:space="preserve">/api/productos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/api/cart/*</w:t>
      </w:r>
      <w:r>
        <w:t xml:space="preserve">) bajo carga ligera simulada con k6.</w:t>
      </w:r>
    </w:p>
    <w:p>
      <w:r>
        <w:pict>
          <v:rect style="width:0;height:1.5pt" o:hralign="center" o:hrstd="t" o:hr="t"/>
        </w:pict>
      </w:r>
    </w:p>
    <w:bookmarkEnd w:id="20"/>
    <w:bookmarkStart w:id="21" w:name="criterios-de-aceptaciónrechazo-passfail"/>
    <w:p>
      <w:pPr>
        <w:pStyle w:val="Heading2"/>
      </w:pPr>
      <w:r>
        <w:t xml:space="preserve">5. Criterios de aceptación/rechazo (pass/fail)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Caso de prueba individual — Aprobado (Pass):</w:t>
      </w:r>
      <w:r>
        <w:t xml:space="preserve"> </w:t>
      </w:r>
      <w:r>
        <w:t xml:space="preserve">el resultado real coincide con el resultado esperado documentado en la matriz de casos (Unidad II).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Caso de prueba individual — Rechazado (Fail):</w:t>
      </w:r>
      <w:r>
        <w:t xml:space="preserve"> </w:t>
      </w:r>
      <w:r>
        <w:t xml:space="preserve">hay discrepancia entre resultado real y esperado; se abre un defecto con severidad (Crítica/Alta/Media/Baja) según el módulo de riesgo afectado (sección 2.2).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Criterios de entrada (Entry criteria) para iniciar la ejecución de un ciclo de pruebas:</w:t>
      </w:r>
    </w:p>
    <w:p>
      <w:pPr>
        <w:pStyle w:val="Compact"/>
        <w:numPr>
          <w:ilvl w:val="1"/>
          <w:numId w:val="1005"/>
        </w:numPr>
      </w:pPr>
      <w:r>
        <w:t xml:space="preserve">El entorno local corre sin errores de build (</w:t>
      </w:r>
      <w:r>
        <w:rPr>
          <w:rStyle w:val="VerbatimChar"/>
        </w:rPr>
        <w:t xml:space="preserve">pnpm build</w:t>
      </w:r>
      <w:r>
        <w:t xml:space="preserve"> </w:t>
      </w:r>
      <w:r>
        <w:t xml:space="preserve">exitoso)</w:t>
      </w:r>
    </w:p>
    <w:p>
      <w:pPr>
        <w:pStyle w:val="Compact"/>
        <w:numPr>
          <w:ilvl w:val="1"/>
          <w:numId w:val="1005"/>
        </w:numPr>
      </w:pPr>
      <w:r>
        <w:t xml:space="preserve">La base de datos local contiene datos de prueba (seed) representativos para cada módulo</w:t>
      </w:r>
    </w:p>
    <w:p>
      <w:pPr>
        <w:pStyle w:val="Compact"/>
        <w:numPr>
          <w:ilvl w:val="1"/>
          <w:numId w:val="1005"/>
        </w:numPr>
      </w:pPr>
      <w:r>
        <w:t xml:space="preserve">Las credenciales de MercadoPago están configuradas en modo</w:t>
      </w:r>
      <w:r>
        <w:t xml:space="preserve"> </w:t>
      </w:r>
      <w:r>
        <w:rPr>
          <w:i/>
          <w:iCs/>
        </w:rPr>
        <w:t xml:space="preserve">sandbox/test</w:t>
      </w:r>
      <w:r>
        <w:t xml:space="preserve">, nunca en modo productivo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Criterios de salida (Exit criteria) para dar por concluido un ciclo de pruebas:</w:t>
      </w:r>
    </w:p>
    <w:p>
      <w:pPr>
        <w:pStyle w:val="Compact"/>
        <w:numPr>
          <w:ilvl w:val="1"/>
          <w:numId w:val="1006"/>
        </w:numPr>
      </w:pPr>
      <w:r>
        <w:t xml:space="preserve">100% de los casos de riesgo Alto ejecutados, con 0 defectos Críticos abiertos</w:t>
      </w:r>
    </w:p>
    <w:p>
      <w:pPr>
        <w:pStyle w:val="Compact"/>
        <w:numPr>
          <w:ilvl w:val="1"/>
          <w:numId w:val="1006"/>
        </w:numPr>
      </w:pPr>
      <w:r>
        <w:t xml:space="preserve">≥ 90% de los casos de riesgo Medio ejecutados y aprobados</w:t>
      </w:r>
    </w:p>
    <w:p>
      <w:pPr>
        <w:pStyle w:val="Compact"/>
        <w:numPr>
          <w:ilvl w:val="1"/>
          <w:numId w:val="1006"/>
        </w:numPr>
      </w:pPr>
      <w:r>
        <w:t xml:space="preserve">Los defectos de riesgo Bajo quedan documentados aunque no se corrijan (se reportan como</w:t>
      </w:r>
      <w:r>
        <w:t xml:space="preserve"> </w:t>
      </w:r>
      <w:r>
        <w:rPr>
          <w:i/>
          <w:iCs/>
        </w:rPr>
        <w:t xml:space="preserve">known issues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1"/>
    <w:bookmarkStart w:id="22" w:name="suspensión-y-reanudación-de-pruebas"/>
    <w:p>
      <w:pPr>
        <w:pStyle w:val="Heading2"/>
      </w:pPr>
      <w:r>
        <w:t xml:space="preserve">6. Suspensión y reanudación de pruebas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Condición de suspensión</w:t>
            </w:r>
          </w:p>
        </w:tc>
        <w:tc>
          <w:tcPr/>
          <w:p>
            <w:pPr>
              <w:pStyle w:val="Compact"/>
            </w:pPr>
            <w:r>
              <w:t xml:space="preserve">Acción de reanudación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base de datos local no responde o los datos de prueba se corrompen</w:t>
            </w:r>
          </w:p>
        </w:tc>
        <w:tc>
          <w:tcPr/>
          <w:p>
            <w:pPr>
              <w:pStyle w:val="Compact"/>
            </w:pPr>
            <w:r>
              <w:t xml:space="preserve">Restaurar el seed de datos de prueba antes de continuar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sandbox de MercadoPago no está disponible</w:t>
            </w:r>
          </w:p>
        </w:tc>
        <w:tc>
          <w:tcPr/>
          <w:p>
            <w:pPr>
              <w:pStyle w:val="Compact"/>
            </w:pPr>
            <w:r>
              <w:t xml:space="preserve">Pausar únicamente las pruebas del módulo de pagos; continuar con el resto del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 defecto Crítico bloquea el flujo de checkout completo</w:t>
            </w:r>
          </w:p>
        </w:tc>
        <w:tc>
          <w:tcPr/>
          <w:p>
            <w:pPr>
              <w:pStyle w:val="Compact"/>
            </w:pPr>
            <w:r>
              <w:t xml:space="preserve">Suspender pruebas de sistema/E2E en ese flujo hasta que el defecto se corrija; las pruebas unitarias/integración de otros módulos continúan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entregables-de-prueba"/>
    <w:p>
      <w:pPr>
        <w:pStyle w:val="Heading2"/>
      </w:pPr>
      <w:r>
        <w:t xml:space="preserve">7. Entregables de prueba</w:t>
      </w:r>
    </w:p>
    <w:p>
      <w:pPr>
        <w:pStyle w:val="Compact"/>
        <w:numPr>
          <w:ilvl w:val="0"/>
          <w:numId w:val="1007"/>
        </w:numPr>
      </w:pPr>
      <w:r>
        <w:t xml:space="preserve">Este Plan de Pruebas (</w:t>
      </w:r>
      <w:r>
        <w:rPr>
          <w:rStyle w:val="VerbatimChar"/>
        </w:rPr>
        <w:t xml:space="preserve">PP-ECLOUDI-2026-01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Matriz de casos de prueba (caja negra/blanca/riesgo) — Unidad II</w:t>
      </w:r>
    </w:p>
    <w:p>
      <w:pPr>
        <w:pStyle w:val="Compact"/>
        <w:numPr>
          <w:ilvl w:val="0"/>
          <w:numId w:val="1007"/>
        </w:numPr>
      </w:pPr>
      <w:r>
        <w:t xml:space="preserve">Suite de pruebas automatizada (API + E2E) y reporte de ejecución — Unidad III</w:t>
      </w:r>
    </w:p>
    <w:p>
      <w:pPr>
        <w:pStyle w:val="Compact"/>
        <w:numPr>
          <w:ilvl w:val="0"/>
          <w:numId w:val="1007"/>
        </w:numPr>
      </w:pPr>
      <w:r>
        <w:t xml:space="preserve">Reporte de defectos con severidad/prioridad</w:t>
      </w:r>
    </w:p>
    <w:p>
      <w:pPr>
        <w:pStyle w:val="Compact"/>
        <w:numPr>
          <w:ilvl w:val="0"/>
          <w:numId w:val="1007"/>
        </w:numPr>
      </w:pPr>
      <w:r>
        <w:t xml:space="preserve">Reporte de análisis de riesgos y seguridad (OWASP/DevSecOps) — Unidad IV</w:t>
      </w:r>
    </w:p>
    <w:p>
      <w:pPr>
        <w:pStyle w:val="Compact"/>
        <w:numPr>
          <w:ilvl w:val="0"/>
          <w:numId w:val="1007"/>
        </w:numPr>
      </w:pPr>
      <w:r>
        <w:t xml:space="preserve">Reporte final de métricas de calidad interpretadas (para la sustentación)</w:t>
      </w:r>
    </w:p>
    <w:p>
      <w:r>
        <w:pict>
          <v:rect style="width:0;height:1.5pt" o:hralign="center" o:hrstd="t" o:hr="t"/>
        </w:pict>
      </w:r>
    </w:p>
    <w:bookmarkEnd w:id="23"/>
    <w:bookmarkStart w:id="24" w:name="Xc40f4da20288f12743fcf09c7e9294ed73cdae6"/>
    <w:p>
      <w:pPr>
        <w:pStyle w:val="Heading2"/>
      </w:pPr>
      <w:r>
        <w:t xml:space="preserve">8. Tareas de prueba (secuencia de actividades)</w:t>
      </w:r>
    </w:p>
    <w:p>
      <w:pPr>
        <w:pStyle w:val="BlockText"/>
      </w:pPr>
      <w:r>
        <w:t xml:space="preserve">No se incluyen fechas de calendario en este documento por decisión del equipo; el orden refleja dependencias lógicas, no un cronograma fijo.</w:t>
      </w:r>
    </w:p>
    <w:p>
      <w:pPr>
        <w:pStyle w:val="Compact"/>
        <w:numPr>
          <w:ilvl w:val="0"/>
          <w:numId w:val="1008"/>
        </w:numPr>
      </w:pPr>
      <w:r>
        <w:t xml:space="preserve">Preparar entorno de datos de prueba (seed de BD local, credenciales sandbox de MercadoPago)</w:t>
      </w:r>
    </w:p>
    <w:p>
      <w:pPr>
        <w:pStyle w:val="Compact"/>
        <w:numPr>
          <w:ilvl w:val="0"/>
          <w:numId w:val="1008"/>
        </w:numPr>
      </w:pPr>
      <w:r>
        <w:t xml:space="preserve">Diseñar la matriz de casos de prueba priorizada por riesgo (Unidad II)</w:t>
      </w:r>
    </w:p>
    <w:p>
      <w:pPr>
        <w:pStyle w:val="Compact"/>
        <w:numPr>
          <w:ilvl w:val="0"/>
          <w:numId w:val="1008"/>
        </w:numPr>
      </w:pPr>
      <w:r>
        <w:t xml:space="preserve">Ejecutar pruebas manuales de los módulos de riesgo Alto y Medio</w:t>
      </w:r>
    </w:p>
    <w:p>
      <w:pPr>
        <w:pStyle w:val="Compact"/>
        <w:numPr>
          <w:ilvl w:val="0"/>
          <w:numId w:val="1008"/>
        </w:numPr>
      </w:pPr>
      <w:r>
        <w:t xml:space="preserve">Automatizar el subconjunto de casos de mayor riesgo (API + E2E con Playwright)</w:t>
      </w:r>
    </w:p>
    <w:p>
      <w:pPr>
        <w:pStyle w:val="Compact"/>
        <w:numPr>
          <w:ilvl w:val="0"/>
          <w:numId w:val="1008"/>
        </w:numPr>
      </w:pPr>
      <w:r>
        <w:t xml:space="preserve">Integrar la suite automatizada a un pipeline de CI (GitHub Actions)</w:t>
      </w:r>
    </w:p>
    <w:p>
      <w:pPr>
        <w:pStyle w:val="Compact"/>
        <w:numPr>
          <w:ilvl w:val="0"/>
          <w:numId w:val="1008"/>
        </w:numPr>
      </w:pPr>
      <w:r>
        <w:t xml:space="preserve">Ejecutar el análisis de seguridad (OWASP ZAP baseline) y documentar hallazgos</w:t>
      </w:r>
    </w:p>
    <w:p>
      <w:pPr>
        <w:pStyle w:val="Compact"/>
        <w:numPr>
          <w:ilvl w:val="0"/>
          <w:numId w:val="1008"/>
        </w:numPr>
      </w:pPr>
      <w:r>
        <w:t xml:space="preserve">Consolidar métricas, reportes de defectos y conclusiones para la sustentación</w:t>
      </w:r>
    </w:p>
    <w:p>
      <w:r>
        <w:pict>
          <v:rect style="width:0;height:1.5pt" o:hralign="center" o:hrstd="t" o:hr="t"/>
        </w:pict>
      </w:r>
    </w:p>
    <w:bookmarkEnd w:id="24"/>
    <w:bookmarkStart w:id="25" w:name="necesidades-de-entorno"/>
    <w:p>
      <w:pPr>
        <w:pStyle w:val="Heading2"/>
      </w:pPr>
      <w:r>
        <w:t xml:space="preserve">9. Necesidades de entorno</w:t>
      </w:r>
    </w:p>
    <w:p>
      <w:pPr>
        <w:pStyle w:val="FirstParagraph"/>
      </w:pPr>
      <w:r>
        <w:t xml:space="preserve">El equipo confirmó que</w:t>
      </w:r>
      <w:r>
        <w:t xml:space="preserve"> </w:t>
      </w:r>
      <w:r>
        <w:rPr>
          <w:b/>
          <w:bCs/>
        </w:rPr>
        <w:t xml:space="preserve">solo cuenta con entorno local de desarrollo</w:t>
      </w:r>
      <w:r>
        <w:t xml:space="preserve"> </w:t>
      </w:r>
      <w:r>
        <w:t xml:space="preserve">(sin staging separado). Esto es una limitación real que el plan debe mitigar explícitamente, no ignorar: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Base de datos:</w:t>
      </w:r>
      <w:r>
        <w:t xml:space="preserve"> </w:t>
      </w:r>
      <w:r>
        <w:t xml:space="preserve">se recomienda crear un esquema separado (ej.</w:t>
      </w:r>
      <w:r>
        <w:t xml:space="preserve"> </w:t>
      </w:r>
      <w:r>
        <w:rPr>
          <w:rStyle w:val="VerbatimChar"/>
        </w:rPr>
        <w:t xml:space="preserve">ecloudi_test</w:t>
      </w:r>
      <w:r>
        <w:t xml:space="preserve">) distinto del de desarrollo, para no contaminar datos reales con datos de prueba ni viceversa.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Pagos:</w:t>
      </w:r>
      <w:r>
        <w:t xml:space="preserve"> </w:t>
      </w:r>
      <w:r>
        <w:t xml:space="preserve">usar exclusivamente</w:t>
      </w:r>
      <w:r>
        <w:t xml:space="preserve"> </w:t>
      </w:r>
      <w:r>
        <w:rPr>
          <w:b/>
          <w:bCs/>
        </w:rPr>
        <w:t xml:space="preserve">credenciales de prueba (sandbox) de MercadoPago</w:t>
      </w:r>
      <w:r>
        <w:t xml:space="preserve">; nunca ejecutar pruebas automatizadas contra credenciales de producción.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Almacenamiento (S3):</w:t>
      </w:r>
      <w:r>
        <w:t xml:space="preserve"> </w:t>
      </w:r>
      <w:r>
        <w:t xml:space="preserve">usar un bucket de prueba o, si no es viable, mockear</w:t>
      </w:r>
      <w:r>
        <w:t xml:space="preserve"> </w:t>
      </w:r>
      <w:r>
        <w:rPr>
          <w:rStyle w:val="VerbatimChar"/>
        </w:rPr>
        <w:t xml:space="preserve">lib/s3.ts</w:t>
      </w:r>
      <w:r>
        <w:t xml:space="preserve"> </w:t>
      </w:r>
      <w:r>
        <w:t xml:space="preserve">en las pruebas automatizadas para no generar cargos ni archivos residuales en el bucket real.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IA (Google GenAI / Azure AI):</w:t>
      </w:r>
      <w:r>
        <w:t xml:space="preserve"> </w:t>
      </w:r>
      <w:r>
        <w:t xml:space="preserve">dado que son APIs externas con cuota, las pruebas automatizadas del módulo de IA deben limitarse a</w:t>
      </w:r>
      <w:r>
        <w:t xml:space="preserve"> </w:t>
      </w:r>
      <w:r>
        <w:rPr>
          <w:i/>
          <w:iCs/>
        </w:rPr>
        <w:t xml:space="preserve">smoke tests</w:t>
      </w:r>
      <w:r>
        <w:t xml:space="preserve"> </w:t>
      </w:r>
      <w:r>
        <w:t xml:space="preserve">(¿responde el endpoint, maneja errores?) y no ejecutarse en cada corrida de CI para evitar consumo innecesario de cuota.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Software necesario:</w:t>
      </w:r>
      <w:r>
        <w:t xml:space="preserve"> </w:t>
      </w:r>
      <w:r>
        <w:t xml:space="preserve">Node.js + pnpm, MySQL local, navegador Chromium (para Playwright), Postman/Newman o similar para pruebas de API.</w:t>
      </w:r>
    </w:p>
    <w:p>
      <w:r>
        <w:pict>
          <v:rect style="width:0;height:1.5pt" o:hralign="center" o:hrstd="t" o:hr="t"/>
        </w:pict>
      </w:r>
    </w:p>
    <w:bookmarkEnd w:id="25"/>
    <w:bookmarkStart w:id="26" w:name="responsabilidades"/>
    <w:p>
      <w:pPr>
        <w:pStyle w:val="Heading2"/>
      </w:pPr>
      <w:r>
        <w:t xml:space="preserve">10. Responsabilidades</w:t>
      </w:r>
    </w:p>
    <w:p>
      <w:pPr>
        <w:pStyle w:val="FirstParagraph"/>
      </w:pPr>
      <w:r>
        <w:t xml:space="preserve">Distribución equitativa por actividad transversal + dominio funcional, de modo que cada integrante lidera un tipo de trabajo de principio a fin del curso y es dueño de un conjunto de módulos: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Integrante</w:t>
            </w:r>
          </w:p>
        </w:tc>
        <w:tc>
          <w:tcPr/>
          <w:p>
            <w:pPr>
              <w:pStyle w:val="Compact"/>
            </w:pPr>
            <w:r>
              <w:t xml:space="preserve">Rol principal</w:t>
            </w:r>
          </w:p>
        </w:tc>
        <w:tc>
          <w:tcPr/>
          <w:p>
            <w:pPr>
              <w:pStyle w:val="Compact"/>
            </w:pPr>
            <w:r>
              <w:t xml:space="preserve">Responsabilidad transversal</w:t>
            </w:r>
          </w:p>
        </w:tc>
        <w:tc>
          <w:tcPr/>
          <w:p>
            <w:pPr>
              <w:pStyle w:val="Compact"/>
            </w:pPr>
            <w:r>
              <w:t xml:space="preserve">Módulos bajo su responsabilidad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Andre Cuenca</w:t>
            </w:r>
          </w:p>
        </w:tc>
        <w:tc>
          <w:tcPr/>
          <w:p>
            <w:pPr>
              <w:pStyle w:val="Compact"/>
            </w:pPr>
            <w:r>
              <w:t xml:space="preserve">Test Manager / Líder de Calidad</w:t>
            </w:r>
          </w:p>
        </w:tc>
        <w:tc>
          <w:tcPr/>
          <w:p>
            <w:pPr>
              <w:pStyle w:val="Compact"/>
            </w:pPr>
            <w:r>
              <w:t xml:space="preserve">Elaboración y mantenimiento del Plan de Pruebas, gestión de riesgos (producto y proyecto), definición de criterios de seguridad (OWASP/DevSecOps), consolidación final de métricas y reportes para la sustentación</w:t>
            </w:r>
          </w:p>
        </w:tc>
        <w:tc>
          <w:tcPr/>
          <w:p>
            <w:pPr>
              <w:pStyle w:val="Compact"/>
            </w:pPr>
            <w:r>
              <w:t xml:space="preserve">Autenticación y Panel Administrativo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Pedro Suyco</w:t>
            </w:r>
          </w:p>
        </w:tc>
        <w:tc>
          <w:tcPr/>
          <w:p>
            <w:pPr>
              <w:pStyle w:val="Compact"/>
            </w:pPr>
            <w:r>
              <w:t xml:space="preserve">Analista de Diseño y Ejecución de Pruebas</w:t>
            </w:r>
          </w:p>
        </w:tc>
        <w:tc>
          <w:tcPr/>
          <w:p>
            <w:pPr>
              <w:pStyle w:val="Compact"/>
            </w:pPr>
            <w:r>
              <w:t xml:space="preserve">Diseño de la matriz de casos (caja negra/blanca/riesgo), ejecución manual de pruebas, gestión del reporte de defectos</w:t>
            </w:r>
          </w:p>
        </w:tc>
        <w:tc>
          <w:tcPr/>
          <w:p>
            <w:pPr>
              <w:pStyle w:val="Compact"/>
            </w:pPr>
            <w:r>
              <w:t xml:space="preserve">Módulo Transaccional: Carrito, Checkout, Pagos (MercadoPago), Boleta — el de mayor riesgo de negocio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Giancarlo Villavicencio</w:t>
            </w:r>
          </w:p>
        </w:tc>
        <w:tc>
          <w:tcPr/>
          <w:p>
            <w:pPr>
              <w:pStyle w:val="Compact"/>
            </w:pPr>
            <w:r>
              <w:t xml:space="preserve">Ingeniero de Automatización</w:t>
            </w:r>
          </w:p>
        </w:tc>
        <w:tc>
          <w:tcPr/>
          <w:p>
            <w:pPr>
              <w:pStyle w:val="Compact"/>
            </w:pPr>
            <w:r>
              <w:t xml:space="preserve">Diseño y mantenimiento de la suite automatizada (API + E2E con Playwright), integración a pipeline CI/CD</w:t>
            </w:r>
          </w:p>
        </w:tc>
        <w:tc>
          <w:tcPr/>
          <w:p>
            <w:pPr>
              <w:pStyle w:val="Compact"/>
            </w:pPr>
            <w:r>
              <w:t xml:space="preserve">Catálogo, Stock, Promociones y Módulo de Probador Virtual / IA</w:t>
            </w:r>
          </w:p>
        </w:tc>
      </w:tr>
    </w:tbl>
    <w:p>
      <w:pPr>
        <w:pStyle w:val="BodyText"/>
      </w:pPr>
      <w:r>
        <w:t xml:space="preserve">Cada integrante debe estar en capacidad de explicar el trabajo de los otros dos ante el jurado (requisito explícito del criterio 8 de la rúbrica), por lo que se recomienda una revisión cruzada antes de la sustentación.</w:t>
      </w:r>
    </w:p>
    <w:p>
      <w:r>
        <w:pict>
          <v:rect style="width:0;height:1.5pt" o:hralign="center" o:hrstd="t" o:hr="t"/>
        </w:pict>
      </w:r>
    </w:p>
    <w:bookmarkEnd w:id="26"/>
    <w:bookmarkStart w:id="27" w:name="riesgos-del-proyecto-y-contingencias"/>
    <w:p>
      <w:pPr>
        <w:pStyle w:val="Heading2"/>
      </w:pPr>
      <w:r>
        <w:t xml:space="preserve">11. Riesgos del proyecto y contingencias</w:t>
      </w:r>
    </w:p>
    <w:p>
      <w:pPr>
        <w:pStyle w:val="FirstParagraph"/>
      </w:pPr>
      <w:r>
        <w:rPr>
          <w:i/>
          <w:iCs/>
        </w:rPr>
        <w:t xml:space="preserve">(Riesgos de ejecutar el proyecto de pruebas, distintos de los riesgos del producto de la sección 2.2)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Riesgo</w:t>
            </w:r>
          </w:p>
        </w:tc>
        <w:tc>
          <w:tcPr/>
          <w:p>
            <w:pPr>
              <w:pStyle w:val="Compact"/>
            </w:pPr>
            <w:r>
              <w:t xml:space="preserve">Probabilidad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Mitigación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hay entorno de staging separado del de desarrollo</w:t>
            </w:r>
          </w:p>
        </w:tc>
        <w:tc>
          <w:tcPr/>
          <w:p>
            <w:pPr>
              <w:pStyle w:val="Compact"/>
            </w:pPr>
            <w:r>
              <w:t xml:space="preserve">Alta (ya confirmado)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Usar esquema de BD y credenciales de prueba separadas (sección 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Dependencia de APIs externas (MercadoPago, Google/Azure AI) para pruebas automatizadas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Usar sandbox/test keys; mockear en CI donde el costo/cuota lo justifique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de curso limitado para automatizar todo el sistema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Alcance priorizado por riesgo (sección 2.2 y 4); no se automatiza el 100%, algo explícitamente permitido por la rúbrica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Falta de datos de prueba representativos en la BD local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Crear script de</w:t>
            </w:r>
            <w:r>
              <w:t xml:space="preserve"> </w:t>
            </w:r>
            <w:r>
              <w:rPr>
                <w:i/>
                <w:iCs/>
              </w:rPr>
              <w:t xml:space="preserve">seed</w:t>
            </w:r>
            <w:r>
              <w:t xml:space="preserve"> </w:t>
            </w:r>
            <w:r>
              <w:t xml:space="preserve">de datos antes de iniciar la ejecución (tarea 1 de la sección 8)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aprobaciones"/>
    <w:p>
      <w:pPr>
        <w:pStyle w:val="Heading2"/>
      </w:pPr>
      <w:r>
        <w:t xml:space="preserve">12. Aprobaciones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Firma/Visto bueno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Andre Cuenca</w:t>
            </w:r>
          </w:p>
        </w:tc>
        <w:tc>
          <w:tcPr/>
          <w:p>
            <w:pPr>
              <w:pStyle w:val="Compact"/>
            </w:pPr>
            <w:r>
              <w:t xml:space="preserve">Test Manager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Pedro Suyco</w:t>
            </w:r>
          </w:p>
        </w:tc>
        <w:tc>
          <w:tcPr/>
          <w:p>
            <w:pPr>
              <w:pStyle w:val="Compact"/>
            </w:pPr>
            <w:r>
              <w:t xml:space="preserve">Analista de Pruebas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Giancarlo Villavicencio</w:t>
            </w:r>
          </w:p>
        </w:tc>
        <w:tc>
          <w:tcPr/>
          <w:p>
            <w:pPr>
              <w:pStyle w:val="Compact"/>
            </w:pPr>
            <w:r>
              <w:t xml:space="preserve">Ingeniero de Automatización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Docente responsable</w:t>
            </w:r>
          </w:p>
        </w:tc>
        <w:tc>
          <w:tcPr/>
          <w:p>
            <w:pPr>
              <w:pStyle w:val="Compact"/>
            </w:pPr>
            <w:r>
              <w:t xml:space="preserve">Aprobación académica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2026-07-08T05:26:58Z</dcterms:created>
  <dcterms:modified xsi:type="dcterms:W3CDTF">2026-07-08T05:26:58Z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