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D3557"/>
          <w:sz w:val="32"/>
          <w:szCs w:val="32"/>
        </w:rPr>
        <w:t xml:space="preserve">Rentabilité et marge : où la marge se perd, et comment la récupérer</w:t>
      </w:r>
    </w:p>
    <w:p>
      <w:pPr>
        <w:spacing w:after="90"/>
      </w:pPr>
      <w:r>
        <w:rPr>
          <w:rFonts w:ascii="Calibri" w:cs="Calibri" w:eastAsia="Calibri" w:hAnsi="Calibri"/>
          <w:color w:val="5B6675"/>
          <w:sz w:val="16"/>
          <w:szCs w:val="16"/>
        </w:rPr>
        <w:t xml:space="preserve">Note de synthèse · AdventureWorks (jeu de démonstration Microsoft) · 12 mois à nov. 2013 comparés aux 12 mois à nov. 2012 · marge brute = ventes nettes de remises − coût standard · USD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single" w:color="1D3557" w:sz="24"/>
              <w:bottom w:val="none" w:color="FFFFFF" w:sz="0"/>
              <w:right w:val="none" w:color="FFFFFF" w:sz="0"/>
            </w:tcBorders>
            <w:shd w:fill="F3F5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L'essentiel.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Les ventes progressent de 52 % (51,3 M$) mais la marge brute ne gagne que 1,99 M$ (5,58 M$, 10,9 % des ventes). Internet (29 % des ventes) réalise 112 % de la marge : le canal revendeurs, lui, passe de 1,15 M$ à −0,67 M$. Le problème n'est pas la remise (0,64 % du brut) mais le prix de base : le prix revendeur vaut 58 % du prix Internet et le coût standard représente 104 % de ce prix sur les vélos.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1700"/>
        <w:gridCol w:w="2000"/>
        <w:gridCol w:w="2506"/>
      </w:tblGrid>
      <w:tr>
        <w:trPr>
          <w:tblHeader/>
        </w:trPr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1D3557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Canal</w:t>
            </w:r>
          </w:p>
        </w:tc>
        <w:tc>
          <w:tcPr>
            <w:tcW w:type="dxa" w:w="1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1D3557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Ventes P1</w:t>
            </w:r>
          </w:p>
        </w:tc>
        <w:tc>
          <w:tcPr>
            <w:tcW w:type="dxa" w:w="1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1D3557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Évol. ventes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1D3557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Marge brute P1</w:t>
            </w:r>
          </w:p>
        </w:tc>
        <w:tc>
          <w:tcPr>
            <w:tcW w:type="dxa" w:w="250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1D3557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Taux de marge P0 → P1</w:t>
            </w:r>
          </w:p>
        </w:tc>
      </w:tr>
      <w:tr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Internet</w:t>
            </w:r>
          </w:p>
        </w:tc>
        <w:tc>
          <w:tcPr>
            <w:tcW w:type="dxa" w:w="1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15,1 M$</w:t>
            </w:r>
          </w:p>
        </w:tc>
        <w:tc>
          <w:tcPr>
            <w:tcW w:type="dxa" w:w="1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+157 %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6,25 M$</w:t>
            </w:r>
          </w:p>
        </w:tc>
        <w:tc>
          <w:tcPr>
            <w:tcW w:type="dxa" w:w="250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41,4 %  →  41,4 %</w:t>
            </w:r>
          </w:p>
        </w:tc>
      </w:tr>
      <w:tr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Revendeurs</w:t>
            </w:r>
          </w:p>
        </w:tc>
        <w:tc>
          <w:tcPr>
            <w:tcW w:type="dxa" w:w="1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36,2 M$</w:t>
            </w:r>
          </w:p>
        </w:tc>
        <w:tc>
          <w:tcPr>
            <w:tcW w:type="dxa" w:w="1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+30 %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1121F"/>
                <w:sz w:val="17"/>
                <w:szCs w:val="17"/>
              </w:rPr>
              <w:t xml:space="preserve">−0,67 M$</w:t>
            </w:r>
          </w:p>
        </w:tc>
        <w:tc>
          <w:tcPr>
            <w:tcW w:type="dxa" w:w="250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4,1 %  →  −1,9 %</w:t>
            </w:r>
          </w:p>
        </w:tc>
      </w:tr>
      <w:tr>
        <w:tc>
          <w:tcPr>
            <w:tcW w:type="dxa" w:w="2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Ensemble</w:t>
            </w:r>
          </w:p>
        </w:tc>
        <w:tc>
          <w:tcPr>
            <w:tcW w:type="dxa" w:w="1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51,3 M$</w:t>
            </w:r>
          </w:p>
        </w:tc>
        <w:tc>
          <w:tcPr>
            <w:tcW w:type="dxa" w:w="17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+52 %</w:t>
            </w:r>
          </w:p>
        </w:tc>
        <w:tc>
          <w:tcPr>
            <w:tcW w:type="dxa" w:w="20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5,58 M$</w:t>
            </w:r>
          </w:p>
        </w:tc>
        <w:tc>
          <w:tcPr>
            <w:tcW w:type="dxa" w:w="250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10,6 %  →  10,9 %</w:t>
            </w:r>
          </w:p>
        </w:tc>
      </w:tr>
    </w:tbl>
    <w:p>
      <w:pPr>
        <w:pBdr>
          <w:bottom w:val="single" w:color="1D3557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D3557"/>
          <w:sz w:val="23"/>
          <w:szCs w:val="23"/>
        </w:rPr>
        <w:t xml:space="preserve">Ce que montrent les données</w:t>
      </w:r>
    </w:p>
    <w:p>
      <w:pPr>
        <w:pStyle w:val="ListParagraph"/>
        <w:numPr>
          <w:ilvl w:val="0"/>
          <w:numId w:val="2"/>
        </w:numPr>
        <w:spacing w:after="50" w:line="2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Les hausses de prix sont absorbées par les coûts. </w:t>
      </w:r>
      <w:r>
        <w:rPr>
          <w:rFonts w:ascii="Calibri" w:cs="Calibri" w:eastAsia="Calibri" w:hAnsi="Calibri"/>
          <w:sz w:val="19"/>
          <w:szCs w:val="19"/>
        </w:rPr>
        <w:t xml:space="preserve">Le prix catalogue ajoute +2,38 M$ mais le coût standard retire 2,57 M$. Chez les revendeurs l'écart prix − coût est de −0,44 M$ (1,2 % de leur CA) ; côté Internet il reste positif (+0,25 M$).</w:t>
      </w:r>
    </w:p>
    <w:p>
      <w:pPr>
        <w:pStyle w:val="ListParagraph"/>
        <w:numPr>
          <w:ilvl w:val="0"/>
          <w:numId w:val="2"/>
        </w:numPr>
        <w:spacing w:after="50" w:line="2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 perte se concentre sur quelques lignes. </w:t>
      </w:r>
      <w:r>
        <w:rPr>
          <w:rFonts w:ascii="Calibri" w:cs="Calibri" w:eastAsia="Calibri" w:hAnsi="Calibri"/>
          <w:sz w:val="19"/>
          <w:szCs w:val="19"/>
        </w:rPr>
        <w:t xml:space="preserve">71 couples (référence, canal), tous chez les revendeurs, perdent 2,09 M$ sur 23,7 M$ de ventes (46 % du CA), dont 93 % sur les vélos. La gamme Touring vendue aux revendeurs perd 1,24 M$ (−11,8 %) ; 297 revendeurs sur 493 (60 %) sont déficitaires.</w:t>
      </w:r>
    </w:p>
    <w:p>
      <w:pPr>
        <w:pStyle w:val="ListParagraph"/>
        <w:numPr>
          <w:ilvl w:val="0"/>
          <w:numId w:val="2"/>
        </w:numPr>
        <w:spacing w:after="50" w:line="2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 remise aggrave, elle ne cause pas. </w:t>
      </w:r>
      <w:r>
        <w:rPr>
          <w:rFonts w:ascii="Calibri" w:cs="Calibri" w:eastAsia="Calibri" w:hAnsi="Calibri"/>
          <w:sz w:val="19"/>
          <w:szCs w:val="19"/>
        </w:rPr>
        <w:t xml:space="preserve">Elle pèse 0,33 M$, mais 90 % va à des lignes déjà à perte avant remise et les promotions de lancement Touring en absorbent 68 %. Sans aucune remise, les revendeurs resteraient à −0,35 M$.</w:t>
      </w:r>
    </w:p>
    <w:p>
      <w:pPr>
        <w:pStyle w:val="ListParagraph"/>
        <w:numPr>
          <w:ilvl w:val="0"/>
          <w:numId w:val="2"/>
        </w:numPr>
        <w:spacing w:after="50" w:line="2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Piège d'agrégation. </w:t>
      </w:r>
      <w:r>
        <w:rPr>
          <w:rFonts w:ascii="Calibri" w:cs="Calibri" w:eastAsia="Calibri" w:hAnsi="Calibri"/>
          <w:sz w:val="19"/>
          <w:szCs w:val="19"/>
        </w:rPr>
        <w:t xml:space="preserve">Au niveau de la référence seule, certains vélos paraissent rentables car la marge Internet compense la perte chez les revendeurs : l'analyse doit se faire par (référence, canal).</w:t>
      </w:r>
    </w:p>
    <w:p>
      <w:pPr>
        <w:spacing w:after="40"/>
        <w:jc w:val="center"/>
      </w:pPr>
      <w:r>
        <w:drawing>
          <wp:inline distT="0" distB="0" distL="0" distR="0">
            <wp:extent cx="5810250" cy="2438400"/>
            <wp:effectExtent t="0" r="0" b="0" l="0"/>
            <wp:docPr id="1" name="03_waterfall_bridge.png" descr="03_waterfall_bridge.png" title="03_waterfall_brid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drawing>
          <wp:inline distT="0" distB="0" distL="0" distR="0">
            <wp:extent cx="4953000" cy="1790700"/>
            <wp:effectExtent t="0" r="0" b="0" l="0"/>
            <wp:docPr id="2" name="05_price_structure.png" descr="05_price_structure.png" title="05_price_stru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/>
      </w:pPr>
    </w:p>
    <w:p>
      <w:pPr>
        <w:pBdr>
          <w:bottom w:val="single" w:color="1D3557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D3557"/>
          <w:sz w:val="23"/>
          <w:szCs w:val="23"/>
        </w:rPr>
        <w:t xml:space="preserve">Recommandations chiffrées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500"/>
        <w:gridCol w:w="4406"/>
      </w:tblGrid>
      <w:tr>
        <w:trPr>
          <w:tblHeader/>
        </w:trPr>
        <w:tc>
          <w:tcPr>
            <w:tcW w:type="dxa" w:w="3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1D3557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1D3557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Gain estimé</w:t>
            </w:r>
          </w:p>
        </w:tc>
        <w:tc>
          <w:tcPr>
            <w:tcW w:type="dxa" w:w="440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shd w:fill="1D3557" w:color="auto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Hypothèses et limites</w:t>
            </w:r>
          </w:p>
        </w:tc>
      </w:tr>
      <w:tr>
        <w:tc>
          <w:tcPr>
            <w:tcW w:type="dxa" w:w="3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Relever le prix net des 71 lignes (référence, canal) vendues à perte, en priorité vélos Touring et Route chez les revendeurs (93 % de la perte).</w:t>
            </w:r>
          </w:p>
        </w:tc>
        <w:tc>
          <w:tcPr>
            <w:tcW w:type="dxa" w:w="2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+5 % de prix : +1,19 M$/an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+10 % de prix : +2,37 M$/an</w:t>
            </w:r>
          </w:p>
        </w:tc>
        <w:tc>
          <w:tcPr>
            <w:tcW w:type="dxa" w:w="440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Volumes constants. Reste positif pour toute élasticité de 0 à −3 (perdre une vente déficitaire réduit la perte). Avec 80 % seulement du coût évitable et ε = −3, +5 % donne encore +0,55 M$.</w:t>
            </w:r>
          </w:p>
        </w:tc>
      </w:tr>
      <w:tr>
        <w:tc>
          <w:tcPr>
            <w:tcW w:type="dxa" w:w="3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Interdire toute remise sur une ligne dont la marge avant remise est négative ; réexaminer les promotions de lancement Touring.</w:t>
            </w:r>
          </w:p>
        </w:tc>
        <w:tc>
          <w:tcPr>
            <w:tcW w:type="dxa" w:w="2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≥ +0,30 M$/an</w:t>
            </w:r>
          </w:p>
        </w:tc>
        <w:tc>
          <w:tcPr>
            <w:tcW w:type="dxa" w:w="440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296 912 $ de remises sur 1 372 lignes. Borne basse : aucune perte de volume supposée. Recoupe la reco. 1 (mêmes lignes).</w:t>
            </w:r>
          </w:p>
        </w:tc>
      </w:tr>
      <w:tr>
        <w:tc>
          <w:tcPr>
            <w:tcW w:type="dxa" w:w="3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Indexer le prix revendeur sur le coût standard (clause de révision périodique).</w:t>
            </w:r>
          </w:p>
        </w:tc>
        <w:tc>
          <w:tcPr>
            <w:tcW w:type="dxa" w:w="2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Jusqu'à +0,44 M$/an</w:t>
            </w:r>
          </w:p>
        </w:tc>
        <w:tc>
          <w:tcPr>
            <w:tcW w:type="dxa" w:w="440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Écart prix − coût observé sur P1 (1,2 % du CA revendeurs) : c'est ce que l'indexation aurait évité. Coûts unitaires jusqu'à +17,7 % (Road-250 Black, 44). Recoupe la reco. 1.</w:t>
            </w:r>
          </w:p>
        </w:tc>
      </w:tr>
      <w:tr>
        <w:tc>
          <w:tcPr>
            <w:tcW w:type="dxa" w:w="33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Prioriser la croissance Internet (41 % de marge brute).</w:t>
            </w:r>
          </w:p>
        </w:tc>
        <w:tc>
          <w:tcPr>
            <w:tcW w:type="dxa" w:w="2500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+10 % de CA : +0,63 M$</w:t>
            </w:r>
          </w:p>
        </w:tc>
        <w:tc>
          <w:tcPr>
            <w:tcW w:type="dxa" w:w="4406"/>
            <w:tcBorders>
              <w:top w:val="single" w:color="D5DBE5" w:sz="4"/>
              <w:left w:val="single" w:color="D5DBE5" w:sz="4"/>
              <w:bottom w:val="single" w:color="D5DBE5" w:sz="4"/>
              <w:right w:val="single" w:color="D5DBE5" w:sz="4"/>
            </w:tcBorders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Avant coûts d'acquisition, logistique et retours, absents des données : à valider avec le contrôle de gestion avant de réallouer un budget. Indépendante des recos 1 à 3.</w:t>
            </w:r>
          </w:p>
        </w:tc>
      </w:tr>
    </w:tbl>
    <w:p>
      <w:pPr>
        <w:spacing w:after="90" w:before="50"/>
      </w:pPr>
      <w:r>
        <w:rPr>
          <w:rFonts w:ascii="Calibri" w:cs="Calibri" w:eastAsia="Calibri" w:hAnsi="Calibri"/>
          <w:i/>
          <w:iCs/>
          <w:color w:val="5B6675"/>
          <w:sz w:val="17"/>
          <w:szCs w:val="17"/>
        </w:rPr>
        <w:t xml:space="preserve">Les recommandations 1, 2 et 3 agissent sur les mêmes lignes déficitaires : leurs gains ne s'additionnent pas.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single" w:color="C1121F" w:sz="24"/>
              <w:bottom w:val="none" w:color="FFFFFF" w:sz="0"/>
              <w:right w:val="none" w:color="FFFFFF" w:sz="0"/>
            </w:tcBorders>
            <w:shd w:fill="F3F5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5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Garde-fou : ne pas arrêter les ventes à perte sans avoir mesuré le coût évitable.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Cesser ces ventes ne devient rentable que si au moins 91,9 % du coût standard disparaît avec le volume ; à 80 %, on détruirait 3,08 M$ de marge de contribution. Relever le prix est la voie robuste.</w:t>
            </w:r>
          </w:p>
        </w:tc>
      </w:tr>
    </w:tbl>
    <w:p>
      <w:pPr>
        <w:pBdr>
          <w:bottom w:val="single" w:color="1D3557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D3557"/>
          <w:sz w:val="23"/>
          <w:szCs w:val="23"/>
        </w:rPr>
        <w:t xml:space="preserve">Concentration de la marge</w:t>
      </w:r>
    </w:p>
    <w:p>
      <w:pPr>
        <w:spacing w:after="70" w:line="250"/>
      </w:pPr>
      <w:r>
        <w:rPr>
          <w:rFonts w:ascii="Calibri" w:cs="Calibri" w:eastAsia="Calibri" w:hAnsi="Calibri"/>
          <w:sz w:val="19"/>
          <w:szCs w:val="19"/>
        </w:rPr>
        <w:t xml:space="preserve">34 références sur 198 (17 %, classe A) produisent 80 % de la marge positive ; les 39 références de classe D (20 %) la réduisent de 0,57 M$, un chiffre qui sous-estime le problème car il compense les canaux entre eux.</w:t>
      </w:r>
    </w:p>
    <w:p>
      <w:pPr>
        <w:spacing w:after="40"/>
        <w:jc w:val="center"/>
      </w:pPr>
      <w:r>
        <w:drawing>
          <wp:inline distT="0" distB="0" distL="0" distR="0">
            <wp:extent cx="4476750" cy="2095500"/>
            <wp:effectExtent t="0" r="0" b="0" l="0"/>
            <wp:docPr id="3" name="07_pareto_sku.png" descr="07_pareto_sku.png" title="07_pareto_sk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D3557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1D3557"/>
          <w:sz w:val="23"/>
          <w:szCs w:val="23"/>
        </w:rPr>
        <w:t xml:space="preserve">Limites de l'analyse</w:t>
      </w:r>
    </w:p>
    <w:p>
      <w:pPr>
        <w:pStyle w:val="ListParagraph"/>
        <w:numPr>
          <w:ilvl w:val="0"/>
          <w:numId w:val="2"/>
        </w:numPr>
        <w:spacing w:after="50" w:line="2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Marge brute au coût standard. </w:t>
      </w:r>
      <w:r>
        <w:rPr>
          <w:rFonts w:ascii="Calibri" w:cs="Calibri" w:eastAsia="Calibri" w:hAnsi="Calibri"/>
          <w:sz w:val="19"/>
          <w:szCs w:val="19"/>
        </w:rPr>
        <w:t xml:space="preserve">Le coût standard inclut des frais généraux affectés ; ce n'est pas une marge de contribution. Ni acquisition client, ni logistique, ni retours ne sont dans les données.</w:t>
      </w:r>
    </w:p>
    <w:p>
      <w:pPr>
        <w:pStyle w:val="ListParagraph"/>
        <w:numPr>
          <w:ilvl w:val="0"/>
          <w:numId w:val="2"/>
        </w:numPr>
        <w:spacing w:after="50" w:line="2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Données de démonstration. </w:t>
      </w:r>
      <w:r>
        <w:rPr>
          <w:rFonts w:ascii="Calibri" w:cs="Calibri" w:eastAsia="Calibri" w:hAnsi="Calibri"/>
          <w:sz w:val="19"/>
          <w:szCs w:val="19"/>
        </w:rPr>
        <w:t xml:space="preserve">Un canal à 71 % des ventes et à marge négative est atypique d'une entreprise réelle : il reflète la construction du jeu (prix revendeur = 58 % du prix Internet, coûts standard proches de ce prix). Sur un cas réel, valider d'abord l'affectation des coûts avec le contrôle de gestion.</w:t>
      </w:r>
    </w:p>
    <w:p>
      <w:pPr>
        <w:pStyle w:val="ListParagraph"/>
        <w:numPr>
          <w:ilvl w:val="0"/>
          <w:numId w:val="2"/>
        </w:numPr>
        <w:spacing w:after="50" w:line="2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Scénarios, pas prévisions. </w:t>
      </w:r>
      <w:r>
        <w:rPr>
          <w:rFonts w:ascii="Calibri" w:cs="Calibri" w:eastAsia="Calibri" w:hAnsi="Calibri"/>
          <w:sz w:val="19"/>
          <w:szCs w:val="19"/>
        </w:rPr>
        <w:t xml:space="preserve">L'élasticité n'est pas estimable ici (prix presque fixes, remises pilotées par des règles de volume) : les simulations exposent les hypothèses et les bornes.</w:t>
      </w:r>
    </w:p>
    <w:p>
      <w:pPr>
        <w:pStyle w:val="ListParagraph"/>
        <w:numPr>
          <w:ilvl w:val="0"/>
          <w:numId w:val="2"/>
        </w:numPr>
        <w:spacing w:after="50" w:line="24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Périodes. </w:t>
      </w:r>
      <w:r>
        <w:rPr>
          <w:rFonts w:ascii="Calibri" w:cs="Calibri" w:eastAsia="Calibri" w:hAnsi="Calibri"/>
          <w:sz w:val="19"/>
          <w:szCs w:val="19"/>
        </w:rPr>
        <w:t xml:space="preserve">Deux fenêtres de 12 mois (déc. → nov.) alignées sur la dernière date des ventes revendeurs (29/11/2013) ; le pont raisonne par (référence, canal) car les références changent de version à chaque révision de prix ou de coût.</w:t>
      </w:r>
    </w:p>
    <w:sectPr>
      <w:footerReference w:type="default" r:id="rId6"/>
      <w:pgSz w:w="11906" w:h="16838" w:orient="portrait"/>
      <w:pgMar w:top="760" w:right="850" w:bottom="76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675"/>
        <w:sz w:val="15"/>
        <w:szCs w:val="15"/>
      </w:rPr>
      <w:t xml:space="preserve">Données : AdventureWorksDW (Microsoft, licence MIT) · page </w:t>
    </w:r>
    <w:r>
      <w:rPr>
        <w:rFonts w:ascii="Calibri" w:cs="Calibri" w:eastAsia="Calibri" w:hAnsi="Calibri"/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fc781da90e2a0f6c729385d227f0d34714bbfb0e.png"/><Relationship Id="rId9" Type="http://schemas.openxmlformats.org/officeDocument/2006/relationships/image" Target="media/28897710081142c17ea59b9b2fc206cbeb112256.png"/><Relationship Id="rId10" Type="http://schemas.openxmlformats.org/officeDocument/2006/relationships/image" Target="media/d50a640113388b1a96901dca5be44d91aeeee96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Rentabilité et marge — note de synthèse</dc:title>
  <dc:creator>Analyse de rentabilité</dc:creator>
  <cp:lastModifiedBy>Un-named</cp:lastModifiedBy>
  <cp:revision>1</cp:revision>
  <dcterms:created xsi:type="dcterms:W3CDTF">2026-09-29T22:28:08.671Z</dcterms:created>
  <dcterms:modified xsi:type="dcterms:W3CDTF">2026-09-29T22:28:08.674Z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