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eader-n0"/>
    <w:p>
      <w:pPr>
        <w:pStyle w:val="Heading2"/>
      </w:pPr>
      <w:r>
        <w:t xml:space="preserve">大数据分析实验报告——数据降维</w:t>
      </w:r>
    </w:p>
    <w:bookmarkStart w:id="20" w:name="header-n2"/>
    <w:p>
      <w:pPr>
        <w:pStyle w:val="Heading3"/>
      </w:pPr>
      <w:r>
        <w:t xml:space="preserve">苏致成 201250104</w:t>
      </w:r>
    </w:p>
    <w:p>
      <w:pPr>
        <w:pStyle w:val="FirstParagraph"/>
      </w:pPr>
    </w:p>
    <w:bookmarkEnd w:id="20"/>
    <w:bookmarkStart w:id="21" w:name="header-n4"/>
    <w:p>
      <w:pPr>
        <w:pStyle w:val="Heading3"/>
      </w:pPr>
      <w:r>
        <w:t xml:space="preserve">注明：</w:t>
      </w:r>
    </w:p>
    <w:p>
      <w:pPr>
        <w:pStyle w:val="FirstParagraph"/>
      </w:pPr>
      <w:r>
        <w:t xml:space="preserve">本文档采用markdown书写，因此，转为word部分公式可能出现显示异常等问题。</w:t>
      </w:r>
    </w:p>
    <w:p>
      <w:pPr>
        <w:pStyle w:val="BodyText"/>
      </w:pPr>
    </w:p>
    <w:bookmarkEnd w:id="21"/>
    <w:bookmarkStart w:id="23" w:name="header-n7"/>
    <w:p>
      <w:pPr>
        <w:pStyle w:val="Heading3"/>
      </w:pPr>
      <w:r>
        <w:t xml:space="preserve">使用方法</w:t>
      </w:r>
    </w:p>
    <w:p>
      <w:pPr>
        <w:pStyle w:val="FirstParagraph"/>
      </w:pPr>
      <w:r>
        <w:t xml:space="preserve">PCA（主成分分析法），主要思想是将n维特征映射到k维上，生成的k维的正交特征被称为主成分。</w:t>
      </w:r>
    </w:p>
    <w:p>
      <w:pPr>
        <w:pStyle w:val="BodyText"/>
      </w:pPr>
      <w:r>
        <w:t xml:space="preserve">数据集为</w:t>
      </w:r>
      <w:r>
        <w:t xml:space="preserve"> </w:t>
      </w:r>
      <m:oMath>
        <m:r>
          <m:t>t</m:t>
        </m:r>
        <m:r>
          <m:t>i</m:t>
        </m:r>
        <m:r>
          <m:t>t</m:t>
        </m:r>
        <m:r>
          <m:t>a</m:t>
        </m:r>
        <m:r>
          <m:t>n</m:t>
        </m:r>
        <m:r>
          <m:t>i</m:t>
        </m:r>
        <m:r>
          <m:t>c</m:t>
        </m:r>
        <m:r>
          <m:t>.</m:t>
        </m:r>
        <m:r>
          <m:t>a</m:t>
        </m:r>
        <m:r>
          <m:t>r</m:t>
        </m:r>
        <m:r>
          <m:t>f</m:t>
        </m:r>
        <m:r>
          <m:t>f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注：本例数据集</w:t>
      </w:r>
      <w:r>
        <w:t xml:space="preserve"> </w:t>
      </w:r>
      <m:oMath>
        <m:r>
          <m:t>t</m:t>
        </m:r>
        <m:r>
          <m:t>i</m:t>
        </m:r>
        <m:r>
          <m:t>t</m:t>
        </m:r>
        <m:r>
          <m:t>a</m:t>
        </m:r>
        <m:r>
          <m:t>n</m:t>
        </m:r>
        <m:r>
          <m:t>i</m:t>
        </m:r>
        <m:r>
          <m:t>c</m:t>
        </m:r>
        <m:r>
          <m:t>.</m:t>
        </m:r>
        <m:r>
          <m:t>a</m:t>
        </m:r>
        <m:r>
          <m:t>r</m:t>
        </m:r>
        <m:r>
          <m:t>f</m:t>
        </m:r>
        <m:r>
          <m:t>f</m:t>
        </m:r>
      </m:oMath>
      <w:r>
        <w:t xml:space="preserve"> </w:t>
      </w:r>
      <w:r>
        <w:t xml:space="preserve">中，因为分类变量较多，应使用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P</m:t>
        </m:r>
        <m:r>
          <m:t>C</m:t>
        </m:r>
        <m:r>
          <m:t>A</m:t>
        </m:r>
      </m:oMath>
      <w:r>
        <w:t xml:space="preserve"> </w:t>
      </w:r>
      <w:r>
        <w:t xml:space="preserve">等工具更为合适，但是因为无法在</w:t>
      </w:r>
      <w:r>
        <w:t xml:space="preserve"> </w:t>
      </w:r>
      <m:oMath>
        <m:r>
          <m:t>w</m:t>
        </m:r>
        <m:r>
          <m:t>e</m:t>
        </m:r>
        <m:r>
          <m:t>k</m:t>
        </m:r>
        <m:r>
          <m:t>a</m:t>
        </m:r>
      </m:oMath>
      <w:r>
        <w:t xml:space="preserve"> </w:t>
      </w:r>
      <w:r>
        <w:t xml:space="preserve">中找到对应的工具包，因此此处仍使用经典的</w:t>
      </w:r>
      <w:r>
        <w:t xml:space="preserve"> </w:t>
      </w:r>
      <m:oMath>
        <m:r>
          <m:t>P</m:t>
        </m:r>
        <m:r>
          <m:t>C</m:t>
        </m:r>
        <m:r>
          <m:t>A</m:t>
        </m:r>
      </m:oMath>
      <w:r>
        <w:t xml:space="preserve"> </w:t>
      </w:r>
      <w:r>
        <w:t xml:space="preserve">。</w:t>
      </w:r>
    </w:p>
    <w:p>
      <w:pPr>
        <w:pStyle w:val="BodyText"/>
      </w:pPr>
    </w:p>
    <w:bookmarkStart w:id="22" w:name="header-n13"/>
    <w:p>
      <w:pPr>
        <w:pStyle w:val="Heading4"/>
      </w:pPr>
      <w:r>
        <w:t xml:space="preserve">算法流程</w:t>
      </w:r>
    </w:p>
    <w:p>
      <w:pPr>
        <w:numPr>
          <w:ilvl w:val="0"/>
          <w:numId w:val="1001"/>
        </w:numPr>
      </w:pPr>
      <w:r>
        <w:t xml:space="preserve">输入数据集</w:t>
      </w:r>
      <m:oMath>
        <m:r>
          <m:t>X</m:t>
        </m:r>
        <m:r>
          <m:t>=</m:t>
        </m:r>
        <m: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}</m:t>
        </m:r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去中心化，将每一特征减去各自的均值。</w:t>
      </w:r>
    </w:p>
    <w:p>
      <w:pPr>
        <w:numPr>
          <w:ilvl w:val="0"/>
          <w:numId w:val="1001"/>
        </w:numPr>
      </w:pPr>
      <w:r>
        <w:t xml:space="preserve">计算协方差矩阵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求出上述协方差矩阵的特征值和特征向量。</w:t>
      </w:r>
    </w:p>
    <w:p>
      <w:pPr>
        <w:numPr>
          <w:ilvl w:val="0"/>
          <w:numId w:val="1001"/>
        </w:numPr>
      </w:pPr>
      <w:r>
        <w:t xml:space="preserve">对特征值从大到小进行排序，选取最大的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个特征值。将其对应的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个特征向量作为行向量组成特征向量矩阵</w:t>
      </w:r>
      <w:r>
        <w:t xml:space="preserve"> </w:t>
      </w:r>
      <m:oMath>
        <m:r>
          <m:t>P</m:t>
        </m:r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利用上述矩阵</w:t>
      </w:r>
      <w:r>
        <w:t xml:space="preserve"> </w:t>
      </w:r>
      <m:oMath>
        <m:r>
          <m:t>P</m:t>
        </m:r>
      </m:oMath>
      <w:r>
        <w:t xml:space="preserve">,计算出降维后的向量表示，即</w:t>
      </w:r>
      <w:r>
        <w:t xml:space="preserve"> </w:t>
      </w:r>
      <m:oMath>
        <m:r>
          <m:t>Y</m:t>
        </m:r>
        <m:r>
          <m:t>=</m:t>
        </m:r>
        <m:r>
          <m:t>P</m:t>
        </m:r>
        <m:r>
          <m:t>X</m:t>
        </m:r>
      </m:oMath>
      <w:r>
        <w:t xml:space="preserve">。</w:t>
      </w:r>
    </w:p>
    <w:p>
      <w:pPr>
        <w:pStyle w:val="FirstParagraph"/>
      </w:pPr>
    </w:p>
    <w:p>
      <w:pPr>
        <w:pStyle w:val="BodyText"/>
      </w:pPr>
      <w:r>
        <w:t xml:space="preserve"> </w:t>
      </w:r>
    </w:p>
    <w:bookmarkEnd w:id="22"/>
    <w:bookmarkEnd w:id="23"/>
    <w:bookmarkStart w:id="24" w:name="header-n29"/>
    <w:p>
      <w:pPr>
        <w:pStyle w:val="Heading3"/>
      </w:pPr>
      <w:r>
        <w:t xml:space="preserve">数据集处理思路</w:t>
      </w:r>
    </w:p>
    <w:p>
      <w:pPr>
        <w:numPr>
          <w:ilvl w:val="0"/>
          <w:numId w:val="1002"/>
        </w:numPr>
      </w:pPr>
      <w:r>
        <w:t xml:space="preserve">导入</w:t>
      </w:r>
      <w:r>
        <w:t xml:space="preserve"> </w:t>
      </w:r>
      <m:oMath>
        <m:r>
          <m:t>t</m:t>
        </m:r>
        <m:r>
          <m:t>i</m:t>
        </m:r>
        <m:r>
          <m:t>t</m:t>
        </m:r>
        <m:r>
          <m:t>a</m:t>
        </m:r>
        <m:r>
          <m:t>n</m:t>
        </m:r>
        <m:r>
          <m:t>i</m:t>
        </m:r>
        <m:r>
          <m:t>c</m:t>
        </m:r>
        <m:r>
          <m:t>.</m:t>
        </m:r>
        <m:r>
          <m:t>a</m:t>
        </m:r>
        <m:r>
          <m:t>r</m:t>
        </m:r>
        <m:r>
          <m:t>f</m:t>
        </m:r>
        <m:r>
          <m:t>f</m:t>
        </m:r>
      </m:oMath>
      <w:r>
        <w:t xml:space="preserve"> </w:t>
      </w:r>
      <w:r>
        <w:t xml:space="preserve">数据集。</w:t>
      </w:r>
    </w:p>
    <w:p>
      <w:pPr>
        <w:numPr>
          <w:ilvl w:val="0"/>
          <w:numId w:val="1002"/>
        </w:numPr>
      </w:pPr>
      <w:r>
        <w:t xml:space="preserve">处理缺失值，打印输出可知实际上并无缺失值。规范化和标准化等过程在调用库中进行处理。</w:t>
      </w:r>
    </w:p>
    <w:p>
      <w:pPr>
        <w:numPr>
          <w:ilvl w:val="0"/>
          <w:numId w:val="1002"/>
        </w:numPr>
      </w:pPr>
      <w:r>
        <w:t xml:space="preserve">设置ClassIndex的数目，使得最后一列不作为降维的标准（最后一列为生存与否，与前三列属性意义不一致）。</w:t>
      </w:r>
    </w:p>
    <w:p>
      <w:pPr>
        <w:numPr>
          <w:ilvl w:val="0"/>
          <w:numId w:val="1002"/>
        </w:numPr>
      </w:pPr>
      <w:r>
        <w:t xml:space="preserve">利用</w:t>
      </w:r>
      <w:r>
        <w:t xml:space="preserve"> </w:t>
      </w:r>
      <m:oMath>
        <m:r>
          <m:t>R</m:t>
        </m:r>
        <m:r>
          <m:t>a</m:t>
        </m:r>
        <m:r>
          <m:t>n</m:t>
        </m:r>
        <m:r>
          <m:t>k</m:t>
        </m:r>
        <m:r>
          <m:t>e</m:t>
        </m:r>
        <m:r>
          <m:t>r</m:t>
        </m:r>
      </m:oMath>
      <w:r>
        <w:t xml:space="preserve"> </w:t>
      </w:r>
      <w:r>
        <w:t xml:space="preserve">类调用</w:t>
      </w:r>
      <w:r>
        <w:t xml:space="preserve"> </w:t>
      </w:r>
      <m:oMath>
        <m:r>
          <m:t>s</m:t>
        </m:r>
        <m:r>
          <m:t>e</m:t>
        </m:r>
        <m:r>
          <m:t>t</m:t>
        </m:r>
        <m:r>
          <m:t>N</m:t>
        </m:r>
        <m:r>
          <m:t>u</m:t>
        </m:r>
        <m:r>
          <m:t>m</m:t>
        </m:r>
        <m:r>
          <m:t>T</m:t>
        </m:r>
        <m:r>
          <m:t>o</m:t>
        </m:r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</m:oMath>
      <w:r>
        <w:t xml:space="preserve"> </w:t>
      </w:r>
      <w:r>
        <w:t xml:space="preserve">设置降维后选择的主成分为三维。</w:t>
      </w:r>
    </w:p>
    <w:p>
      <w:pPr>
        <w:numPr>
          <w:ilvl w:val="0"/>
          <w:numId w:val="1002"/>
        </w:numPr>
      </w:pPr>
      <w:r>
        <w:t xml:space="preserve">调用</w:t>
      </w:r>
      <m:oMath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</m:oMath>
      <w:r>
        <w:t xml:space="preserve"> </w:t>
      </w:r>
      <w:r>
        <w:t xml:space="preserve">将过滤标准导入。输出结果。</w:t>
      </w:r>
    </w:p>
    <w:p>
      <w:pPr>
        <w:pStyle w:val="FirstParagraph"/>
      </w:pPr>
      <w:r>
        <w:t xml:space="preserve">注：该库（</w:t>
      </w:r>
      <m:oMath>
        <m:r>
          <m:t>P</m:t>
        </m:r>
        <m:r>
          <m:t>r</m:t>
        </m:r>
        <m:r>
          <m:t>i</m:t>
        </m:r>
        <m:r>
          <m:t>n</m:t>
        </m:r>
        <m:r>
          <m:t>c</m:t>
        </m:r>
        <m:r>
          <m:t>i</m:t>
        </m:r>
        <m:r>
          <m:t>p</m:t>
        </m:r>
        <m:r>
          <m:t>a</m:t>
        </m:r>
        <m:r>
          <m:t>l</m:t>
        </m:r>
        <m:r>
          <m:t>C</m:t>
        </m:r>
        <m:r>
          <m:t>o</m:t>
        </m:r>
        <m:r>
          <m:t>m</m:t>
        </m:r>
        <m:r>
          <m:t>p</m:t>
        </m:r>
        <m:r>
          <m:t>o</m:t>
        </m:r>
        <m:r>
          <m:t>n</m:t>
        </m:r>
        <m:r>
          <m:t>e</m:t>
        </m:r>
        <m:r>
          <m:t>n</m:t>
        </m:r>
        <m:r>
          <m:t>t</m:t>
        </m:r>
        <m:r>
          <m:t>s</m:t>
        </m:r>
      </m:oMath>
      <w:r>
        <w:t xml:space="preserve">）已完成了去均值化等操作，故此处不予显式处理。</w:t>
      </w:r>
    </w:p>
    <w:p>
      <w:pPr>
        <w:pStyle w:val="BodyText"/>
      </w:pPr>
    </w:p>
    <w:bookmarkEnd w:id="24"/>
    <w:bookmarkStart w:id="28" w:name="header-n44"/>
    <w:p>
      <w:pPr>
        <w:pStyle w:val="Heading3"/>
      </w:pPr>
      <w:r>
        <w:t xml:space="preserve">实验结果</w:t>
      </w:r>
    </w:p>
    <w:p>
      <w:pPr>
        <w:pStyle w:val="FirstParagraph"/>
      </w:pPr>
    </w:p>
    <w:p>
      <w:pPr>
        <w:pStyle w:val="BodyText"/>
      </w:pPr>
      <w:r>
        <w:t xml:space="preserve">部分降维结果如下：</w:t>
      </w:r>
    </w:p>
    <w:p>
      <w:pPr>
        <w:pStyle w:val="CaptionedFigure"/>
      </w:pPr>
      <w:r>
        <w:drawing>
          <wp:inline>
            <wp:extent cx="5334000" cy="26648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043057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Correlation matrix：相关系数矩阵</w:t>
      </w:r>
    </w:p>
    <w:p>
      <w:pPr>
        <w:pStyle w:val="CaptionedFigure"/>
      </w:pPr>
      <w:r>
        <w:drawing>
          <wp:inline>
            <wp:extent cx="5334000" cy="2621625"/>
            <wp:effectExtent b="0" l="0" r="0" t="0"/>
            <wp:docPr descr="image-20221010103133361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03133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image-20221010103133361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Eigenvalue：特征值</w:t>
      </w:r>
    </w:p>
    <w:p>
      <w:pPr>
        <w:pStyle w:val="BodyText"/>
      </w:pPr>
      <w:r>
        <w:t xml:space="preserve">Proportion：方差贡献率</w:t>
      </w:r>
    </w:p>
    <w:p>
      <w:pPr>
        <w:pStyle w:val="BodyText"/>
      </w:pPr>
      <w:r>
        <w:t xml:space="preserve">Cumulative：累计方差贡献率</w:t>
      </w:r>
    </w:p>
    <w:p>
      <w:pPr>
        <w:pStyle w:val="BodyText"/>
      </w:pPr>
      <w:r>
        <w:t xml:space="preserve">Eigenvectors：特征向量</w:t>
      </w:r>
    </w:p>
    <w:p>
      <w:pPr>
        <w:pStyle w:val="CaptionedFigure"/>
      </w:pPr>
      <w:r>
        <w:drawing>
          <wp:inline>
            <wp:extent cx="5334000" cy="19451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03201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2022-10-10T06:06:16Z</dcterms:created>
  <dcterms:modified xsi:type="dcterms:W3CDTF">2022-10-10T06:06:16Z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