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default" w:ascii="Times New Roman Regular" w:hAnsi="Times New Roman Regular" w:eastAsia="Times New Roman" w:cs="Times New Roman Regular"/>
          <w:b/>
          <w:bCs/>
          <w:i w:val="0"/>
          <w:iCs w:val="0"/>
          <w:caps/>
          <w:color w:val="auto"/>
          <w:sz w:val="24"/>
          <w:szCs w:val="24"/>
          <w:lang w:val="en-US"/>
        </w:rPr>
      </w:pPr>
      <w:r>
        <w:rPr>
          <w:rFonts w:hint="default" w:ascii="Times New Roman Regular" w:hAnsi="Times New Roman Regular" w:eastAsia="Times New Roman" w:cs="Times New Roman Regular"/>
          <w:b/>
          <w:bCs/>
          <w:i w:val="0"/>
          <w:iCs w:val="0"/>
          <w:caps/>
          <w:color w:val="auto"/>
          <w:sz w:val="24"/>
          <w:szCs w:val="24"/>
          <w:lang w:val="en-US"/>
        </w:rPr>
        <w:t xml:space="preserve">Predicting Parkinson’s Disease with Voice Signals using </w:t>
      </w:r>
    </w:p>
    <w:p>
      <w:pPr>
        <w:spacing w:line="240" w:lineRule="auto"/>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b/>
          <w:bCs/>
          <w:i w:val="0"/>
          <w:iCs w:val="0"/>
          <w:caps/>
          <w:color w:val="auto"/>
          <w:sz w:val="24"/>
          <w:szCs w:val="24"/>
          <w:lang w:val="en-US"/>
        </w:rPr>
        <w:t>Machine Learning Algorithms</w:t>
      </w:r>
      <w:r>
        <w:rPr>
          <w:rFonts w:hint="default" w:ascii="Times New Roman Regular" w:hAnsi="Times New Roman Regular" w:eastAsia="Times New Roman" w:cs="Times New Roman Regular"/>
          <w:color w:val="auto"/>
          <w:sz w:val="24"/>
          <w:szCs w:val="24"/>
          <w:lang w:val="en-US"/>
        </w:rPr>
        <w:t xml:space="preserve"> </w:t>
      </w:r>
    </w:p>
    <w:p>
      <w:pPr>
        <w:spacing w:line="240" w:lineRule="auto"/>
        <w:rPr>
          <w:rFonts w:hint="default" w:ascii="Times New Roman Regular" w:hAnsi="Times New Roman Regular" w:eastAsia="Times New Roman" w:cs="Times New Roman Regular"/>
          <w:color w:val="auto"/>
          <w:sz w:val="24"/>
          <w:szCs w:val="24"/>
          <w:lang w:val="en-US"/>
        </w:rPr>
      </w:pPr>
    </w:p>
    <w:p>
      <w:pPr>
        <w:spacing w:line="240" w:lineRule="auto"/>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Quiera Booker, MPH PhD candidate</w:t>
      </w:r>
    </w:p>
    <w:p>
      <w:pPr>
        <w:spacing w:line="240" w:lineRule="auto"/>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Iman Egab, MPH, PhD candidate</w:t>
      </w:r>
    </w:p>
    <w:p>
      <w:pPr>
        <w:spacing w:line="240" w:lineRule="auto"/>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 xml:space="preserve">Zhuoyun Li, MPH, PhD candidate </w:t>
      </w:r>
    </w:p>
    <w:p>
      <w:pPr>
        <w:spacing w:line="240" w:lineRule="auto"/>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Samuel Tundealao, BDS, MPH Student</w:t>
      </w:r>
    </w:p>
    <w:p>
      <w:pPr>
        <w:spacing w:line="240" w:lineRule="auto"/>
        <w:jc w:val="center"/>
        <w:rPr>
          <w:rFonts w:hint="default" w:ascii="Times New Roman Regular" w:hAnsi="Times New Roman Regular" w:eastAsia="Times New Roman" w:cs="Times New Roman Regular"/>
          <w:color w:val="auto"/>
          <w:sz w:val="24"/>
          <w:szCs w:val="24"/>
          <w:lang w:val="en-US"/>
        </w:rPr>
      </w:pPr>
    </w:p>
    <w:p>
      <w:pPr>
        <w:spacing w:line="240" w:lineRule="auto"/>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 xml:space="preserve"> </w:t>
      </w:r>
    </w:p>
    <w:p>
      <w:pPr>
        <w:spacing w:line="240" w:lineRule="auto"/>
        <w:rPr>
          <w:rFonts w:hint="default" w:ascii="Times New Roman Regular" w:hAnsi="Times New Roman Regular" w:eastAsia="Times New Roman" w:cs="Times New Roman Regular"/>
          <w:color w:val="auto"/>
          <w:sz w:val="24"/>
          <w:szCs w:val="24"/>
          <w:lang w:val="en-US"/>
        </w:rPr>
      </w:pPr>
    </w:p>
    <w:p>
      <w:pPr>
        <w:bidi w:val="0"/>
        <w:spacing w:before="0" w:beforeAutospacing="0" w:after="160" w:afterAutospacing="0" w:line="259" w:lineRule="auto"/>
        <w:ind w:left="0" w:right="0"/>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PH1976 – Fundamental of Data Analytics and Predictions</w:t>
      </w:r>
    </w:p>
    <w:p>
      <w:pPr>
        <w:spacing w:line="240" w:lineRule="auto"/>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Final Project Report</w:t>
      </w:r>
    </w:p>
    <w:p>
      <w:pPr>
        <w:spacing w:line="240" w:lineRule="auto"/>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 xml:space="preserve">Dr. Luo Xi </w:t>
      </w:r>
    </w:p>
    <w:p>
      <w:pPr>
        <w:spacing w:line="240" w:lineRule="auto"/>
        <w:jc w:val="center"/>
        <w:rPr>
          <w:rFonts w:hint="default" w:ascii="Times New Roman Regular" w:hAnsi="Times New Roman Regular" w:eastAsia="Times New Roman" w:cs="Times New Roman Regular"/>
          <w:color w:val="auto"/>
          <w:sz w:val="24"/>
          <w:szCs w:val="24"/>
          <w:lang w:val="en-US"/>
        </w:rPr>
      </w:pPr>
      <w:r>
        <w:rPr>
          <w:rFonts w:hint="default" w:ascii="Times New Roman Regular" w:hAnsi="Times New Roman Regular" w:eastAsia="Times New Roman" w:cs="Times New Roman Regular"/>
          <w:color w:val="auto"/>
          <w:sz w:val="24"/>
          <w:szCs w:val="24"/>
          <w:lang w:val="en-US"/>
        </w:rPr>
        <w:t>Spring 2023</w:t>
      </w:r>
    </w:p>
    <w:p>
      <w:pPr>
        <w:spacing w:line="240" w:lineRule="auto"/>
        <w:jc w:val="center"/>
        <w:rPr>
          <w:rFonts w:hint="default" w:ascii="Times New Roman Regular" w:hAnsi="Times New Roman Regular" w:eastAsia="Times New Roman" w:cs="Times New Roman Regular"/>
          <w:color w:val="111111"/>
          <w:sz w:val="24"/>
          <w:szCs w:val="24"/>
          <w:lang w:val="en-US"/>
        </w:rPr>
      </w:pPr>
      <w:r>
        <w:rPr>
          <w:rFonts w:hint="default" w:ascii="Times New Roman Regular" w:hAnsi="Times New Roman Regular" w:eastAsia="Times New Roman" w:cs="Times New Roman Regular"/>
          <w:color w:val="111111"/>
          <w:sz w:val="24"/>
          <w:szCs w:val="24"/>
          <w:lang w:val="en-US"/>
        </w:rPr>
        <w:t xml:space="preserve"> </w:t>
      </w:r>
    </w:p>
    <w:p>
      <w:pPr>
        <w:spacing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br w:type="page"/>
      </w:r>
    </w:p>
    <w:p>
      <w:pPr>
        <w:spacing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Introduction</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Parkinson's disease (PD) is a progressive neurodegenerative disorder that affects motor skills such as movement, balance, and coordination.</w:t>
      </w:r>
      <w:sdt>
        <w:sdt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alias w:val="Citation"/>
          <w:tag w:val="{&quot;referencesIds&quot;:[&quot;doc:6431feb1cc24ea054fc3286a&quot;],&quot;referencesOptions&quot;:{&quot;doc:6431feb1cc24ea054fc3286a&quot;:{&quot;author&quot;:true,&quot;year&quot;:true,&quot;pageReplace&quot;:&quot;&quot;,&quot;prefix&quot;:&quot;&quot;,&quot;suffix&quot;:&quot;&quot;}},&quot;hasBrokenReferences&quot;:false,&quot;hasManualEdits&quot;:false,&quot;citationType&quot;:&quot;inline&quot;,&quot;id&quot;:-1715812103,&quot;citationText&quot;:&quot;&lt;span style=\&quot;font-family:Calibri;font-size:16px;color:#000000\&quot;&gt;&lt;sup&gt;1&lt;/sup&gt;&lt;/span&gt;&quot;}"/>
          <w:id w:val="155246786"/>
          <w:placeholder>
            <w:docPart w:val="6E8EA70C7910474684E42DC13DB99203"/>
          </w:placeholder>
        </w:sdtPr>
        <w:sdtEnd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sdtEndPr>
        <w:sdtContent>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1</w:t>
          </w:r>
        </w:sdtContent>
      </w:sdt>
      <w:r>
        <w:rPr>
          <w:rFonts w:hint="default" w:ascii="Times New Roman Regular" w:hAnsi="Times New Roman Regular" w:eastAsia="Times New Roman" w:cs="Times New Roman Regular"/>
          <w:sz w:val="24"/>
          <w:szCs w:val="24"/>
        </w:rPr>
        <w:t xml:space="preserve"> It is the second most common neurological disease in the US, affecting an estimated 1% of the population aged 60 years and older.</w:t>
      </w:r>
      <w:sdt>
        <w:sdt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alias w:val="Citation"/>
          <w:tag w:val="{&quot;referencesIds&quot;:[&quot;doc:6431feb1cc24ea054fc3286a&quot;],&quot;referencesOptions&quot;:{&quot;doc:6431feb1cc24ea054fc3286a&quot;:{&quot;author&quot;:true,&quot;year&quot;:true,&quot;pageReplace&quot;:&quot;&quot;,&quot;prefix&quot;:&quot;&quot;,&quot;suffix&quot;:&quot;&quot;}},&quot;hasBrokenReferences&quot;:false,&quot;hasManualEdits&quot;:false,&quot;citationType&quot;:&quot;inline&quot;,&quot;id&quot;:2040161466,&quot;citationText&quot;:&quot;&lt;span style=\&quot;font-family:Calibri;font-size:16px;color:#000000\&quot;&gt;&lt;sup&gt;1&lt;/sup&gt;&lt;/span&gt;&quot;}"/>
          <w:id w:val="2062545248"/>
          <w:placeholder>
            <w:docPart w:val="3A6B2C502717034FAA90ABD834EF1273"/>
          </w:placeholder>
        </w:sdtPr>
        <w:sdtEnd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sdtEndPr>
        <w:sdtContent>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1</w:t>
          </w:r>
        </w:sdtContent>
      </w:sdt>
      <w:r>
        <w:rPr>
          <w:rFonts w:hint="default" w:ascii="Times New Roman Regular" w:hAnsi="Times New Roman Regular" w:eastAsia="Times New Roman" w:cs="Times New Roman Regular"/>
          <w:sz w:val="24"/>
          <w:szCs w:val="24"/>
        </w:rPr>
        <w:t xml:space="preserve"> While the risk of PD increases with age, it can also occur in adults before the age of 50 years, accounting for approximately 5-10% of PD cases.</w:t>
      </w:r>
      <w:sdt>
        <w:sdt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alias w:val="Citation"/>
          <w:tag w:val="{&quot;referencesIds&quot;:[&quot;doc:6431feb1cc24ea054fc3286a&quot;],&quot;referencesOptions&quot;:{&quot;doc:6431feb1cc24ea054fc3286a&quot;:{&quot;author&quot;:true,&quot;year&quot;:true,&quot;pageReplace&quot;:&quot;&quot;,&quot;prefix&quot;:&quot;&quot;,&quot;suffix&quot;:&quot;&quot;}},&quot;hasBrokenReferences&quot;:false,&quot;hasManualEdits&quot;:false,&quot;citationType&quot;:&quot;inline&quot;,&quot;id&quot;:492849851,&quot;citationText&quot;:&quot;&lt;span style=\&quot;font-family:Calibri;font-size:16px;color:#000000\&quot;&gt;&lt;sup&gt;1&lt;/sup&gt;&lt;/span&gt;&quot;}"/>
          <w:id w:val="1747379600"/>
          <w:placeholder>
            <w:docPart w:val="4DDA7264FF343E45AE6F5A80FD531E59"/>
          </w:placeholder>
        </w:sdtPr>
        <w:sdtEnd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sdtEndPr>
        <w:sdtContent>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1</w:t>
          </w:r>
        </w:sdtContent>
      </w:sdt>
      <w:r>
        <w:rPr>
          <w:rFonts w:hint="default" w:ascii="Times New Roman Regular" w:hAnsi="Times New Roman Regular" w:eastAsia="Times New Roman" w:cs="Times New Roman Regular"/>
          <w:sz w:val="24"/>
          <w:szCs w:val="24"/>
        </w:rPr>
        <w:t xml:space="preserve"> In addition to motor skill deterioration, up to 90% of patients with PD present with voice changes, such as soft, monotone, or slurred speech, and 47% have moderate to severe voice changes.</w:t>
      </w:r>
      <w:sdt>
        <w:sdt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alias w:val="Citation"/>
          <w:tag w:val="{&quot;referencesIds&quot;:[&quot;doc:6431feb1cc24ea054fc3286a&quot;,&quot;doc:6431feacf1c1c9054f367ef3&quot;],&quot;referencesOptions&quot;:{&quot;doc:6431feb1cc24ea054fc3286a&quot;:{&quot;author&quot;:true,&quot;year&quot;:true,&quot;pageReplace&quot;:&quot;&quot;,&quot;prefix&quot;:&quot;&quot;,&quot;suffix&quot;:&quot;&quot;},&quot;doc:6431feacf1c1c9054f367ef3&quot;:{&quot;author&quot;:true,&quot;year&quot;:true,&quot;pageReplace&quot;:&quot;&quot;,&quot;prefix&quot;:&quot;&quot;,&quot;suffix&quot;:&quot;&quot;}},&quot;hasBrokenReferences&quot;:false,&quot;hasManualEdits&quot;:false,&quot;citationType&quot;:&quot;inline&quot;,&quot;id&quot;:-685895710,&quot;citationText&quot;:&quot;&lt;span style=\&quot;font-family:Calibri;font-size:16px;color:#000000\&quot;&gt;&lt;sup&gt;1,2&lt;/sup&gt;&lt;/span&gt;&quot;}"/>
          <w:id w:val="296056911"/>
          <w:placeholder>
            <w:docPart w:val="316612C62719784E801F048ECB80A9E0"/>
          </w:placeholder>
        </w:sdtPr>
        <w:sdtEnd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sdtEndPr>
        <w:sdtContent>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1,2</w:t>
          </w:r>
        </w:sdtContent>
      </w:sdt>
      <w:r>
        <w:rPr>
          <w:rFonts w:hint="default" w:ascii="Times New Roman Regular" w:hAnsi="Times New Roman Regular" w:eastAsia="Times New Roman" w:cs="Times New Roman Regular"/>
          <w:sz w:val="24"/>
          <w:szCs w:val="24"/>
        </w:rPr>
        <w:t xml:space="preserve"> As voice and motor skills are essential for an adequate health-related quality of life, voice detection technologies, such as voice algorithms, have also been implemented in telemedicine for PD screening, diagnosis, and monitoring to manage this burden. Specifically, voice algorithms have been shown to be helpful in early detection, monitoring disease progression, assessing medication and speech therapy progress, and in research studies to better understand the impact of PD on speech.</w:t>
      </w:r>
      <w:sdt>
        <w:sdt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alias w:val="Citation"/>
          <w:tag w:val="{&quot;referencesIds&quot;:[&quot;doc:6431feacf1c1c9054f367ef3&quot;],&quot;referencesOptions&quot;:{&quot;doc:6431feacf1c1c9054f367ef3&quot;:{&quot;author&quot;:true,&quot;year&quot;:true,&quot;pageReplace&quot;:&quot;&quot;,&quot;prefix&quot;:&quot;&quot;,&quot;suffix&quot;:&quot;&quot;}},&quot;hasBrokenReferences&quot;:false,&quot;hasManualEdits&quot;:false,&quot;citationType&quot;:&quot;inline&quot;,&quot;id&quot;:2098125164,&quot;citationText&quot;:&quot;&lt;span style=\&quot;font-family:Calibri;font-size:16px;color:#000000\&quot;&gt;&lt;sup&gt;2&lt;/sup&gt;&lt;/span&gt;&quot;}"/>
          <w:id w:val="1045158775"/>
          <w:placeholder>
            <w:docPart w:val="3237269E85B09F44805945853ED3E5CF"/>
          </w:placeholder>
        </w:sdtPr>
        <w:sdtEnd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sdtEndPr>
        <w:sdtContent>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2</w:t>
          </w:r>
        </w:sdtContent>
      </w:sdt>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Voice algorithms can be used to analyze voice patterns and detect changes to identify patients who may experience early signs of PD. Studies have shown that these algorithms can detect PD before the appearance of motor symptoms, to which early treatment interventions can be applied.</w:t>
      </w:r>
      <w:sdt>
        <w:sdt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alias w:val="Citation"/>
          <w:tag w:val="{&quot;referencesIds&quot;:[&quot;doc:6431feacf1c1c9054f367ef3&quot;],&quot;referencesOptions&quot;:{&quot;doc:6431feacf1c1c9054f367ef3&quot;:{&quot;author&quot;:true,&quot;year&quot;:true,&quot;pageReplace&quot;:&quot;&quot;,&quot;prefix&quot;:&quot;&quot;,&quot;suffix&quot;:&quot;&quot;}},&quot;hasBrokenReferences&quot;:false,&quot;hasManualEdits&quot;:false,&quot;citationType&quot;:&quot;inline&quot;}"/>
          <w:id w:val="832719782"/>
          <w:placeholder>
            <w:docPart w:val="2CD787FAECDD084AA3E0DFF37DF2BADD"/>
          </w:placeholder>
        </w:sdtPr>
        <w:sdtEnd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sdtEndPr>
        <w:sdtContent>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2</w:t>
          </w:r>
        </w:sdtContent>
      </w:sdt>
      <w:r>
        <w:rPr>
          <w:rFonts w:hint="default" w:ascii="Times New Roman Regular" w:hAnsi="Times New Roman Regular" w:eastAsia="Times New Roman" w:cs="Times New Roman Regular"/>
          <w:sz w:val="24"/>
          <w:szCs w:val="24"/>
        </w:rPr>
        <w:t xml:space="preserve"> However, the prediction of PD is highly dependent on the features selected and the machine-learning method used in the detection algorithm. Therefore, this study explored various machine learning techniques to accurately classify and predict patients with PD and healthy individuals using voice recordings of patients. </w:t>
      </w:r>
    </w:p>
    <w:p>
      <w:pPr>
        <w:spacing w:line="240" w:lineRule="auto"/>
        <w:jc w:val="both"/>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Methods</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This secondary analysis used machine learning algorithms to classify and predict PD.</w:t>
      </w:r>
      <w:r>
        <w:rPr>
          <w:rFonts w:hint="default" w:ascii="Times New Roman Regular" w:hAnsi="Times New Roman Regular" w:eastAsia="Times New Roman" w:cs="Times New Roman Regular"/>
          <w:b/>
          <w:bCs/>
          <w:sz w:val="24"/>
          <w:szCs w:val="24"/>
        </w:rPr>
        <w:t xml:space="preserve"> </w:t>
      </w:r>
      <w:r>
        <w:rPr>
          <w:rFonts w:hint="default" w:ascii="Times New Roman Regular" w:hAnsi="Times New Roman Regular" w:eastAsia="Times New Roman" w:cs="Times New Roman Regular"/>
          <w:sz w:val="24"/>
          <w:szCs w:val="24"/>
        </w:rPr>
        <w:t>A total of three voice recordings were collected from 252 patients consisting of patients with PD and healthy individuals. These data were separated into training (n= 176) and testing (n=76) sets.</w:t>
      </w:r>
    </w:p>
    <w:p>
      <w:pPr>
        <w:spacing w:line="240" w:lineRule="auto"/>
        <w:rPr>
          <w:rFonts w:hint="default" w:ascii="Times New Roman Regular" w:hAnsi="Times New Roman Regular" w:eastAsia="Times New Roman" w:cs="Times New Roman Regular"/>
          <w:i/>
          <w:iCs/>
          <w:sz w:val="24"/>
          <w:szCs w:val="24"/>
        </w:rPr>
      </w:pPr>
      <w:r>
        <w:rPr>
          <w:rFonts w:hint="default" w:ascii="Times New Roman Regular" w:hAnsi="Times New Roman Regular" w:eastAsia="Times New Roman" w:cs="Times New Roman Regular"/>
          <w:i/>
          <w:iCs/>
          <w:sz w:val="24"/>
          <w:szCs w:val="24"/>
        </w:rPr>
        <w:t>Measures</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The primary outcome, detection of PD, was measured as a binary variable and defined as either a patient with PD or a healthy individual. A total of 753 predictor variables, excluding participant ID and gender, herein referred to as features, were extracted and subset into feature sets including (1) baseline features, (2) time frequency features, (3) Mel Frequency Cepstral Coefficients (MFCC), (4) wavelet transform-based features (WT), (5) vocal fold features, and (6) tunable Q-factor wavelet transform-based features (TQWT).</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The baseline features set comprised 20 features and were measured using jitter and shimmer variances, fundamental frequency parameters, harmonicity parameters, Recurrence Time Density Entropy (RPDE), Detrended Fluctuation Analysis (DFA), and Pitch Period Entropy (PPE). The intensity parameters (three features), bandwidth (four features), and format frequencies (four features) were used to measure the time-frequency feature set. The MFCC and WT feature sets consist of 84 and 182 features, respectively. Vocal fold features were measured using the glottis quotient (GQ), glottal to noise extraction (GNE), vocal fold excitation ratio (VFER), and empirical mode decomposition (EMD). Finally, TQWT, which uses a higher frequency resolution to catch voice signals related to PD than the previously mentioned feature sets, comprised 432 features. </w:t>
      </w:r>
    </w:p>
    <w:p>
      <w:pPr>
        <w:spacing w:line="240" w:lineRule="auto"/>
        <w:rPr>
          <w:rFonts w:hint="default" w:ascii="Times New Roman Regular" w:hAnsi="Times New Roman Regular" w:eastAsia="Times New Roman" w:cs="Times New Roman Regular"/>
          <w:i/>
          <w:iCs/>
          <w:sz w:val="24"/>
          <w:szCs w:val="24"/>
        </w:rPr>
      </w:pPr>
      <w:r>
        <w:rPr>
          <w:rFonts w:hint="default" w:ascii="Times New Roman Regular" w:hAnsi="Times New Roman Regular" w:eastAsia="Times New Roman" w:cs="Times New Roman Regular"/>
          <w:i/>
          <w:iCs/>
          <w:sz w:val="24"/>
          <w:szCs w:val="24"/>
        </w:rPr>
        <w:t xml:space="preserve"> Statistical Analysis</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To classify patients with PD and healthy individuals, we employed 10-fold cross-validation, which randomly divided the training data into 10 groups. Using the leave-one-out method, nine groups were used to train the model, whereas the remaining group was used for predictions. Model building and training were streamlined using the caret package to select the best-performing tuning parameters for each machine-learning algorithm. The models with the best fit for each algorithm were evaluated by plotting the Receiver Operating Characteristic- Area Under the Curve (ROC-AUC) and precision-recall (PR-AUC) area under the curve and calculating the accuracy, Cohen’s kappa, sensitivity, and specificity. Finally, we used the model with the best training accuracy and ROC-AUC to predict the PD class of patients in the test set.</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Several parametric and nonparametric machine-learning algorithms were applied to classify the primary outcome. The parametric methods applied for classifying patients with PD and healthy individuals were multiple logistic regression, Quadratic Discriminant Analysis (QDA), Lasso regression, and Naïve Bayes. Because the data were high-dimensional and the number of predictors was greater than the number of observations, forward selection was utilized as a feature selection method to fit the QDA, as backward selection is not recommended under these circumstances. For non-parametric classification methods in predicting PD, we fit the radial Kernel vector classifier (SVM), classification trees, and K-nearest neighbor (KNN). </w:t>
      </w:r>
    </w:p>
    <w:p>
      <w:pPr>
        <w:pStyle w:val="20"/>
        <w:spacing w:before="0" w:beforeAutospacing="0" w:after="0" w:afterAutospacing="0"/>
        <w:ind w:firstLine="720"/>
        <w:textAlignment w:val="baseline"/>
        <w:rPr>
          <w:rStyle w:val="21"/>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Finally, additional statistical methodologies were implemented to determine whether the performance could be improved. These methods included neural networks, feature selection, and accounting for repeated measures. </w:t>
      </w:r>
      <w:r>
        <w:rPr>
          <w:rStyle w:val="18"/>
          <w:rFonts w:hint="default" w:ascii="Times New Roman Regular" w:hAnsi="Times New Roman Regular" w:eastAsia="Times New Roman" w:cs="Times New Roman Regular"/>
          <w:sz w:val="24"/>
          <w:szCs w:val="24"/>
        </w:rPr>
        <w:t>The extracted features were selected using Boruta with 1000 importance source runs. After processing, 154 of the 753 features were identified as the most important and further used as selected features in our models. The identifier for repeated measures was dropped from the previous methods because the features had different data measures. However, it is important to consider between-subject and within-subject variability; otherwise, the model may be biased. After aggregating data by ID, mixed-effect modeling was applied to the applicable methods, including radial SVM and random forest classification tree.</w:t>
      </w:r>
      <w:r>
        <w:rPr>
          <w:rStyle w:val="21"/>
          <w:rFonts w:hint="default" w:ascii="Times New Roman Regular" w:hAnsi="Times New Roman Regular" w:eastAsia="Times New Roman" w:cs="Times New Roman Regular"/>
          <w:sz w:val="24"/>
          <w:szCs w:val="24"/>
        </w:rPr>
        <w:t> </w:t>
      </w:r>
    </w:p>
    <w:p>
      <w:pPr>
        <w:spacing w:line="240" w:lineRule="auto"/>
        <w:jc w:val="both"/>
        <w:rPr>
          <w:rFonts w:hint="default" w:ascii="Times New Roman Regular" w:hAnsi="Times New Roman Regular" w:eastAsia="Times New Roman" w:cs="Times New Roman Regular"/>
          <w:b/>
          <w:bCs/>
          <w:sz w:val="24"/>
          <w:szCs w:val="24"/>
          <w:u w:val="single"/>
        </w:rPr>
      </w:pPr>
    </w:p>
    <w:p>
      <w:pPr>
        <w:spacing w:line="240" w:lineRule="auto"/>
        <w:jc w:val="both"/>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Results</w:t>
      </w:r>
    </w:p>
    <w:p>
      <w:pPr>
        <w:spacing w:line="240" w:lineRule="auto"/>
        <w:jc w:val="both"/>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i/>
          <w:iCs/>
          <w:sz w:val="24"/>
          <w:szCs w:val="24"/>
        </w:rPr>
        <w:t xml:space="preserve">Training Accuracy Evaluation </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The accuracy evaluation for each machine learning classification algorithm is presented in Table 1. For the parametric methods, the multiple logistic regression yielded the lowest training accuracy of 0.4966 and kappa of 0.0220, whereas the Lasso regression (α= 1, λ = 0.0067) yielded the highest training accuracy of 0.8830 and kappa of 0.660. For non-parametric methods, the classification tree with a complexity parameter (cp) of 0 (accuracy = 0.8355, kappa = 0.5755) and the KNN with five nearest neighbors (accuracy = 0.8733, kappa = 0.6091) had similar training performance. However, the radial SVM with a cost of 4096 outperformed both non-parametric methods, yielding a training accuracy of 0.9152 and kappa of 0.766. In fact, the radial SVM had the highest training accuracy among all classification methods applied. </w:t>
      </w:r>
    </w:p>
    <w:tbl>
      <w:tblPr>
        <w:tblStyle w:val="12"/>
        <w:tblW w:w="949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31"/>
        <w:gridCol w:w="1887"/>
        <w:gridCol w:w="1886"/>
        <w:gridCol w:w="2490"/>
      </w:tblGrid>
      <w:tr>
        <w:trPr>
          <w:trHeight w:val="300" w:hRule="atLeast"/>
        </w:trPr>
        <w:tc>
          <w:tcPr>
            <w:tcW w:w="9494" w:type="dxa"/>
            <w:gridSpan w:val="4"/>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both"/>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b/>
                <w:bCs/>
                <w:sz w:val="24"/>
                <w:szCs w:val="24"/>
              </w:rPr>
              <w:t>Table 1: Training Accuracy and Cohen’s Kappa for all Classification Methods</w:t>
            </w:r>
          </w:p>
        </w:tc>
      </w:tr>
      <w:tr>
        <w:trPr>
          <w:trHeight w:val="300" w:hRule="atLeast"/>
        </w:trPr>
        <w:tc>
          <w:tcPr>
            <w:tcW w:w="323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Models</w:t>
            </w:r>
          </w:p>
        </w:tc>
        <w:tc>
          <w:tcPr>
            <w:tcW w:w="1887"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Accuracy</w:t>
            </w:r>
          </w:p>
        </w:tc>
        <w:tc>
          <w:tcPr>
            <w:tcW w:w="1886"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Kappa</w:t>
            </w:r>
          </w:p>
        </w:tc>
        <w:tc>
          <w:tcPr>
            <w:tcW w:w="2490"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Parameters</w:t>
            </w:r>
          </w:p>
        </w:tc>
      </w:tr>
      <w:tr>
        <w:trPr>
          <w:trHeight w:val="300" w:hRule="atLeast"/>
        </w:trPr>
        <w:tc>
          <w:tcPr>
            <w:tcW w:w="9494" w:type="dxa"/>
            <w:gridSpan w:val="4"/>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Parametric Methods</w:t>
            </w:r>
          </w:p>
        </w:tc>
      </w:tr>
      <w:tr>
        <w:trPr>
          <w:trHeight w:val="300" w:hRule="atLeast"/>
        </w:trPr>
        <w:tc>
          <w:tcPr>
            <w:tcW w:w="323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Multiple Logistic Regression</w:t>
            </w:r>
          </w:p>
        </w:tc>
        <w:tc>
          <w:tcPr>
            <w:tcW w:w="1887"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0.4966</w:t>
            </w:r>
          </w:p>
        </w:tc>
        <w:tc>
          <w:tcPr>
            <w:tcW w:w="1886"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0.0220</w:t>
            </w:r>
          </w:p>
        </w:tc>
        <w:tc>
          <w:tcPr>
            <w:tcW w:w="2490"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w:t>
            </w:r>
          </w:p>
        </w:tc>
      </w:tr>
      <w:tr>
        <w:trPr>
          <w:trHeight w:val="300" w:hRule="atLeast"/>
        </w:trPr>
        <w:tc>
          <w:tcPr>
            <w:tcW w:w="323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vertAlign w:val="superscript"/>
              </w:rPr>
              <w:t>1</w:t>
            </w:r>
            <w:r>
              <w:rPr>
                <w:rFonts w:hint="default" w:ascii="Times New Roman Regular" w:hAnsi="Times New Roman Regular" w:eastAsia="Times New Roman" w:cs="Times New Roman Regular"/>
                <w:b/>
                <w:bCs/>
                <w:sz w:val="24"/>
                <w:szCs w:val="24"/>
              </w:rPr>
              <w:t>Quadratic Discriminant Analysis (QDA)</w:t>
            </w:r>
          </w:p>
        </w:tc>
        <w:tc>
          <w:tcPr>
            <w:tcW w:w="1887"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0.8414</w:t>
            </w:r>
          </w:p>
        </w:tc>
        <w:tc>
          <w:tcPr>
            <w:tcW w:w="18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0.5310</w:t>
            </w:r>
          </w:p>
        </w:tc>
        <w:tc>
          <w:tcPr>
            <w:tcW w:w="24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w:t>
            </w:r>
          </w:p>
        </w:tc>
      </w:tr>
      <w:tr>
        <w:trPr>
          <w:trHeight w:val="300" w:hRule="atLeast"/>
        </w:trPr>
        <w:tc>
          <w:tcPr>
            <w:tcW w:w="323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Lasso Regression</w:t>
            </w:r>
          </w:p>
        </w:tc>
        <w:tc>
          <w:tcPr>
            <w:tcW w:w="1887"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0.8830*</w:t>
            </w:r>
          </w:p>
        </w:tc>
        <w:tc>
          <w:tcPr>
            <w:tcW w:w="18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0.660</w:t>
            </w:r>
          </w:p>
        </w:tc>
        <w:tc>
          <w:tcPr>
            <w:tcW w:w="24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α= 1, λ=0.0067</w:t>
            </w:r>
          </w:p>
        </w:tc>
      </w:tr>
      <w:tr>
        <w:trPr>
          <w:trHeight w:val="300" w:hRule="atLeast"/>
        </w:trPr>
        <w:tc>
          <w:tcPr>
            <w:tcW w:w="323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Naïve Bayes</w:t>
            </w:r>
          </w:p>
        </w:tc>
        <w:tc>
          <w:tcPr>
            <w:tcW w:w="1887"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0.7955</w:t>
            </w:r>
          </w:p>
        </w:tc>
        <w:tc>
          <w:tcPr>
            <w:tcW w:w="18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0.468</w:t>
            </w:r>
          </w:p>
        </w:tc>
        <w:tc>
          <w:tcPr>
            <w:tcW w:w="24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3</w:t>
            </w:r>
            <w:r>
              <w:rPr>
                <w:rFonts w:hint="default" w:ascii="Times New Roman Regular" w:hAnsi="Times New Roman Regular" w:eastAsia="Times New Roman" w:cs="Times New Roman Regular"/>
                <w:sz w:val="24"/>
                <w:szCs w:val="24"/>
              </w:rPr>
              <w:t>fL = 0, adjust = 1</w:t>
            </w:r>
          </w:p>
        </w:tc>
      </w:tr>
      <w:tr>
        <w:trPr>
          <w:trHeight w:val="300" w:hRule="atLeast"/>
        </w:trPr>
        <w:tc>
          <w:tcPr>
            <w:tcW w:w="9494" w:type="dxa"/>
            <w:gridSpan w:val="4"/>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Non-Parametric Methods</w:t>
            </w:r>
          </w:p>
        </w:tc>
      </w:tr>
      <w:tr>
        <w:trPr>
          <w:trHeight w:val="300" w:hRule="atLeast"/>
        </w:trPr>
        <w:tc>
          <w:tcPr>
            <w:tcW w:w="323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Radial Kernel Support Vector Classifier (SVM)</w:t>
            </w:r>
          </w:p>
        </w:tc>
        <w:tc>
          <w:tcPr>
            <w:tcW w:w="1887"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0.9152*</w:t>
            </w:r>
          </w:p>
        </w:tc>
        <w:tc>
          <w:tcPr>
            <w:tcW w:w="1886"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0.766</w:t>
            </w:r>
          </w:p>
        </w:tc>
        <w:tc>
          <w:tcPr>
            <w:tcW w:w="2490"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s= 0.0012, </w:t>
            </w:r>
          </w:p>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cost = 4096</w:t>
            </w:r>
          </w:p>
        </w:tc>
      </w:tr>
      <w:tr>
        <w:trPr>
          <w:trHeight w:val="300" w:hRule="atLeast"/>
        </w:trPr>
        <w:tc>
          <w:tcPr>
            <w:tcW w:w="323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Classification Trees</w:t>
            </w:r>
          </w:p>
        </w:tc>
        <w:tc>
          <w:tcPr>
            <w:tcW w:w="1887"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0.8355</w:t>
            </w:r>
          </w:p>
        </w:tc>
        <w:tc>
          <w:tcPr>
            <w:tcW w:w="18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0.5755</w:t>
            </w:r>
          </w:p>
        </w:tc>
        <w:tc>
          <w:tcPr>
            <w:tcW w:w="24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2</w:t>
            </w:r>
            <w:r>
              <w:rPr>
                <w:rFonts w:hint="default" w:ascii="Times New Roman Regular" w:hAnsi="Times New Roman Regular" w:eastAsia="Times New Roman" w:cs="Times New Roman Regular"/>
                <w:sz w:val="24"/>
                <w:szCs w:val="24"/>
              </w:rPr>
              <w:t>cp = 0</w:t>
            </w:r>
          </w:p>
        </w:tc>
      </w:tr>
      <w:tr>
        <w:trPr>
          <w:trHeight w:val="300" w:hRule="atLeast"/>
        </w:trPr>
        <w:tc>
          <w:tcPr>
            <w:tcW w:w="3231"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K-Nearest Neighbor</w:t>
            </w:r>
          </w:p>
        </w:tc>
        <w:tc>
          <w:tcPr>
            <w:tcW w:w="1887"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0.8733</w:t>
            </w:r>
          </w:p>
        </w:tc>
        <w:tc>
          <w:tcPr>
            <w:tcW w:w="1886"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0.6091</w:t>
            </w:r>
          </w:p>
        </w:tc>
        <w:tc>
          <w:tcPr>
            <w:tcW w:w="249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K = 5</w:t>
            </w:r>
          </w:p>
        </w:tc>
      </w:tr>
      <w:tr>
        <w:trPr>
          <w:trHeight w:val="300" w:hRule="atLeast"/>
        </w:trPr>
        <w:tc>
          <w:tcPr>
            <w:tcW w:w="9494" w:type="dxa"/>
            <w:gridSpan w:val="4"/>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 xml:space="preserve">1 </w:t>
            </w:r>
            <w:r>
              <w:rPr>
                <w:rFonts w:hint="default" w:ascii="Times New Roman Regular" w:hAnsi="Times New Roman Regular" w:eastAsia="Times New Roman" w:cs="Times New Roman Regular"/>
                <w:sz w:val="24"/>
                <w:szCs w:val="24"/>
              </w:rPr>
              <w:t>The forward feature selection chose 15 features for the QDA model</w:t>
            </w:r>
          </w:p>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2</w:t>
            </w:r>
            <w:r>
              <w:rPr>
                <w:rFonts w:hint="default" w:ascii="Times New Roman Regular" w:hAnsi="Times New Roman Regular" w:eastAsia="Times New Roman" w:cs="Times New Roman Regular"/>
                <w:sz w:val="24"/>
                <w:szCs w:val="24"/>
              </w:rPr>
              <w:t>cp = complexity parameter</w:t>
            </w:r>
          </w:p>
          <w:p>
            <w:pPr>
              <w:spacing w:after="0" w:line="240" w:lineRule="auto"/>
              <w:rPr>
                <w:rFonts w:hint="default" w:ascii="Times New Roman Regular" w:hAnsi="Times New Roman Regular" w:eastAsia="Times New Roman" w:cs="Times New Roman Regular"/>
                <w:sz w:val="24"/>
                <w:szCs w:val="24"/>
                <w:vertAlign w:val="baseline"/>
              </w:rPr>
            </w:pPr>
            <w:r>
              <w:rPr>
                <w:rFonts w:hint="default" w:ascii="Times New Roman Regular" w:hAnsi="Times New Roman Regular" w:eastAsia="Times New Roman" w:cs="Times New Roman Regular"/>
                <w:sz w:val="24"/>
                <w:szCs w:val="24"/>
                <w:vertAlign w:val="superscript"/>
              </w:rPr>
              <w:t xml:space="preserve">3 </w:t>
            </w:r>
            <w:r>
              <w:rPr>
                <w:rFonts w:hint="default" w:ascii="Times New Roman Regular" w:hAnsi="Times New Roman Regular" w:eastAsia="Times New Roman" w:cs="Times New Roman Regular"/>
                <w:sz w:val="24"/>
                <w:szCs w:val="24"/>
                <w:vertAlign w:val="baseline"/>
              </w:rPr>
              <w:t xml:space="preserve">fL = strength of the Laplace smoothing technique, adjust = kernel density flexibility </w:t>
            </w:r>
          </w:p>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Indicates the best performing model(s)</w:t>
            </w:r>
          </w:p>
        </w:tc>
      </w:tr>
    </w:tbl>
    <w:p>
      <w:pPr>
        <w:spacing w:line="240" w:lineRule="auto"/>
        <w:jc w:val="both"/>
        <w:rPr>
          <w:rFonts w:hint="default" w:ascii="Times New Roman Regular" w:hAnsi="Times New Roman Regular" w:eastAsia="Times New Roman" w:cs="Times New Roman Regular"/>
          <w:i/>
          <w:iCs/>
          <w:sz w:val="24"/>
          <w:szCs w:val="24"/>
        </w:rPr>
      </w:pPr>
    </w:p>
    <w:p>
      <w:pPr>
        <w:spacing w:line="240" w:lineRule="auto"/>
        <w:jc w:val="both"/>
        <w:rPr>
          <w:rFonts w:hint="default" w:ascii="Times New Roman Regular" w:hAnsi="Times New Roman Regular" w:eastAsia="Times New Roman" w:cs="Times New Roman Regular"/>
          <w:i/>
          <w:iCs/>
          <w:sz w:val="24"/>
          <w:szCs w:val="24"/>
        </w:rPr>
      </w:pPr>
      <w:r>
        <w:rPr>
          <w:rFonts w:hint="default" w:ascii="Times New Roman Regular" w:hAnsi="Times New Roman Regular" w:eastAsia="Times New Roman" w:cs="Times New Roman Regular"/>
          <w:i/>
          <w:iCs/>
          <w:sz w:val="24"/>
          <w:szCs w:val="24"/>
        </w:rPr>
        <w:t>Training ROC-AUC Evaluation</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The training ROC-AUC evaluation consisted of sensitivity and specificity calculations for the training models, in addition to the training PR-AUC for each machine learning classification algorithm (Table 2). For the parametric methods, multiple logistic regression had the lowest evaluation, with a training ROC-AUC of 0.5263. QDA and Lasso regression (α= 1, λ = 0.4229) performed similarly; however, Lasso had a slightly higher training performance with an ROC-AUC of 0.9251 than QDA’s training ROC-AUC of 0.9051. In this Lasso model, the most important predictor was in the TQWT feature set, specifically tqwt_meanValue_dec_5. For non-parametric classification methods, the classification tree (sensitivity = 0.6593, specificity = 0.8854) exhibited the poorest training performance with an ROC-AUC of 0.8319 at cp = 0.0117, whereas the radial SVM (cost = 16) had the best training performance with an ROC-AUC of 0.9599. </w:t>
      </w:r>
    </w:p>
    <w:tbl>
      <w:tblPr>
        <w:tblStyle w:val="12"/>
        <w:tblW w:w="10694"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880"/>
        <w:gridCol w:w="1365"/>
        <w:gridCol w:w="1260"/>
        <w:gridCol w:w="1275"/>
        <w:gridCol w:w="1335"/>
        <w:gridCol w:w="2579"/>
      </w:tblGrid>
      <w:tr>
        <w:trPr>
          <w:trHeight w:val="300" w:hRule="atLeast"/>
        </w:trPr>
        <w:tc>
          <w:tcPr>
            <w:tcW w:w="10694" w:type="dxa"/>
            <w:gridSpan w:val="6"/>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Table 2: Training ROC-AUC, Sensitivity, Specificity, and PR-AUC for all Classification Methods</w:t>
            </w:r>
          </w:p>
        </w:tc>
      </w:tr>
      <w:tr>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Models</w:t>
            </w:r>
          </w:p>
        </w:tc>
        <w:tc>
          <w:tcPr>
            <w:tcW w:w="136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sz w:val="24"/>
                <w:szCs w:val="24"/>
                <w:vertAlign w:val="superscript"/>
              </w:rPr>
              <w:t>1</w:t>
            </w:r>
            <w:r>
              <w:rPr>
                <w:rFonts w:hint="default" w:ascii="Times New Roman Regular" w:hAnsi="Times New Roman Regular" w:eastAsia="Times New Roman" w:cs="Times New Roman Regular"/>
                <w:b/>
                <w:bCs/>
                <w:sz w:val="24"/>
                <w:szCs w:val="24"/>
              </w:rPr>
              <w:t>ROC-AUC</w:t>
            </w:r>
          </w:p>
        </w:tc>
        <w:tc>
          <w:tcPr>
            <w:tcW w:w="1260"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Sensitivity</w:t>
            </w:r>
          </w:p>
        </w:tc>
        <w:tc>
          <w:tcPr>
            <w:tcW w:w="127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Specificity</w:t>
            </w:r>
          </w:p>
        </w:tc>
        <w:tc>
          <w:tcPr>
            <w:tcW w:w="133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sz w:val="24"/>
                <w:szCs w:val="24"/>
                <w:vertAlign w:val="superscript"/>
              </w:rPr>
              <w:t xml:space="preserve">2 </w:t>
            </w:r>
            <w:r>
              <w:rPr>
                <w:rFonts w:hint="default" w:ascii="Times New Roman Regular" w:hAnsi="Times New Roman Regular" w:eastAsia="Times New Roman" w:cs="Times New Roman Regular"/>
                <w:b/>
                <w:bCs/>
                <w:sz w:val="24"/>
                <w:szCs w:val="24"/>
              </w:rPr>
              <w:t>PR-AUC</w:t>
            </w:r>
          </w:p>
        </w:tc>
        <w:tc>
          <w:tcPr>
            <w:tcW w:w="2579"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Parameters</w:t>
            </w:r>
          </w:p>
        </w:tc>
      </w:tr>
      <w:tr>
        <w:trPr>
          <w:trHeight w:val="300" w:hRule="atLeast"/>
        </w:trPr>
        <w:tc>
          <w:tcPr>
            <w:tcW w:w="10694" w:type="dxa"/>
            <w:gridSpan w:val="6"/>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Parametric methods</w:t>
            </w:r>
          </w:p>
        </w:tc>
      </w:tr>
      <w:tr>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Multiple Logistic Regression</w:t>
            </w:r>
          </w:p>
        </w:tc>
        <w:tc>
          <w:tcPr>
            <w:tcW w:w="136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0.5263</w:t>
            </w:r>
          </w:p>
        </w:tc>
        <w:tc>
          <w:tcPr>
            <w:tcW w:w="1260"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0.5489</w:t>
            </w:r>
          </w:p>
        </w:tc>
        <w:tc>
          <w:tcPr>
            <w:tcW w:w="127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0.4789</w:t>
            </w:r>
          </w:p>
        </w:tc>
        <w:tc>
          <w:tcPr>
            <w:tcW w:w="133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 0.01</w:t>
            </w:r>
          </w:p>
        </w:tc>
        <w:tc>
          <w:tcPr>
            <w:tcW w:w="2579"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w:t>
            </w:r>
          </w:p>
        </w:tc>
      </w:tr>
      <w:tr>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sz w:val="24"/>
                <w:szCs w:val="24"/>
                <w:vertAlign w:val="superscript"/>
              </w:rPr>
              <w:t>3</w:t>
            </w:r>
            <w:r>
              <w:rPr>
                <w:rFonts w:hint="default" w:ascii="Times New Roman Regular" w:hAnsi="Times New Roman Regular" w:eastAsia="Times New Roman" w:cs="Times New Roman Regular"/>
                <w:b/>
                <w:bCs/>
                <w:sz w:val="24"/>
                <w:szCs w:val="24"/>
              </w:rPr>
              <w:t>Quadratic Discriminant Analysis (QDA)</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0.9051</w:t>
            </w:r>
          </w:p>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 </w:t>
            </w:r>
          </w:p>
        </w:tc>
        <w:tc>
          <w:tcPr>
            <w:tcW w:w="126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0.5351</w:t>
            </w:r>
          </w:p>
        </w:tc>
        <w:tc>
          <w:tcPr>
            <w:tcW w:w="127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0.9465</w:t>
            </w:r>
          </w:p>
        </w:tc>
        <w:tc>
          <w:tcPr>
            <w:tcW w:w="133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0.53 </w:t>
            </w:r>
          </w:p>
        </w:tc>
        <w:tc>
          <w:tcPr>
            <w:tcW w:w="257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w:t>
            </w:r>
          </w:p>
        </w:tc>
      </w:tr>
      <w:tr>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Lasso Regression</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0.9249*</w:t>
            </w:r>
          </w:p>
        </w:tc>
        <w:tc>
          <w:tcPr>
            <w:tcW w:w="126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0.9440</w:t>
            </w:r>
          </w:p>
        </w:tc>
        <w:tc>
          <w:tcPr>
            <w:tcW w:w="127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0.6533</w:t>
            </w:r>
          </w:p>
        </w:tc>
        <w:tc>
          <w:tcPr>
            <w:tcW w:w="133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0.63 </w:t>
            </w:r>
          </w:p>
        </w:tc>
        <w:tc>
          <w:tcPr>
            <w:tcW w:w="257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α= 1, λ=0.4229</w:t>
            </w:r>
          </w:p>
        </w:tc>
      </w:tr>
      <w:tr>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Naïve Bayes</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0.7872</w:t>
            </w:r>
          </w:p>
        </w:tc>
        <w:tc>
          <w:tcPr>
            <w:tcW w:w="126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0.6159</w:t>
            </w:r>
          </w:p>
        </w:tc>
        <w:tc>
          <w:tcPr>
            <w:tcW w:w="127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0.8575</w:t>
            </w:r>
          </w:p>
        </w:tc>
        <w:tc>
          <w:tcPr>
            <w:tcW w:w="133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 </w:t>
            </w:r>
          </w:p>
        </w:tc>
        <w:tc>
          <w:tcPr>
            <w:tcW w:w="257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fL = 0, adjust = 1</w:t>
            </w:r>
          </w:p>
        </w:tc>
      </w:tr>
      <w:tr>
        <w:trPr>
          <w:trHeight w:val="300" w:hRule="atLeast"/>
        </w:trPr>
        <w:tc>
          <w:tcPr>
            <w:tcW w:w="10694" w:type="dxa"/>
            <w:gridSpan w:val="6"/>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Non-Parametric Methods</w:t>
            </w:r>
          </w:p>
        </w:tc>
      </w:tr>
      <w:tr>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Radial Kernel Support Vector Classifier (SVM)</w:t>
            </w:r>
          </w:p>
        </w:tc>
        <w:tc>
          <w:tcPr>
            <w:tcW w:w="136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0.9599*</w:t>
            </w:r>
          </w:p>
        </w:tc>
        <w:tc>
          <w:tcPr>
            <w:tcW w:w="1260"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0.7631</w:t>
            </w:r>
          </w:p>
        </w:tc>
        <w:tc>
          <w:tcPr>
            <w:tcW w:w="127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0.9569</w:t>
            </w:r>
          </w:p>
        </w:tc>
        <w:tc>
          <w:tcPr>
            <w:tcW w:w="1335"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 0.76</w:t>
            </w:r>
          </w:p>
        </w:tc>
        <w:tc>
          <w:tcPr>
            <w:tcW w:w="2579" w:type="dxa"/>
            <w:tcBorders>
              <w:top w:val="nil"/>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s=0.</w:t>
            </w:r>
            <w:r>
              <w:rPr>
                <w:rStyle w:val="18"/>
                <w:rFonts w:hint="default" w:ascii="Times New Roman Regular" w:hAnsi="Times New Roman Regular" w:eastAsia="Times New Roman" w:cs="Times New Roman Regular"/>
                <w:color w:val="000000"/>
                <w:sz w:val="24"/>
                <w:szCs w:val="24"/>
              </w:rPr>
              <w:t xml:space="preserve"> 0012</w:t>
            </w:r>
            <w:r>
              <w:rPr>
                <w:rFonts w:hint="default" w:ascii="Times New Roman Regular" w:hAnsi="Times New Roman Regular" w:eastAsia="Times New Roman" w:cs="Times New Roman Regular"/>
                <w:sz w:val="24"/>
                <w:szCs w:val="24"/>
              </w:rPr>
              <w:t>,</w:t>
            </w:r>
          </w:p>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cost = 16</w:t>
            </w:r>
          </w:p>
        </w:tc>
      </w:tr>
      <w:tr>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Classification Trees</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0.8319</w:t>
            </w:r>
          </w:p>
        </w:tc>
        <w:tc>
          <w:tcPr>
            <w:tcW w:w="126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0.6593</w:t>
            </w:r>
          </w:p>
        </w:tc>
        <w:tc>
          <w:tcPr>
            <w:tcW w:w="127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0.8854</w:t>
            </w:r>
          </w:p>
        </w:tc>
        <w:tc>
          <w:tcPr>
            <w:tcW w:w="133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0.38 </w:t>
            </w:r>
          </w:p>
        </w:tc>
        <w:tc>
          <w:tcPr>
            <w:tcW w:w="257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4</w:t>
            </w:r>
            <w:r>
              <w:rPr>
                <w:rFonts w:hint="default" w:ascii="Times New Roman Regular" w:hAnsi="Times New Roman Regular" w:eastAsia="Times New Roman" w:cs="Times New Roman Regular"/>
                <w:sz w:val="24"/>
                <w:szCs w:val="24"/>
              </w:rPr>
              <w:t>cp = 0.0117</w:t>
            </w:r>
          </w:p>
        </w:tc>
      </w:tr>
      <w:tr>
        <w:trPr>
          <w:trHeight w:val="300" w:hRule="atLeast"/>
        </w:trPr>
        <w:tc>
          <w:tcPr>
            <w:tcW w:w="288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K-Nearest Neighbor</w:t>
            </w:r>
          </w:p>
        </w:tc>
        <w:tc>
          <w:tcPr>
            <w:tcW w:w="136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0.9318</w:t>
            </w:r>
          </w:p>
        </w:tc>
        <w:tc>
          <w:tcPr>
            <w:tcW w:w="1260"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0.4742</w:t>
            </w:r>
          </w:p>
        </w:tc>
        <w:tc>
          <w:tcPr>
            <w:tcW w:w="127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0.9849</w:t>
            </w:r>
          </w:p>
        </w:tc>
        <w:tc>
          <w:tcPr>
            <w:tcW w:w="1335"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 0.66</w:t>
            </w:r>
          </w:p>
        </w:tc>
        <w:tc>
          <w:tcPr>
            <w:tcW w:w="2579" w:type="dxa"/>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jc w:val="center"/>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K = 7</w:t>
            </w:r>
          </w:p>
        </w:tc>
      </w:tr>
      <w:tr>
        <w:trPr>
          <w:trHeight w:val="300" w:hRule="atLeast"/>
        </w:trPr>
        <w:tc>
          <w:tcPr>
            <w:tcW w:w="10694" w:type="dxa"/>
            <w:gridSpan w:val="6"/>
            <w:tcBorders>
              <w:top w:val="single" w:color="auto" w:sz="8" w:space="0"/>
              <w:left w:val="single" w:color="auto" w:sz="8" w:space="0"/>
              <w:bottom w:val="single" w:color="auto" w:sz="8" w:space="0"/>
              <w:right w:val="single" w:color="auto" w:sz="8" w:space="0"/>
            </w:tcBorders>
            <w:tcMar>
              <w:left w:w="108" w:type="dxa"/>
              <w:right w:w="108" w:type="dxa"/>
            </w:tcMar>
          </w:tcPr>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1</w:t>
            </w:r>
            <w:r>
              <w:rPr>
                <w:rFonts w:hint="default" w:ascii="Times New Roman Regular" w:hAnsi="Times New Roman Regular" w:eastAsia="Times New Roman" w:cs="Times New Roman Regular"/>
                <w:sz w:val="24"/>
                <w:szCs w:val="24"/>
              </w:rPr>
              <w:t>ROC- AUC: Receiver Operating Characteristic (ROC) Area under the curve (AUC)</w:t>
            </w:r>
          </w:p>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2</w:t>
            </w:r>
            <w:r>
              <w:rPr>
                <w:rFonts w:hint="default" w:ascii="Times New Roman Regular" w:hAnsi="Times New Roman Regular" w:eastAsia="Times New Roman" w:cs="Times New Roman Regular"/>
                <w:sz w:val="24"/>
                <w:szCs w:val="24"/>
              </w:rPr>
              <w:t>PR-AUC: Precision-Recall Area under the curve (AUC)</w:t>
            </w:r>
          </w:p>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 xml:space="preserve">3 </w:t>
            </w:r>
            <w:r>
              <w:rPr>
                <w:rFonts w:hint="default" w:ascii="Times New Roman Regular" w:hAnsi="Times New Roman Regular" w:eastAsia="Times New Roman" w:cs="Times New Roman Regular"/>
                <w:sz w:val="24"/>
                <w:szCs w:val="24"/>
              </w:rPr>
              <w:t>The forward feature selection chose 15 features for the QDA model</w:t>
            </w:r>
          </w:p>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vertAlign w:val="superscript"/>
              </w:rPr>
              <w:t>4</w:t>
            </w:r>
            <w:r>
              <w:rPr>
                <w:rFonts w:hint="default" w:ascii="Times New Roman Regular" w:hAnsi="Times New Roman Regular" w:eastAsia="Times New Roman" w:cs="Times New Roman Regular"/>
                <w:sz w:val="24"/>
                <w:szCs w:val="24"/>
              </w:rPr>
              <w:t>cp = complexity parameter</w:t>
            </w:r>
          </w:p>
          <w:p>
            <w:pPr>
              <w:spacing w:after="0"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Indicates the best performing model(s)</w:t>
            </w:r>
          </w:p>
        </w:tc>
      </w:tr>
    </w:tbl>
    <w:p>
      <w:pPr>
        <w:spacing w:line="240" w:lineRule="auto"/>
        <w:jc w:val="both"/>
        <w:rPr>
          <w:rFonts w:hint="default" w:ascii="Times New Roman Regular" w:hAnsi="Times New Roman Regular" w:eastAsia="Times New Roman" w:cs="Times New Roman Regular"/>
          <w:i/>
          <w:iCs/>
          <w:sz w:val="24"/>
          <w:szCs w:val="24"/>
        </w:rPr>
      </w:pPr>
      <w:bookmarkStart w:id="0" w:name="_GoBack"/>
      <w:bookmarkEnd w:id="0"/>
    </w:p>
    <w:p>
      <w:pPr>
        <w:spacing w:line="240" w:lineRule="auto"/>
        <w:jc w:val="both"/>
        <w:rPr>
          <w:rFonts w:hint="default" w:ascii="Times New Roman Regular" w:hAnsi="Times New Roman Regular" w:eastAsia="Times New Roman" w:cs="Times New Roman Regular"/>
          <w:i/>
          <w:iCs/>
          <w:sz w:val="24"/>
          <w:szCs w:val="24"/>
        </w:rPr>
      </w:pPr>
      <w:r>
        <w:rPr>
          <w:rFonts w:hint="default" w:ascii="Times New Roman Regular" w:hAnsi="Times New Roman Regular" w:eastAsia="Times New Roman" w:cs="Times New Roman Regular"/>
          <w:i/>
          <w:iCs/>
          <w:sz w:val="24"/>
          <w:szCs w:val="24"/>
        </w:rPr>
        <w:t>Model Improvement using Feature Selection and Repeated Measures</w:t>
      </w:r>
    </w:p>
    <w:p>
      <w:pPr>
        <w:spacing w:after="0"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After feature selection with Boruta, 154 features were considered most important in the classification of PD. Similar to the models that considered all features in the data, the multiple logistic regression had the poorest performance with a training accuracy of 0.8222 and a kappa of 0.5515, and the radial SVM (</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xml:space="preserve">s= 0.0073, cost = 131072) </w:t>
      </w:r>
      <w:r>
        <w:rPr>
          <w:rFonts w:hint="default" w:ascii="Times New Roman Regular" w:hAnsi="Times New Roman Regular" w:eastAsia="Times New Roman" w:cs="Times New Roman Regular"/>
          <w:sz w:val="24"/>
          <w:szCs w:val="24"/>
        </w:rPr>
        <w:t xml:space="preserve">had the best training performance with a training accuracy of 0.9261 and a kappa of 0.8001. When repeated measures were considered, the mixed-effect random forest had a higher training accuracy (accuracy = 0.9941, kappa = 0.9821) than the mixed-effect radial SVM (accuracy = 0.8971, kappa = 0.7150). However, random forests tend to overfit data, and the training accuracy is evidence of this. </w:t>
      </w:r>
    </w:p>
    <w:p>
      <w:pPr>
        <w:spacing w:after="0" w:line="240" w:lineRule="auto"/>
        <w:ind w:firstLine="720"/>
        <w:rPr>
          <w:rFonts w:hint="default" w:ascii="Times New Roman Regular" w:hAnsi="Times New Roman Regular" w:eastAsia="Times New Roman" w:cs="Times New Roman Regular"/>
          <w:sz w:val="24"/>
          <w:szCs w:val="24"/>
        </w:rPr>
      </w:pPr>
    </w:p>
    <w:tbl>
      <w:tblPr>
        <w:tblStyle w:val="3"/>
        <w:tblW w:w="9468"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2970"/>
        <w:gridCol w:w="2085"/>
        <w:gridCol w:w="1953"/>
        <w:gridCol w:w="2460"/>
      </w:tblGrid>
      <w:tr>
        <w:trPr>
          <w:trHeight w:val="300" w:hRule="atLeast"/>
        </w:trPr>
        <w:tc>
          <w:tcPr>
            <w:tcW w:w="9468" w:type="dxa"/>
            <w:gridSpan w:val="4"/>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Table 3: Training Accuracy and Cohen’s Kappa for all Classification Methods with Feature Selection and Considering Repeated Measures</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Models</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Accuracy</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1953"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Kappa</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460"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Parameters</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r>
      <w:tr>
        <w:trPr>
          <w:trHeight w:val="300" w:hRule="atLeast"/>
        </w:trPr>
        <w:tc>
          <w:tcPr>
            <w:tcW w:w="9468" w:type="dxa"/>
            <w:gridSpan w:val="4"/>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Parametric Methods</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Multiple Logistic Regression</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0.8222</w:t>
            </w:r>
          </w:p>
        </w:tc>
        <w:tc>
          <w:tcPr>
            <w:tcW w:w="1953"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0.5515</w:t>
            </w:r>
          </w:p>
        </w:tc>
        <w:tc>
          <w:tcPr>
            <w:tcW w:w="2460"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Lasso Regression</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0.8788 </w:t>
            </w:r>
          </w:p>
        </w:tc>
        <w:tc>
          <w:tcPr>
            <w:tcW w:w="1953"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0.6564 </w:t>
            </w:r>
          </w:p>
        </w:tc>
        <w:tc>
          <w:tcPr>
            <w:tcW w:w="246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xml:space="preserve">α= 1, </w:t>
            </w:r>
          </w:p>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λ= 0.0021</w:t>
            </w:r>
          </w:p>
        </w:tc>
      </w:tr>
      <w:tr>
        <w:trPr>
          <w:trHeight w:val="300" w:hRule="atLeast"/>
        </w:trPr>
        <w:tc>
          <w:tcPr>
            <w:tcW w:w="9468" w:type="dxa"/>
            <w:gridSpan w:val="4"/>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Non-Parametric Methods</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Radial Kernel Support Vector Classifier (SVM)</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0.9261*</w:t>
            </w:r>
          </w:p>
        </w:tc>
        <w:tc>
          <w:tcPr>
            <w:tcW w:w="1953"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0.8001</w:t>
            </w:r>
          </w:p>
        </w:tc>
        <w:tc>
          <w:tcPr>
            <w:tcW w:w="2460" w:type="dxa"/>
            <w:tcBorders>
              <w:top w:val="nil"/>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xml:space="preserve">s= 0.0073, </w:t>
            </w:r>
          </w:p>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cost = 131072</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Classification Trees</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0.8182</w:t>
            </w:r>
          </w:p>
        </w:tc>
        <w:tc>
          <w:tcPr>
            <w:tcW w:w="1953"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0.5755 </w:t>
            </w:r>
          </w:p>
        </w:tc>
        <w:tc>
          <w:tcPr>
            <w:tcW w:w="246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1</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cp = 0.0059 </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Random Forest</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0.9166</w:t>
            </w:r>
          </w:p>
        </w:tc>
        <w:tc>
          <w:tcPr>
            <w:tcW w:w="1953"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0.7591</w:t>
            </w:r>
          </w:p>
        </w:tc>
        <w:tc>
          <w:tcPr>
            <w:tcW w:w="246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2</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mtry=77 </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K-Nearest Neighbor</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0.9019</w:t>
            </w:r>
          </w:p>
        </w:tc>
        <w:tc>
          <w:tcPr>
            <w:tcW w:w="1953"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0.7258</w:t>
            </w:r>
          </w:p>
        </w:tc>
        <w:tc>
          <w:tcPr>
            <w:tcW w:w="246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K = 5 </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Neural Network</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0.9187</w:t>
            </w:r>
          </w:p>
        </w:tc>
        <w:tc>
          <w:tcPr>
            <w:tcW w:w="1953"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0.7765</w:t>
            </w:r>
          </w:p>
        </w:tc>
        <w:tc>
          <w:tcPr>
            <w:tcW w:w="246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xml:space="preserve">size = 5, </w:t>
            </w:r>
          </w:p>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decay = 0.1 </w:t>
            </w:r>
          </w:p>
        </w:tc>
      </w:tr>
      <w:tr>
        <w:trPr>
          <w:trHeight w:val="300" w:hRule="atLeast"/>
        </w:trPr>
        <w:tc>
          <w:tcPr>
            <w:tcW w:w="9468" w:type="dxa"/>
            <w:gridSpan w:val="4"/>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b/>
                <w:bCs/>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Repeated Measures</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Mixed effect random forest</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0.9941*</w:t>
            </w:r>
          </w:p>
        </w:tc>
        <w:tc>
          <w:tcPr>
            <w:tcW w:w="1953"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0.9821</w:t>
            </w:r>
          </w:p>
        </w:tc>
        <w:tc>
          <w:tcPr>
            <w:tcW w:w="246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2</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mtry=78 </w:t>
            </w:r>
          </w:p>
        </w:tc>
      </w:tr>
      <w:tr>
        <w:trPr>
          <w:trHeight w:val="300" w:hRule="atLeast"/>
        </w:trPr>
        <w:tc>
          <w:tcPr>
            <w:tcW w:w="297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b/>
                <w:bCs/>
                <w:color w:val="000000" w:themeColor="text1" w:themeTint="FF"/>
                <w:sz w:val="24"/>
                <w:szCs w:val="24"/>
                <w14:textFill>
                  <w14:solidFill>
                    <w14:schemeClr w14:val="tx1">
                      <w14:lumMod w14:val="100000"/>
                      <w14:lumOff w14:val="0"/>
                    </w14:schemeClr>
                  </w14:solidFill>
                </w14:textFill>
              </w:rPr>
              <w:t>Mixed effect SVM</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w:t>
            </w:r>
          </w:p>
        </w:tc>
        <w:tc>
          <w:tcPr>
            <w:tcW w:w="2085"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0.8971</w:t>
            </w:r>
          </w:p>
        </w:tc>
        <w:tc>
          <w:tcPr>
            <w:tcW w:w="1953"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0.7150</w:t>
            </w:r>
          </w:p>
        </w:tc>
        <w:tc>
          <w:tcPr>
            <w:tcW w:w="2460" w:type="dxa"/>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xml:space="preserve">s= 0.0065, </w:t>
            </w:r>
          </w:p>
          <w:p>
            <w:pPr>
              <w:spacing w:after="0" w:line="240" w:lineRule="auto"/>
              <w:jc w:val="center"/>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cost = 131072</w:t>
            </w:r>
          </w:p>
        </w:tc>
      </w:tr>
      <w:tr>
        <w:trPr>
          <w:trHeight w:val="300" w:hRule="atLeast"/>
        </w:trPr>
        <w:tc>
          <w:tcPr>
            <w:tcW w:w="9468" w:type="dxa"/>
            <w:gridSpan w:val="4"/>
            <w:tcBorders>
              <w:top w:val="single" w:color="auto" w:sz="6" w:space="0"/>
              <w:left w:val="single" w:color="auto" w:sz="6" w:space="0"/>
              <w:bottom w:val="single" w:color="auto" w:sz="6" w:space="0"/>
              <w:right w:val="single" w:color="auto" w:sz="6" w:space="0"/>
            </w:tcBorders>
            <w:shd w:val="clear" w:color="auto" w:fill="auto"/>
          </w:tcPr>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1</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cp = complexity parameter</w:t>
            </w:r>
          </w:p>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2</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mtry = number of randomly sampled predictors at each split</w:t>
            </w:r>
          </w:p>
          <w:p>
            <w:pPr>
              <w:spacing w:after="0" w:line="240" w:lineRule="auto"/>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pPr>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3</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xml:space="preserve">size = number of units in the hidden layer, decay = regularization parameter </w:t>
            </w:r>
          </w:p>
          <w:p>
            <w:pPr>
              <w:spacing w:after="0" w:line="240" w:lineRule="auto"/>
              <w:textAlignment w:val="baseline"/>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sz w:val="24"/>
                <w:szCs w:val="24"/>
              </w:rPr>
              <w:t>* Indicates the best performing model(s)</w:t>
            </w:r>
          </w:p>
        </w:tc>
      </w:tr>
    </w:tbl>
    <w:p>
      <w:pPr>
        <w:spacing w:after="0" w:line="240" w:lineRule="auto"/>
        <w:textAlignment w:val="baseline"/>
        <w:rPr>
          <w:rFonts w:hint="default" w:ascii="Times New Roman Regular" w:hAnsi="Times New Roman Regular" w:eastAsia="Times New Roman" w:cs="Times New Roman Regular"/>
          <w:sz w:val="24"/>
          <w:szCs w:val="24"/>
        </w:rPr>
      </w:pPr>
    </w:p>
    <w:p>
      <w:pPr>
        <w:spacing w:line="240" w:lineRule="auto"/>
        <w:jc w:val="both"/>
        <w:rPr>
          <w:rFonts w:hint="default" w:ascii="Times New Roman Regular" w:hAnsi="Times New Roman Regular" w:eastAsia="Times New Roman" w:cs="Times New Roman Regular"/>
          <w:i/>
          <w:iCs/>
          <w:sz w:val="24"/>
          <w:szCs w:val="24"/>
        </w:rPr>
      </w:pPr>
      <w:r>
        <w:rPr>
          <w:rFonts w:hint="default" w:ascii="Times New Roman Regular" w:hAnsi="Times New Roman Regular" w:eastAsia="Times New Roman" w:cs="Times New Roman Regular"/>
          <w:i/>
          <w:iCs/>
          <w:sz w:val="24"/>
          <w:szCs w:val="24"/>
        </w:rPr>
        <w:t>Test Set Prediction</w:t>
      </w:r>
    </w:p>
    <w:p>
      <w:pPr>
        <w:spacing w:after="0" w:line="240" w:lineRule="auto"/>
        <w:ind w:firstLine="720"/>
        <w:textAlignment w:val="baseline"/>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We elected to implement a radial SVM, which yielded the best accuracy and ROC-AUC across all statistical scenarios (Tables 1 – 3), to predict our main outcome. Of the 76 individuals in the test set, radial SVM predicted that 65.8% (n=50) presented with PD and 9.2% (n=7) were healthy. Moreover, 25% (n= 19) of the individuals were predicted to have inconclusive results, indicating that these individuals were predicted to be both healthy and PD patients within the three repeated measures (data not shown). </w:t>
      </w:r>
    </w:p>
    <w:p>
      <w:pPr>
        <w:spacing w:after="0" w:line="240" w:lineRule="auto"/>
        <w:ind w:firstLine="720"/>
        <w:textAlignment w:val="baseline"/>
        <w:rPr>
          <w:rFonts w:hint="default" w:ascii="Times New Roman Regular" w:hAnsi="Times New Roman Regular" w:eastAsia="Times New Roman" w:cs="Times New Roman Regular"/>
          <w:sz w:val="24"/>
          <w:szCs w:val="24"/>
        </w:rPr>
      </w:pPr>
    </w:p>
    <w:p>
      <w:pPr>
        <w:spacing w:line="240" w:lineRule="auto"/>
        <w:jc w:val="both"/>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Discussion</w:t>
      </w:r>
    </w:p>
    <w:p>
      <w:pPr>
        <w:spacing w:line="240" w:lineRule="auto"/>
        <w:ind w:firstLine="720"/>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 xml:space="preserve">We found the radial SVM to be the best machine learning method for classifying patients with PD and healthy individuals based on voice signals. This is similar to the findings of </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 xml:space="preserve">Hamza </w:t>
      </w:r>
      <w:r>
        <w:rPr>
          <w:rFonts w:hint="default" w:ascii="Times New Roman Regular" w:hAnsi="Times New Roman Regular" w:eastAsia="Times New Roman" w:cs="Times New Roman Regular"/>
          <w:sz w:val="24"/>
          <w:szCs w:val="24"/>
        </w:rPr>
        <w:t xml:space="preserve">et al., who also reported that the radial SVM had the highest accuracy among all the models applied. Although the accuracy of the radial SVM in our study (0.9152) was higher than that reported by </w:t>
      </w: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Hamza et al. (0.83), they note higher accuracies have been reported for PD classification in the literature.</w:t>
      </w:r>
      <w:sdt>
        <w:sdt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alias w:val="Citation"/>
          <w:tag w:val="{&quot;referencesIds&quot;:[&quot;doc:6431feacf1c1c9054f367ef3&quot;],&quot;referencesOptions&quot;:{&quot;doc:6431feacf1c1c9054f367ef3&quot;:{&quot;author&quot;:true,&quot;year&quot;:true,&quot;pageReplace&quot;:&quot;&quot;,&quot;prefix&quot;:&quot;&quot;,&quot;suffix&quot;:&quot;&quot;}},&quot;hasBrokenReferences&quot;:false,&quot;hasManualEdits&quot;:false,&quot;citationType&quot;:&quot;inline&quot;,&quot;id&quot;:-902290843,&quot;citationText&quot;:&quot;&lt;span style=\&quot;font-family:Calibri;font-size:16px;color:#000000\&quot;&gt;&lt;sup&gt;2&lt;/sup&gt;&lt;/span&gt;&quot;}"/>
          <w:id w:val="1995971071"/>
          <w:placeholder>
            <w:docPart w:val="E7368AC9F51D714F921D1F58AC8D4639"/>
          </w:placeholder>
        </w:sdtPr>
        <w:sdtEndPr>
          <w:rPr>
            <w:rFonts w:hint="default" w:ascii="Times New Roman Regular" w:hAnsi="Times New Roman Regular" w:cs="Times New Roman Regular" w:eastAsiaTheme="minorEastAsia"/>
            <w:color w:val="000000" w:themeColor="text1" w:themeTint="FF"/>
            <w:sz w:val="24"/>
            <w:szCs w:val="24"/>
            <w:highlight w:val="white"/>
            <w14:textFill>
              <w14:solidFill>
                <w14:schemeClr w14:val="tx1">
                  <w14:lumMod w14:val="100000"/>
                  <w14:lumOff w14:val="0"/>
                </w14:schemeClr>
              </w14:solidFill>
            </w14:textFill>
          </w:rPr>
        </w:sdtEndPr>
        <w:sdtContent>
          <w:r>
            <w:rPr>
              <w:rFonts w:hint="default" w:ascii="Times New Roman Regular" w:hAnsi="Times New Roman Regular" w:eastAsia="Times New Roman" w:cs="Times New Roman Regular"/>
              <w:color w:val="000000" w:themeColor="text1" w:themeTint="FF"/>
              <w:sz w:val="24"/>
              <w:szCs w:val="24"/>
              <w:vertAlign w:val="superscript"/>
              <w14:textFill>
                <w14:solidFill>
                  <w14:schemeClr w14:val="tx1">
                    <w14:lumMod w14:val="100000"/>
                    <w14:lumOff w14:val="0"/>
                  </w14:schemeClr>
                </w14:solidFill>
              </w14:textFill>
            </w:rPr>
            <w:t>2</w:t>
          </w:r>
        </w:sdtContent>
      </w:sdt>
    </w:p>
    <w:p>
      <w:pPr>
        <w:spacing w:line="240" w:lineRule="auto"/>
        <w:ind w:firstLine="720"/>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In our analysis, we did not apply Linear Discriminant Analysis (LDA) or polynomial SVM. LDA was not applied because these methods tend to perform poorly when dealing with high-dimensional or imbalanced data. The data used in this analysis had both characteristics: it was high-dimensional with p=753 and imbalanced owing to the rarity of Parkinson's, which skewed the class distribution. Although polynomial SVMs work well in high-dimensional space, this statistical method performs better when the data are linearly separable, and the non-parametric models performed better than the parametric models, showing evidence that these data are not linearly associated with predicting patients with PD and healthy individuals. Furthermore, random forest classification trees were not applied in the high-dimensional space when p = 753 because the algorithm was too computationally expensive compared to the algorithm being applied after feature selection with Boruta, where p = 154.</w:t>
      </w:r>
    </w:p>
    <w:p>
      <w:pPr>
        <w:spacing w:line="240" w:lineRule="auto"/>
        <w:ind w:firstLine="720"/>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These results should be considered in light of some limitations. The number of features (p = 753) was greater than the number of training dataset observations (n = 528 observations, 176 unique individuals), which can cause overfitting of the training set, curse of dimensionality that can lead to unstable and inaccurate models, and collinearity. Although the radial SVM is known to perform well in high-dimensional spaces, it can still be prone to overfitting due to the flexibility of the model when the number of features is much larger than the number of observations, as is the case with these data, leading to poor generalization performance on new, unseen data.</w:t>
      </w:r>
    </w:p>
    <w:p>
      <w:pPr>
        <w:spacing w:line="240" w:lineRule="auto"/>
        <w:ind w:firstLine="720"/>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r>
        <w:rPr>
          <w:rFonts w:hint="default" w:ascii="Times New Roman Regular" w:hAnsi="Times New Roman Regular" w:eastAsia="Times New Roman" w:cs="Times New Roman Regular"/>
          <w:color w:val="000000" w:themeColor="text1" w:themeTint="FF"/>
          <w:sz w:val="24"/>
          <w:szCs w:val="24"/>
          <w14:textFill>
            <w14:solidFill>
              <w14:schemeClr w14:val="tx1">
                <w14:lumMod w14:val="100000"/>
                <w14:lumOff w14:val="0"/>
              </w14:schemeClr>
            </w14:solidFill>
          </w14:textFill>
        </w:rPr>
        <w:t>In summary, radial SVM was found to best classify PD, and our results mimic those of Hamza et al. This technology can be used to improve early detection in the telemedicine space and improve technology for patients who may not have close access to a hospital for screening and treatment. Future studies should consider collinearity of the features for better predictions.</w:t>
      </w:r>
    </w:p>
    <w:p>
      <w:pPr>
        <w:spacing w:line="24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br w:type="page"/>
      </w:r>
      <w:r>
        <w:rPr>
          <w:rFonts w:hint="default" w:ascii="Times New Roman Regular" w:hAnsi="Times New Roman Regular" w:eastAsia="Times New Roman" w:cs="Times New Roman Regular"/>
          <w:b/>
          <w:bCs/>
          <w:sz w:val="24"/>
          <w:szCs w:val="24"/>
        </w:rPr>
        <w:t>References</w:t>
      </w:r>
    </w:p>
    <w:sdt>
      <w:sdtPr>
        <w:rPr>
          <w:rFonts w:hint="default" w:ascii="Times New Roman Regular" w:hAnsi="Times New Roman Regular" w:cs="Times New Roman Regular" w:eastAsiaTheme="minorHAnsi"/>
          <w:color w:val="2B579A"/>
          <w:sz w:val="24"/>
          <w:szCs w:val="24"/>
          <w:shd w:val="clear" w:color="auto" w:fill="E6E6E6"/>
        </w:rPr>
        <w:tag w:val="rw.bWnCOutputStyleIdiblio"/>
        <w:id w:val="1953644373"/>
        <w:placeholder>
          <w:docPart w:val="CAB698DC0EB19147A57DCDEEB3826C5C"/>
        </w:placeholder>
      </w:sdtPr>
      <w:sdtEndPr>
        <w:rPr>
          <w:rFonts w:hint="default" w:ascii="Times New Roman Regular" w:hAnsi="Times New Roman Regular" w:cs="Times New Roman Regular" w:eastAsiaTheme="minorHAnsi"/>
          <w:color w:val="2B579A"/>
          <w:sz w:val="24"/>
          <w:szCs w:val="24"/>
          <w:shd w:val="clear" w:color="auto" w:fill="E6E6E6"/>
        </w:rPr>
      </w:sdtEndPr>
      <w:sdtContent>
        <w:p>
          <w:pPr>
            <w:pStyle w:val="10"/>
            <w:rPr>
              <w:rFonts w:hint="default" w:ascii="Times New Roman Regular" w:hAnsi="Times New Roman Regular" w:eastAsia="Times New Roman" w:cs="Times New Roman Regular"/>
              <w:color w:val="000000"/>
              <w:sz w:val="24"/>
              <w:szCs w:val="24"/>
            </w:rPr>
          </w:pPr>
          <w:r>
            <w:rPr>
              <w:rFonts w:hint="default" w:ascii="Times New Roman Regular" w:hAnsi="Times New Roman Regular" w:cs="Times New Roman Regular"/>
              <w:color w:val="000000" w:themeColor="text1" w:themeTint="FF"/>
              <w:sz w:val="24"/>
              <w:szCs w:val="24"/>
              <w14:textFill>
                <w14:solidFill>
                  <w14:schemeClr w14:val="tx1">
                    <w14:lumMod w14:val="100000"/>
                    <w14:lumOff w14:val="0"/>
                  </w14:schemeClr>
                </w14:solidFill>
              </w14:textFill>
            </w:rPr>
            <w:t xml:space="preserve">1. National Institute of Neurological Disorders and Stroke. Parkinson's Disease: Challenges, Progress, and Promise. National Institute of Health Web site.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"https://www.ninds.nih.gov/current-research/focus-disorders/focus-parkinsons-disease-research/parkinsons-disease-challenges-progress-and-promise." \h </w:instrText>
          </w:r>
          <w:r>
            <w:rPr>
              <w:rFonts w:hint="default" w:ascii="Times New Roman Regular" w:hAnsi="Times New Roman Regular" w:cs="Times New Roman Regular"/>
              <w:sz w:val="24"/>
              <w:szCs w:val="24"/>
            </w:rPr>
            <w:fldChar w:fldCharType="separate"/>
          </w:r>
          <w:r>
            <w:rPr>
              <w:rStyle w:val="9"/>
              <w:rFonts w:hint="default" w:ascii="Times New Roman Regular" w:hAnsi="Times New Roman Regular" w:cs="Times New Roman Regular"/>
              <w:sz w:val="24"/>
              <w:szCs w:val="24"/>
            </w:rPr>
            <w:t>https://www.ninds.nih.gov/current-research/focus-disorders/focus-parkinsons-disease-research/parkinsons-disease-challenges-progress-and-promise.</w:t>
          </w:r>
          <w:r>
            <w:rPr>
              <w:rStyle w:val="9"/>
              <w:rFonts w:hint="default" w:ascii="Times New Roman Regular" w:hAnsi="Times New Roman Regular" w:cs="Times New Roman Regular"/>
              <w:sz w:val="24"/>
              <w:szCs w:val="24"/>
            </w:rPr>
            <w:fldChar w:fldCharType="end"/>
          </w:r>
          <w:r>
            <w:rPr>
              <w:rFonts w:hint="default" w:ascii="Times New Roman Regular" w:hAnsi="Times New Roman Regular" w:cs="Times New Roman Regular"/>
              <w:color w:val="000000" w:themeColor="text1" w:themeTint="FF"/>
              <w:sz w:val="24"/>
              <w:szCs w:val="24"/>
              <w14:textFill>
                <w14:solidFill>
                  <w14:schemeClr w14:val="tx1">
                    <w14:lumMod w14:val="100000"/>
                    <w14:lumOff w14:val="0"/>
                  </w14:schemeClr>
                </w14:solidFill>
              </w14:textFill>
            </w:rPr>
            <w:t xml:space="preserve"> Updated 2023. Accessed April 8, 2023</w:t>
          </w:r>
        </w:p>
        <w:p>
          <w:pPr>
            <w:pStyle w:val="10"/>
            <w:rPr>
              <w:rFonts w:hint="default" w:ascii="Times New Roman Regular" w:hAnsi="Times New Roman Regular" w:eastAsia="Times New Roman" w:cs="Times New Roman Regular"/>
              <w:color w:val="000000"/>
              <w:sz w:val="24"/>
              <w:szCs w:val="24"/>
            </w:rPr>
          </w:pPr>
          <w:r>
            <w:rPr>
              <w:rFonts w:hint="default" w:ascii="Times New Roman Regular" w:hAnsi="Times New Roman Regular" w:cs="Times New Roman Regular"/>
              <w:color w:val="000000" w:themeColor="text1" w:themeTint="FF"/>
              <w:sz w:val="24"/>
              <w:szCs w:val="24"/>
              <w14:textFill>
                <w14:solidFill>
                  <w14:schemeClr w14:val="tx1">
                    <w14:lumMod w14:val="100000"/>
                    <w14:lumOff w14:val="0"/>
                  </w14:schemeClr>
                </w14:solidFill>
              </w14:textFill>
            </w:rPr>
            <w:t xml:space="preserve">2. Hamza TH, Chen H, Hill-Burns EM, et al. Genome-wide gene-environment study identifies glutamate receptor gene GRIN2A as a Parkinson's disease modifier gene via interaction with coffee. </w:t>
          </w:r>
          <w:r>
            <w:rPr>
              <w:rFonts w:hint="default" w:ascii="Times New Roman Regular" w:hAnsi="Times New Roman Regular" w:cs="Times New Roman Regular"/>
              <w:i/>
              <w:iCs/>
              <w:color w:val="000000" w:themeColor="text1" w:themeTint="FF"/>
              <w:sz w:val="24"/>
              <w:szCs w:val="24"/>
              <w14:textFill>
                <w14:solidFill>
                  <w14:schemeClr w14:val="tx1">
                    <w14:lumMod w14:val="100000"/>
                    <w14:lumOff w14:val="0"/>
                  </w14:schemeClr>
                </w14:solidFill>
              </w14:textFill>
            </w:rPr>
            <w:t xml:space="preserve">PLoS Genet. </w:t>
          </w:r>
          <w:r>
            <w:rPr>
              <w:rFonts w:hint="default" w:ascii="Times New Roman Regular" w:hAnsi="Times New Roman Regular" w:cs="Times New Roman Regular"/>
              <w:color w:val="000000" w:themeColor="text1" w:themeTint="FF"/>
              <w:sz w:val="24"/>
              <w:szCs w:val="24"/>
              <w14:textFill>
                <w14:solidFill>
                  <w14:schemeClr w14:val="tx1">
                    <w14:lumMod w14:val="100000"/>
                    <w14:lumOff w14:val="0"/>
                  </w14:schemeClr>
                </w14:solidFill>
              </w14:textFill>
            </w:rPr>
            <w:t>2011;7(8):e1002237. doi:10.1371/journal.pgen.1002237</w:t>
          </w:r>
        </w:p>
        <w:p>
          <w:pPr>
            <w:spacing w:line="240" w:lineRule="auto"/>
            <w:rPr>
              <w:rFonts w:hint="default" w:ascii="Times New Roman Regular" w:hAnsi="Times New Roman Regular" w:eastAsia="Times New Roman" w:cs="Times New Roman Regular"/>
              <w:color w:val="000000" w:themeColor="text1"/>
              <w:sz w:val="24"/>
              <w:szCs w:val="24"/>
              <w14:textFill>
                <w14:solidFill>
                  <w14:schemeClr w14:val="tx1"/>
                </w14:solidFill>
              </w14:textFill>
            </w:rPr>
          </w:pPr>
        </w:p>
      </w:sdtContent>
    </w:sdt>
    <w:sectPr>
      <w:headerReference r:id="rId5" w:type="default"/>
      <w:footerReference r:id="rId7"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6"/>
    <w:family w:val="auto"/>
    <w:pitch w:val="default"/>
    <w:sig w:usb0="00000000" w:usb1="00000000" w:usb2="00000000" w:usb3="00000000" w:csb0="00160000" w:csb1="00000000"/>
  </w:font>
  <w:font w:name="Hiragino Sans GB">
    <w:panose1 w:val="020B0300000000000000"/>
    <w:charset w:val="86"/>
    <w:family w:val="auto"/>
    <w:pitch w:val="default"/>
    <w:sig w:usb0="00000000" w:usb1="00000000" w:usb2="00000000" w:usb3="00000000" w:csb0="00160000" w:csb1="00000000"/>
  </w:font>
  <w:font w:name="Times New Roman Regular">
    <w:panose1 w:val="020206030504050203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0" w:type="auto"/>
      <w:tblInd w:w="0" w:type="dxa"/>
      <w:tblLayout w:type="fixed"/>
      <w:tblCellMar>
        <w:top w:w="0" w:type="dxa"/>
        <w:left w:w="108" w:type="dxa"/>
        <w:bottom w:w="0" w:type="dxa"/>
        <w:right w:w="108" w:type="dxa"/>
      </w:tblCellMar>
    </w:tblPr>
    <w:tblGrid>
      <w:gridCol w:w="3120"/>
      <w:gridCol w:w="3120"/>
      <w:gridCol w:w="3120"/>
    </w:tblGrid>
    <w:tr>
      <w:trPr>
        <w:trHeight w:val="300" w:hRule="atLeast"/>
      </w:trPr>
      <w:tc>
        <w:tcPr>
          <w:tcW w:w="3120" w:type="dxa"/>
        </w:tcPr>
        <w:p>
          <w:pPr>
            <w:pStyle w:val="8"/>
            <w:ind w:left="-115"/>
          </w:pPr>
        </w:p>
      </w:tc>
      <w:tc>
        <w:tcPr>
          <w:tcW w:w="3120" w:type="dxa"/>
        </w:tcPr>
        <w:p>
          <w:pPr>
            <w:pStyle w:val="8"/>
            <w:jc w:val="center"/>
          </w:pPr>
        </w:p>
      </w:tc>
      <w:tc>
        <w:tcPr>
          <w:tcW w:w="3120" w:type="dxa"/>
        </w:tcPr>
        <w:p>
          <w:pPr>
            <w:pStyle w:val="8"/>
            <w:ind w:right="-115"/>
            <w:jc w:val="right"/>
          </w:pPr>
        </w:p>
      </w:tc>
    </w:tr>
  </w:tbl>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1"/>
      </w:rPr>
      <w:id w:val="-936283170"/>
      <w:docPartObj>
        <w:docPartGallery w:val="AutoText"/>
      </w:docPartObj>
    </w:sdtPr>
    <w:sdtEndPr>
      <w:rPr>
        <w:rStyle w:val="11"/>
      </w:rPr>
    </w:sdtEndPr>
    <w:sdtContent>
      <w:p>
        <w:pPr>
          <w:pStyle w:val="8"/>
          <w:framePr w:wrap="auto" w:vAnchor="text" w:hAnchor="margin" w:xAlign="right" w:y="1"/>
          <w:rPr>
            <w:rStyle w:val="11"/>
          </w:rPr>
        </w:pPr>
        <w:r>
          <w:rPr>
            <w:rStyle w:val="11"/>
          </w:rPr>
          <w:fldChar w:fldCharType="begin"/>
        </w:r>
        <w:r>
          <w:rPr>
            <w:rStyle w:val="11"/>
          </w:rPr>
          <w:instrText xml:space="preserve"> PAGE </w:instrText>
        </w:r>
        <w:r>
          <w:rPr>
            <w:rStyle w:val="11"/>
          </w:rPr>
          <w:fldChar w:fldCharType="separate"/>
        </w:r>
        <w:r>
          <w:rPr>
            <w:rStyle w:val="11"/>
          </w:rPr>
          <w:t>3</w:t>
        </w:r>
        <w:r>
          <w:rPr>
            <w:rStyle w:val="11"/>
          </w:rPr>
          <w:fldChar w:fldCharType="end"/>
        </w:r>
      </w:p>
    </w:sdtContent>
  </w:sdt>
  <w:tbl>
    <w:tblPr>
      <w:tblStyle w:val="3"/>
      <w:tblW w:w="0" w:type="auto"/>
      <w:tblInd w:w="0" w:type="dxa"/>
      <w:tblLayout w:type="fixed"/>
      <w:tblCellMar>
        <w:top w:w="0" w:type="dxa"/>
        <w:left w:w="108" w:type="dxa"/>
        <w:bottom w:w="0" w:type="dxa"/>
        <w:right w:w="108" w:type="dxa"/>
      </w:tblCellMar>
    </w:tblPr>
    <w:tblGrid>
      <w:gridCol w:w="3120"/>
      <w:gridCol w:w="3120"/>
    </w:tblGrid>
    <w:tr>
      <w:trPr>
        <w:trHeight w:val="300" w:hRule="atLeast"/>
      </w:trPr>
      <w:tc>
        <w:tcPr>
          <w:tcW w:w="3120" w:type="dxa"/>
        </w:tcPr>
        <w:p>
          <w:pPr>
            <w:pStyle w:val="8"/>
            <w:ind w:left="-115" w:right="360"/>
          </w:pPr>
        </w:p>
      </w:tc>
      <w:tc>
        <w:tcPr>
          <w:tcW w:w="3120" w:type="dxa"/>
        </w:tcPr>
        <w:p>
          <w:pPr>
            <w:pStyle w:val="8"/>
            <w:jc w:val="center"/>
          </w:pPr>
        </w:p>
      </w:tc>
    </w:tr>
  </w:tbl>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uto" w:vAnchor="text" w:hAnchor="margin" w:xAlign="right" w:y="1"/>
      <w:rPr>
        <w:rStyle w:val="11"/>
      </w:rPr>
    </w:pPr>
    <w:r>
      <w:rPr>
        <w:rStyle w:val="11"/>
      </w:rPr>
      <w:fldChar w:fldCharType="begin"/>
    </w:r>
    <w:r>
      <w:rPr>
        <w:rStyle w:val="11"/>
      </w:rPr>
      <w:instrText xml:space="preserve"> PAGE </w:instrText>
    </w:r>
    <w:r>
      <w:rPr>
        <w:rStyle w:val="11"/>
      </w:rPr>
      <w:fldChar w:fldCharType="separate"/>
    </w:r>
    <w:r>
      <w:rPr>
        <w:rStyle w:val="11"/>
      </w:rPr>
      <w:t>1</w:t>
    </w:r>
    <w:r>
      <w:rPr>
        <w:rStyle w:val="11"/>
      </w:rPr>
      <w:fldChar w:fldCharType="end"/>
    </w:r>
  </w:p>
  <w:p>
    <w:pPr>
      <w:pStyle w:val="8"/>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71B"/>
    <w:rsid w:val="0000352F"/>
    <w:rsid w:val="00005AAC"/>
    <w:rsid w:val="00022891"/>
    <w:rsid w:val="00023642"/>
    <w:rsid w:val="000325F1"/>
    <w:rsid w:val="00034D1F"/>
    <w:rsid w:val="00040E21"/>
    <w:rsid w:val="00042C6E"/>
    <w:rsid w:val="00060462"/>
    <w:rsid w:val="000616D3"/>
    <w:rsid w:val="00074548"/>
    <w:rsid w:val="00086402"/>
    <w:rsid w:val="000A07CF"/>
    <w:rsid w:val="000A746D"/>
    <w:rsid w:val="000B0A26"/>
    <w:rsid w:val="000B3B6A"/>
    <w:rsid w:val="000C6F47"/>
    <w:rsid w:val="000D09E0"/>
    <w:rsid w:val="000E0C6C"/>
    <w:rsid w:val="000E6908"/>
    <w:rsid w:val="000F0DDA"/>
    <w:rsid w:val="00104CA8"/>
    <w:rsid w:val="00105735"/>
    <w:rsid w:val="001069FF"/>
    <w:rsid w:val="00110E2E"/>
    <w:rsid w:val="00112CBB"/>
    <w:rsid w:val="0012391E"/>
    <w:rsid w:val="0012421C"/>
    <w:rsid w:val="00140137"/>
    <w:rsid w:val="001414F1"/>
    <w:rsid w:val="00147BFC"/>
    <w:rsid w:val="001510B9"/>
    <w:rsid w:val="001514CF"/>
    <w:rsid w:val="00157224"/>
    <w:rsid w:val="00164237"/>
    <w:rsid w:val="00170E47"/>
    <w:rsid w:val="001754E9"/>
    <w:rsid w:val="00175F94"/>
    <w:rsid w:val="00176A99"/>
    <w:rsid w:val="001815A7"/>
    <w:rsid w:val="001869E9"/>
    <w:rsid w:val="00190485"/>
    <w:rsid w:val="00192539"/>
    <w:rsid w:val="00194D64"/>
    <w:rsid w:val="0019762C"/>
    <w:rsid w:val="001A70D9"/>
    <w:rsid w:val="001D503C"/>
    <w:rsid w:val="001E2D91"/>
    <w:rsid w:val="001E5CA0"/>
    <w:rsid w:val="001E60DC"/>
    <w:rsid w:val="001EE826"/>
    <w:rsid w:val="001EF7C3"/>
    <w:rsid w:val="002040FC"/>
    <w:rsid w:val="002109C7"/>
    <w:rsid w:val="002112B2"/>
    <w:rsid w:val="002218D9"/>
    <w:rsid w:val="00225CE3"/>
    <w:rsid w:val="00237CA7"/>
    <w:rsid w:val="0024497B"/>
    <w:rsid w:val="00246ACF"/>
    <w:rsid w:val="00251E53"/>
    <w:rsid w:val="002554B7"/>
    <w:rsid w:val="00281EB7"/>
    <w:rsid w:val="002874A3"/>
    <w:rsid w:val="002933CD"/>
    <w:rsid w:val="0029707A"/>
    <w:rsid w:val="002A6566"/>
    <w:rsid w:val="002B0DC8"/>
    <w:rsid w:val="002C65AC"/>
    <w:rsid w:val="002D3470"/>
    <w:rsid w:val="002D39B0"/>
    <w:rsid w:val="002E2C72"/>
    <w:rsid w:val="002F65B5"/>
    <w:rsid w:val="003129FE"/>
    <w:rsid w:val="003138B7"/>
    <w:rsid w:val="0033068B"/>
    <w:rsid w:val="00330A98"/>
    <w:rsid w:val="00333000"/>
    <w:rsid w:val="00345138"/>
    <w:rsid w:val="003651BF"/>
    <w:rsid w:val="00384B4E"/>
    <w:rsid w:val="003927D7"/>
    <w:rsid w:val="003A555C"/>
    <w:rsid w:val="003D1457"/>
    <w:rsid w:val="003D2654"/>
    <w:rsid w:val="003D3D06"/>
    <w:rsid w:val="003D7032"/>
    <w:rsid w:val="003D75ED"/>
    <w:rsid w:val="003D775D"/>
    <w:rsid w:val="003E4931"/>
    <w:rsid w:val="003E5D65"/>
    <w:rsid w:val="003F0695"/>
    <w:rsid w:val="003F135E"/>
    <w:rsid w:val="003F30B1"/>
    <w:rsid w:val="003F75D5"/>
    <w:rsid w:val="003F7E5E"/>
    <w:rsid w:val="0040059E"/>
    <w:rsid w:val="0040266B"/>
    <w:rsid w:val="00405D75"/>
    <w:rsid w:val="004139CF"/>
    <w:rsid w:val="004161D9"/>
    <w:rsid w:val="00421372"/>
    <w:rsid w:val="004249F6"/>
    <w:rsid w:val="004335BC"/>
    <w:rsid w:val="004530C0"/>
    <w:rsid w:val="00456718"/>
    <w:rsid w:val="004569D7"/>
    <w:rsid w:val="00460C0F"/>
    <w:rsid w:val="0046545A"/>
    <w:rsid w:val="00466760"/>
    <w:rsid w:val="00470B14"/>
    <w:rsid w:val="004819C4"/>
    <w:rsid w:val="00485B74"/>
    <w:rsid w:val="004A60B3"/>
    <w:rsid w:val="004B3F83"/>
    <w:rsid w:val="004B729F"/>
    <w:rsid w:val="004C123A"/>
    <w:rsid w:val="004C40BB"/>
    <w:rsid w:val="004C57A8"/>
    <w:rsid w:val="004D4E5A"/>
    <w:rsid w:val="004D551E"/>
    <w:rsid w:val="004D64D6"/>
    <w:rsid w:val="004F29D0"/>
    <w:rsid w:val="004F70DC"/>
    <w:rsid w:val="004F7B7B"/>
    <w:rsid w:val="0050794D"/>
    <w:rsid w:val="0051631E"/>
    <w:rsid w:val="005240E1"/>
    <w:rsid w:val="00533D95"/>
    <w:rsid w:val="00536D25"/>
    <w:rsid w:val="00540F59"/>
    <w:rsid w:val="00543858"/>
    <w:rsid w:val="00544718"/>
    <w:rsid w:val="0055045F"/>
    <w:rsid w:val="005520B9"/>
    <w:rsid w:val="00555075"/>
    <w:rsid w:val="00563A2A"/>
    <w:rsid w:val="005661D1"/>
    <w:rsid w:val="005849BC"/>
    <w:rsid w:val="0058595B"/>
    <w:rsid w:val="005B03E4"/>
    <w:rsid w:val="005B1D3C"/>
    <w:rsid w:val="005C3DFC"/>
    <w:rsid w:val="005C504A"/>
    <w:rsid w:val="00613EFC"/>
    <w:rsid w:val="0064223C"/>
    <w:rsid w:val="0065563A"/>
    <w:rsid w:val="006568ED"/>
    <w:rsid w:val="00663D6A"/>
    <w:rsid w:val="00672E52"/>
    <w:rsid w:val="006802D8"/>
    <w:rsid w:val="006917E8"/>
    <w:rsid w:val="006A1366"/>
    <w:rsid w:val="006A54BC"/>
    <w:rsid w:val="006A5704"/>
    <w:rsid w:val="006E3022"/>
    <w:rsid w:val="006E3407"/>
    <w:rsid w:val="006E55E0"/>
    <w:rsid w:val="006F50DB"/>
    <w:rsid w:val="006F5490"/>
    <w:rsid w:val="007065D2"/>
    <w:rsid w:val="00713EAF"/>
    <w:rsid w:val="0071550C"/>
    <w:rsid w:val="00716834"/>
    <w:rsid w:val="00737349"/>
    <w:rsid w:val="00746516"/>
    <w:rsid w:val="007530C0"/>
    <w:rsid w:val="00780EF3"/>
    <w:rsid w:val="007821E4"/>
    <w:rsid w:val="00797630"/>
    <w:rsid w:val="007B727D"/>
    <w:rsid w:val="007C098C"/>
    <w:rsid w:val="007DD5C5"/>
    <w:rsid w:val="007E3CB9"/>
    <w:rsid w:val="007F22A2"/>
    <w:rsid w:val="007F27EF"/>
    <w:rsid w:val="00820053"/>
    <w:rsid w:val="00823715"/>
    <w:rsid w:val="0082650A"/>
    <w:rsid w:val="008358F0"/>
    <w:rsid w:val="00842444"/>
    <w:rsid w:val="008543DC"/>
    <w:rsid w:val="0085A6CF"/>
    <w:rsid w:val="00863D4D"/>
    <w:rsid w:val="0086506D"/>
    <w:rsid w:val="00870493"/>
    <w:rsid w:val="00871DFC"/>
    <w:rsid w:val="00876C81"/>
    <w:rsid w:val="00883BFF"/>
    <w:rsid w:val="00884A7B"/>
    <w:rsid w:val="0089353B"/>
    <w:rsid w:val="00894F5E"/>
    <w:rsid w:val="008958BA"/>
    <w:rsid w:val="00896C2F"/>
    <w:rsid w:val="008A151B"/>
    <w:rsid w:val="008A21E0"/>
    <w:rsid w:val="008C2E06"/>
    <w:rsid w:val="008C7660"/>
    <w:rsid w:val="008C7B4A"/>
    <w:rsid w:val="008D1F2E"/>
    <w:rsid w:val="008E575E"/>
    <w:rsid w:val="008E7A9D"/>
    <w:rsid w:val="0090166A"/>
    <w:rsid w:val="00916DC6"/>
    <w:rsid w:val="009215F9"/>
    <w:rsid w:val="00921C88"/>
    <w:rsid w:val="0092574A"/>
    <w:rsid w:val="009405AE"/>
    <w:rsid w:val="00946B0A"/>
    <w:rsid w:val="0094776B"/>
    <w:rsid w:val="00954A39"/>
    <w:rsid w:val="0096FDC6"/>
    <w:rsid w:val="00982020"/>
    <w:rsid w:val="00982535"/>
    <w:rsid w:val="00993265"/>
    <w:rsid w:val="00993476"/>
    <w:rsid w:val="00993920"/>
    <w:rsid w:val="00996BB8"/>
    <w:rsid w:val="009B686E"/>
    <w:rsid w:val="009C3D76"/>
    <w:rsid w:val="009D241D"/>
    <w:rsid w:val="009D7B48"/>
    <w:rsid w:val="009E6AE4"/>
    <w:rsid w:val="00A15DAD"/>
    <w:rsid w:val="00A32753"/>
    <w:rsid w:val="00A40828"/>
    <w:rsid w:val="00A423FF"/>
    <w:rsid w:val="00A43449"/>
    <w:rsid w:val="00A53509"/>
    <w:rsid w:val="00A61019"/>
    <w:rsid w:val="00A70C73"/>
    <w:rsid w:val="00A729A1"/>
    <w:rsid w:val="00A77FE3"/>
    <w:rsid w:val="00A80863"/>
    <w:rsid w:val="00A80A80"/>
    <w:rsid w:val="00A8264F"/>
    <w:rsid w:val="00A82C01"/>
    <w:rsid w:val="00A85290"/>
    <w:rsid w:val="00A854EB"/>
    <w:rsid w:val="00A92F51"/>
    <w:rsid w:val="00A96725"/>
    <w:rsid w:val="00A96A99"/>
    <w:rsid w:val="00AC5977"/>
    <w:rsid w:val="00AD6DDE"/>
    <w:rsid w:val="00AD7882"/>
    <w:rsid w:val="00AE0DFE"/>
    <w:rsid w:val="00AE9915"/>
    <w:rsid w:val="00B07BED"/>
    <w:rsid w:val="00B07ED7"/>
    <w:rsid w:val="00B12155"/>
    <w:rsid w:val="00B171E0"/>
    <w:rsid w:val="00B2406F"/>
    <w:rsid w:val="00B3300F"/>
    <w:rsid w:val="00B36E06"/>
    <w:rsid w:val="00B42388"/>
    <w:rsid w:val="00B52BCC"/>
    <w:rsid w:val="00B6793E"/>
    <w:rsid w:val="00B75FDD"/>
    <w:rsid w:val="00B8190D"/>
    <w:rsid w:val="00B8620C"/>
    <w:rsid w:val="00BA52E0"/>
    <w:rsid w:val="00BB586A"/>
    <w:rsid w:val="00BC671B"/>
    <w:rsid w:val="00BD35B8"/>
    <w:rsid w:val="00BE5B73"/>
    <w:rsid w:val="00BF28B7"/>
    <w:rsid w:val="00BF6CDB"/>
    <w:rsid w:val="00BF7D15"/>
    <w:rsid w:val="00C03B5D"/>
    <w:rsid w:val="00C10436"/>
    <w:rsid w:val="00C20814"/>
    <w:rsid w:val="00C362F8"/>
    <w:rsid w:val="00C368E0"/>
    <w:rsid w:val="00C37B52"/>
    <w:rsid w:val="00C40242"/>
    <w:rsid w:val="00C57BED"/>
    <w:rsid w:val="00C634F7"/>
    <w:rsid w:val="00C71D30"/>
    <w:rsid w:val="00C7434F"/>
    <w:rsid w:val="00C94D51"/>
    <w:rsid w:val="00CA0DA9"/>
    <w:rsid w:val="00CA771D"/>
    <w:rsid w:val="00CA7AC0"/>
    <w:rsid w:val="00CB282A"/>
    <w:rsid w:val="00CB33B6"/>
    <w:rsid w:val="00CC0755"/>
    <w:rsid w:val="00CC0A33"/>
    <w:rsid w:val="00CC0FCB"/>
    <w:rsid w:val="00CC1C4A"/>
    <w:rsid w:val="00CD1C33"/>
    <w:rsid w:val="00CD26EF"/>
    <w:rsid w:val="00CD30FD"/>
    <w:rsid w:val="00CE156F"/>
    <w:rsid w:val="00CF3D73"/>
    <w:rsid w:val="00CF6A2C"/>
    <w:rsid w:val="00D10CB9"/>
    <w:rsid w:val="00D1146B"/>
    <w:rsid w:val="00D12551"/>
    <w:rsid w:val="00D20CDC"/>
    <w:rsid w:val="00D2327D"/>
    <w:rsid w:val="00D2630A"/>
    <w:rsid w:val="00D302EA"/>
    <w:rsid w:val="00D32170"/>
    <w:rsid w:val="00D35ECB"/>
    <w:rsid w:val="00D44391"/>
    <w:rsid w:val="00D44AE8"/>
    <w:rsid w:val="00D44F9D"/>
    <w:rsid w:val="00D51C5B"/>
    <w:rsid w:val="00D51F07"/>
    <w:rsid w:val="00D54C21"/>
    <w:rsid w:val="00D55022"/>
    <w:rsid w:val="00D648D2"/>
    <w:rsid w:val="00D64F79"/>
    <w:rsid w:val="00D6737F"/>
    <w:rsid w:val="00D7673D"/>
    <w:rsid w:val="00D8250C"/>
    <w:rsid w:val="00D9172F"/>
    <w:rsid w:val="00D92F4B"/>
    <w:rsid w:val="00DA1D3A"/>
    <w:rsid w:val="00DC1E01"/>
    <w:rsid w:val="00DD4FAF"/>
    <w:rsid w:val="00DE12F9"/>
    <w:rsid w:val="00DE185B"/>
    <w:rsid w:val="00DF08EE"/>
    <w:rsid w:val="00DF0E54"/>
    <w:rsid w:val="00DF29D1"/>
    <w:rsid w:val="00E16BF0"/>
    <w:rsid w:val="00E214FF"/>
    <w:rsid w:val="00E2559D"/>
    <w:rsid w:val="00E2678B"/>
    <w:rsid w:val="00E2DABD"/>
    <w:rsid w:val="00E311DF"/>
    <w:rsid w:val="00E33F2D"/>
    <w:rsid w:val="00E35D70"/>
    <w:rsid w:val="00E41338"/>
    <w:rsid w:val="00E41BEE"/>
    <w:rsid w:val="00E62F81"/>
    <w:rsid w:val="00E7202F"/>
    <w:rsid w:val="00E72A21"/>
    <w:rsid w:val="00E771F9"/>
    <w:rsid w:val="00EA7A39"/>
    <w:rsid w:val="00EB0FC1"/>
    <w:rsid w:val="00EB1301"/>
    <w:rsid w:val="00EB5EDB"/>
    <w:rsid w:val="00EC1152"/>
    <w:rsid w:val="00EE3C26"/>
    <w:rsid w:val="00EE57F9"/>
    <w:rsid w:val="00EF6CAB"/>
    <w:rsid w:val="00F0500D"/>
    <w:rsid w:val="00F31DBA"/>
    <w:rsid w:val="00F32935"/>
    <w:rsid w:val="00F40FEB"/>
    <w:rsid w:val="00F443F1"/>
    <w:rsid w:val="00F44BD9"/>
    <w:rsid w:val="00F50AC5"/>
    <w:rsid w:val="00F709DC"/>
    <w:rsid w:val="00F720CC"/>
    <w:rsid w:val="00F77E0E"/>
    <w:rsid w:val="00F84BCA"/>
    <w:rsid w:val="00F91E15"/>
    <w:rsid w:val="00F969DF"/>
    <w:rsid w:val="00FA769E"/>
    <w:rsid w:val="00FB18CE"/>
    <w:rsid w:val="00FB440B"/>
    <w:rsid w:val="00FB6DA6"/>
    <w:rsid w:val="00FC1048"/>
    <w:rsid w:val="00FC69EA"/>
    <w:rsid w:val="00FD1A34"/>
    <w:rsid w:val="00FD2FE9"/>
    <w:rsid w:val="00FF448D"/>
    <w:rsid w:val="01208933"/>
    <w:rsid w:val="01235BF5"/>
    <w:rsid w:val="013FA90E"/>
    <w:rsid w:val="016710E4"/>
    <w:rsid w:val="01699415"/>
    <w:rsid w:val="0184CBCD"/>
    <w:rsid w:val="01E5EEC7"/>
    <w:rsid w:val="01F0CE90"/>
    <w:rsid w:val="01F3457C"/>
    <w:rsid w:val="0208CC5F"/>
    <w:rsid w:val="0225E955"/>
    <w:rsid w:val="023DA023"/>
    <w:rsid w:val="02506133"/>
    <w:rsid w:val="026A5B17"/>
    <w:rsid w:val="0273EDBB"/>
    <w:rsid w:val="028CE5E1"/>
    <w:rsid w:val="02B158BC"/>
    <w:rsid w:val="02BD6909"/>
    <w:rsid w:val="02C250B4"/>
    <w:rsid w:val="02C884CC"/>
    <w:rsid w:val="0317AE1D"/>
    <w:rsid w:val="036D2599"/>
    <w:rsid w:val="038137FA"/>
    <w:rsid w:val="03B57687"/>
    <w:rsid w:val="03B89063"/>
    <w:rsid w:val="03C4887C"/>
    <w:rsid w:val="03F41F1A"/>
    <w:rsid w:val="0404E26A"/>
    <w:rsid w:val="04119903"/>
    <w:rsid w:val="041AB47E"/>
    <w:rsid w:val="0430BED7"/>
    <w:rsid w:val="0445634A"/>
    <w:rsid w:val="0447344A"/>
    <w:rsid w:val="04644C80"/>
    <w:rsid w:val="046A649B"/>
    <w:rsid w:val="047931EA"/>
    <w:rsid w:val="049846FB"/>
    <w:rsid w:val="049C5E92"/>
    <w:rsid w:val="04E87EA2"/>
    <w:rsid w:val="04FDEA37"/>
    <w:rsid w:val="0512674E"/>
    <w:rsid w:val="051D085B"/>
    <w:rsid w:val="055917F2"/>
    <w:rsid w:val="0559356E"/>
    <w:rsid w:val="0566D34B"/>
    <w:rsid w:val="0586A0DF"/>
    <w:rsid w:val="05A0A85A"/>
    <w:rsid w:val="05C64C11"/>
    <w:rsid w:val="05D85700"/>
    <w:rsid w:val="05F509CB"/>
    <w:rsid w:val="05FC99E7"/>
    <w:rsid w:val="0626A65A"/>
    <w:rsid w:val="0630E327"/>
    <w:rsid w:val="063CD246"/>
    <w:rsid w:val="066A6FB0"/>
    <w:rsid w:val="068E1265"/>
    <w:rsid w:val="0692F44F"/>
    <w:rsid w:val="06A4C65B"/>
    <w:rsid w:val="06AAD87C"/>
    <w:rsid w:val="06C53DD6"/>
    <w:rsid w:val="06CF9537"/>
    <w:rsid w:val="06E410CA"/>
    <w:rsid w:val="06FC1115"/>
    <w:rsid w:val="071A821D"/>
    <w:rsid w:val="072F6787"/>
    <w:rsid w:val="076667CE"/>
    <w:rsid w:val="078127DF"/>
    <w:rsid w:val="07A178AA"/>
    <w:rsid w:val="07CC0313"/>
    <w:rsid w:val="07D4DD2F"/>
    <w:rsid w:val="082EC4B0"/>
    <w:rsid w:val="08451F4F"/>
    <w:rsid w:val="084BA24B"/>
    <w:rsid w:val="085084D7"/>
    <w:rsid w:val="086C1875"/>
    <w:rsid w:val="089787BE"/>
    <w:rsid w:val="08B0D7CD"/>
    <w:rsid w:val="08FF3C75"/>
    <w:rsid w:val="09166894"/>
    <w:rsid w:val="093701A6"/>
    <w:rsid w:val="09707E3B"/>
    <w:rsid w:val="09B96C8B"/>
    <w:rsid w:val="09CEB219"/>
    <w:rsid w:val="0A05350C"/>
    <w:rsid w:val="0A297697"/>
    <w:rsid w:val="0A46AB44"/>
    <w:rsid w:val="0A4F144F"/>
    <w:rsid w:val="0A58736E"/>
    <w:rsid w:val="0A598155"/>
    <w:rsid w:val="0A9B7C71"/>
    <w:rsid w:val="0AE1725F"/>
    <w:rsid w:val="0AE51068"/>
    <w:rsid w:val="0B02F6CB"/>
    <w:rsid w:val="0B1BB14E"/>
    <w:rsid w:val="0B26E322"/>
    <w:rsid w:val="0B344841"/>
    <w:rsid w:val="0B5788B1"/>
    <w:rsid w:val="0B901737"/>
    <w:rsid w:val="0BC2E708"/>
    <w:rsid w:val="0BEB6CAF"/>
    <w:rsid w:val="0C123B6F"/>
    <w:rsid w:val="0C1A7025"/>
    <w:rsid w:val="0C284C00"/>
    <w:rsid w:val="0C29C5AD"/>
    <w:rsid w:val="0C39C6FC"/>
    <w:rsid w:val="0C4B22F2"/>
    <w:rsid w:val="0C52462F"/>
    <w:rsid w:val="0C53014E"/>
    <w:rsid w:val="0C573F48"/>
    <w:rsid w:val="0C6C6619"/>
    <w:rsid w:val="0C739D3C"/>
    <w:rsid w:val="0C7E7FF4"/>
    <w:rsid w:val="0C825BB5"/>
    <w:rsid w:val="0C95F803"/>
    <w:rsid w:val="0CCDA536"/>
    <w:rsid w:val="0CF9FF0C"/>
    <w:rsid w:val="0D0F655A"/>
    <w:rsid w:val="0D116EE0"/>
    <w:rsid w:val="0D19653A"/>
    <w:rsid w:val="0D226292"/>
    <w:rsid w:val="0D2521B8"/>
    <w:rsid w:val="0D6CBA7A"/>
    <w:rsid w:val="0D6CC3B5"/>
    <w:rsid w:val="0D8B8E86"/>
    <w:rsid w:val="0D8D0CEB"/>
    <w:rsid w:val="0D9313DA"/>
    <w:rsid w:val="0DB723F4"/>
    <w:rsid w:val="0DBB5545"/>
    <w:rsid w:val="0DC20035"/>
    <w:rsid w:val="0DEBD14C"/>
    <w:rsid w:val="0DEE1690"/>
    <w:rsid w:val="0E00507D"/>
    <w:rsid w:val="0E0A567E"/>
    <w:rsid w:val="0E56928F"/>
    <w:rsid w:val="0EB905C9"/>
    <w:rsid w:val="0F05E462"/>
    <w:rsid w:val="0F3285AF"/>
    <w:rsid w:val="0F36D1C1"/>
    <w:rsid w:val="0F4C2F89"/>
    <w:rsid w:val="0F52085E"/>
    <w:rsid w:val="0F568F80"/>
    <w:rsid w:val="0F7AF01A"/>
    <w:rsid w:val="0F82C3B4"/>
    <w:rsid w:val="0FBCBE8B"/>
    <w:rsid w:val="0FBDECC1"/>
    <w:rsid w:val="0FDF8AA3"/>
    <w:rsid w:val="0FE36319"/>
    <w:rsid w:val="100545F8"/>
    <w:rsid w:val="10097ED1"/>
    <w:rsid w:val="100A67A2"/>
    <w:rsid w:val="102B6F5A"/>
    <w:rsid w:val="105062B3"/>
    <w:rsid w:val="105EE78C"/>
    <w:rsid w:val="10932BB9"/>
    <w:rsid w:val="10984022"/>
    <w:rsid w:val="10A8B0EE"/>
    <w:rsid w:val="10AC9891"/>
    <w:rsid w:val="10B6A7A1"/>
    <w:rsid w:val="10C2F1C4"/>
    <w:rsid w:val="110017A0"/>
    <w:rsid w:val="11002C28"/>
    <w:rsid w:val="1129FE46"/>
    <w:rsid w:val="113DFB4E"/>
    <w:rsid w:val="114B8BE0"/>
    <w:rsid w:val="116E9425"/>
    <w:rsid w:val="1176652F"/>
    <w:rsid w:val="1191432C"/>
    <w:rsid w:val="11C9EBE5"/>
    <w:rsid w:val="12083DFB"/>
    <w:rsid w:val="122AD19E"/>
    <w:rsid w:val="124FA12F"/>
    <w:rsid w:val="12A6F3F8"/>
    <w:rsid w:val="12F64812"/>
    <w:rsid w:val="13123590"/>
    <w:rsid w:val="13438F77"/>
    <w:rsid w:val="136C9403"/>
    <w:rsid w:val="1382BA72"/>
    <w:rsid w:val="139CAA24"/>
    <w:rsid w:val="13C23084"/>
    <w:rsid w:val="13E6756E"/>
    <w:rsid w:val="13F698A5"/>
    <w:rsid w:val="140A42E4"/>
    <w:rsid w:val="14256BE3"/>
    <w:rsid w:val="1426BF95"/>
    <w:rsid w:val="144EAC39"/>
    <w:rsid w:val="145634D7"/>
    <w:rsid w:val="1474911A"/>
    <w:rsid w:val="147CEFA4"/>
    <w:rsid w:val="14841605"/>
    <w:rsid w:val="14955B20"/>
    <w:rsid w:val="14A0CB5E"/>
    <w:rsid w:val="14AA7707"/>
    <w:rsid w:val="14BE7398"/>
    <w:rsid w:val="14CCACB2"/>
    <w:rsid w:val="14E9FBD5"/>
    <w:rsid w:val="14F51786"/>
    <w:rsid w:val="150A35FB"/>
    <w:rsid w:val="15190E77"/>
    <w:rsid w:val="151F91D7"/>
    <w:rsid w:val="1527074A"/>
    <w:rsid w:val="154CB4FD"/>
    <w:rsid w:val="157C4736"/>
    <w:rsid w:val="15A64059"/>
    <w:rsid w:val="15C5FE71"/>
    <w:rsid w:val="15F9B45A"/>
    <w:rsid w:val="15FB3E2C"/>
    <w:rsid w:val="160C29B4"/>
    <w:rsid w:val="16415676"/>
    <w:rsid w:val="1648A164"/>
    <w:rsid w:val="16AFE6DF"/>
    <w:rsid w:val="16B3FA85"/>
    <w:rsid w:val="16C0B63B"/>
    <w:rsid w:val="16C2D7AB"/>
    <w:rsid w:val="16C46AE6"/>
    <w:rsid w:val="16EF2C6E"/>
    <w:rsid w:val="17047521"/>
    <w:rsid w:val="17081B2F"/>
    <w:rsid w:val="17275819"/>
    <w:rsid w:val="174B3C8A"/>
    <w:rsid w:val="17580C28"/>
    <w:rsid w:val="178445DA"/>
    <w:rsid w:val="1784791E"/>
    <w:rsid w:val="178DD599"/>
    <w:rsid w:val="17A3B888"/>
    <w:rsid w:val="1825D643"/>
    <w:rsid w:val="183EF03E"/>
    <w:rsid w:val="18571064"/>
    <w:rsid w:val="18664D1C"/>
    <w:rsid w:val="18932EF6"/>
    <w:rsid w:val="18A221FB"/>
    <w:rsid w:val="18AD5781"/>
    <w:rsid w:val="18E70CEB"/>
    <w:rsid w:val="18F4797F"/>
    <w:rsid w:val="190795DC"/>
    <w:rsid w:val="195EF2D2"/>
    <w:rsid w:val="1970D543"/>
    <w:rsid w:val="19776964"/>
    <w:rsid w:val="1977DFAF"/>
    <w:rsid w:val="198F8883"/>
    <w:rsid w:val="19920087"/>
    <w:rsid w:val="19A034DB"/>
    <w:rsid w:val="19B06117"/>
    <w:rsid w:val="19C021C2"/>
    <w:rsid w:val="19E3DBBC"/>
    <w:rsid w:val="19E9C155"/>
    <w:rsid w:val="19F3CF1F"/>
    <w:rsid w:val="19F9D940"/>
    <w:rsid w:val="1A13ABAC"/>
    <w:rsid w:val="1A1C7552"/>
    <w:rsid w:val="1A1DB177"/>
    <w:rsid w:val="1A6BBBEE"/>
    <w:rsid w:val="1A8AE453"/>
    <w:rsid w:val="1A9F2EE9"/>
    <w:rsid w:val="1AB415B5"/>
    <w:rsid w:val="1AC19DF3"/>
    <w:rsid w:val="1AD14814"/>
    <w:rsid w:val="1AD7F7BF"/>
    <w:rsid w:val="1B0F6B3D"/>
    <w:rsid w:val="1B12B8D4"/>
    <w:rsid w:val="1B2509FC"/>
    <w:rsid w:val="1B654760"/>
    <w:rsid w:val="1B7FAC1D"/>
    <w:rsid w:val="1BC554E3"/>
    <w:rsid w:val="1BD11B13"/>
    <w:rsid w:val="1BEB469F"/>
    <w:rsid w:val="1BFC597F"/>
    <w:rsid w:val="1C014BD8"/>
    <w:rsid w:val="1C0A2559"/>
    <w:rsid w:val="1C182C6A"/>
    <w:rsid w:val="1C3815D4"/>
    <w:rsid w:val="1C9BB240"/>
    <w:rsid w:val="1CF7C284"/>
    <w:rsid w:val="1D08D6E4"/>
    <w:rsid w:val="1D124C08"/>
    <w:rsid w:val="1D2095E2"/>
    <w:rsid w:val="1D283E03"/>
    <w:rsid w:val="1D5BEEF0"/>
    <w:rsid w:val="1D5D8AEE"/>
    <w:rsid w:val="1D7CE284"/>
    <w:rsid w:val="1D9BF8DC"/>
    <w:rsid w:val="1DB7B20F"/>
    <w:rsid w:val="1DBADF1E"/>
    <w:rsid w:val="1DF56029"/>
    <w:rsid w:val="1E0D5C50"/>
    <w:rsid w:val="1E3C3D66"/>
    <w:rsid w:val="1E42FB01"/>
    <w:rsid w:val="1E516984"/>
    <w:rsid w:val="1E603EB9"/>
    <w:rsid w:val="1EA17D0D"/>
    <w:rsid w:val="1EEEE644"/>
    <w:rsid w:val="1F021A8A"/>
    <w:rsid w:val="1F56AF7F"/>
    <w:rsid w:val="1F68AA21"/>
    <w:rsid w:val="1F77A5BC"/>
    <w:rsid w:val="1FCDD8A5"/>
    <w:rsid w:val="1FD7903B"/>
    <w:rsid w:val="1FDB8F83"/>
    <w:rsid w:val="1FE71363"/>
    <w:rsid w:val="200D4147"/>
    <w:rsid w:val="203693A3"/>
    <w:rsid w:val="203FB609"/>
    <w:rsid w:val="20512B39"/>
    <w:rsid w:val="20CFC553"/>
    <w:rsid w:val="20D393CA"/>
    <w:rsid w:val="20DC6723"/>
    <w:rsid w:val="2136B9D6"/>
    <w:rsid w:val="2144C4D0"/>
    <w:rsid w:val="218BA060"/>
    <w:rsid w:val="21966F64"/>
    <w:rsid w:val="21A009B8"/>
    <w:rsid w:val="21C4A9F1"/>
    <w:rsid w:val="21EA6ADB"/>
    <w:rsid w:val="21F59B67"/>
    <w:rsid w:val="22094674"/>
    <w:rsid w:val="22337CE3"/>
    <w:rsid w:val="223739C1"/>
    <w:rsid w:val="224E0721"/>
    <w:rsid w:val="226D28C5"/>
    <w:rsid w:val="22752B7B"/>
    <w:rsid w:val="22A0AA7D"/>
    <w:rsid w:val="22AAFD16"/>
    <w:rsid w:val="22C8FF1E"/>
    <w:rsid w:val="230AC080"/>
    <w:rsid w:val="230C99DC"/>
    <w:rsid w:val="23178CDE"/>
    <w:rsid w:val="23793D74"/>
    <w:rsid w:val="2383A44A"/>
    <w:rsid w:val="23873D1E"/>
    <w:rsid w:val="239607A7"/>
    <w:rsid w:val="23A8051C"/>
    <w:rsid w:val="23B30132"/>
    <w:rsid w:val="23C67642"/>
    <w:rsid w:val="23D53E09"/>
    <w:rsid w:val="23E55089"/>
    <w:rsid w:val="23F96568"/>
    <w:rsid w:val="2415A614"/>
    <w:rsid w:val="242029AC"/>
    <w:rsid w:val="243AAF32"/>
    <w:rsid w:val="24404668"/>
    <w:rsid w:val="2448BF49"/>
    <w:rsid w:val="24639FD1"/>
    <w:rsid w:val="2475CB51"/>
    <w:rsid w:val="2476620C"/>
    <w:rsid w:val="24766FDD"/>
    <w:rsid w:val="248A666B"/>
    <w:rsid w:val="24B0375C"/>
    <w:rsid w:val="24B12C13"/>
    <w:rsid w:val="24C429BB"/>
    <w:rsid w:val="24C6D51D"/>
    <w:rsid w:val="24D6F739"/>
    <w:rsid w:val="24D985E6"/>
    <w:rsid w:val="24F313BE"/>
    <w:rsid w:val="24F8718E"/>
    <w:rsid w:val="251E9890"/>
    <w:rsid w:val="253291B8"/>
    <w:rsid w:val="25710E6A"/>
    <w:rsid w:val="25754AB0"/>
    <w:rsid w:val="2589233C"/>
    <w:rsid w:val="2589BAFA"/>
    <w:rsid w:val="25BAE45B"/>
    <w:rsid w:val="25BD826E"/>
    <w:rsid w:val="25F5D5ED"/>
    <w:rsid w:val="260027D7"/>
    <w:rsid w:val="2617C5AA"/>
    <w:rsid w:val="262D4151"/>
    <w:rsid w:val="2646D1BF"/>
    <w:rsid w:val="264CFC74"/>
    <w:rsid w:val="2665140B"/>
    <w:rsid w:val="2669FEE1"/>
    <w:rsid w:val="26728ED3"/>
    <w:rsid w:val="2672FF53"/>
    <w:rsid w:val="26CFD031"/>
    <w:rsid w:val="26E2A055"/>
    <w:rsid w:val="26E8A107"/>
    <w:rsid w:val="26E8DE70"/>
    <w:rsid w:val="26F25C36"/>
    <w:rsid w:val="270CDECB"/>
    <w:rsid w:val="2739699B"/>
    <w:rsid w:val="27398CD6"/>
    <w:rsid w:val="276545DC"/>
    <w:rsid w:val="2766FBE6"/>
    <w:rsid w:val="276A81DC"/>
    <w:rsid w:val="277FDE28"/>
    <w:rsid w:val="27CD2A10"/>
    <w:rsid w:val="27D836C8"/>
    <w:rsid w:val="27E2A220"/>
    <w:rsid w:val="27E52506"/>
    <w:rsid w:val="27E6712C"/>
    <w:rsid w:val="27F3F973"/>
    <w:rsid w:val="28002196"/>
    <w:rsid w:val="28055C83"/>
    <w:rsid w:val="283DB667"/>
    <w:rsid w:val="28480C13"/>
    <w:rsid w:val="2848CE33"/>
    <w:rsid w:val="2862C929"/>
    <w:rsid w:val="2882C2B8"/>
    <w:rsid w:val="288453B8"/>
    <w:rsid w:val="28ABC571"/>
    <w:rsid w:val="28DDA03A"/>
    <w:rsid w:val="28E121A5"/>
    <w:rsid w:val="28EF60EF"/>
    <w:rsid w:val="29107416"/>
    <w:rsid w:val="291AD434"/>
    <w:rsid w:val="2958CAB7"/>
    <w:rsid w:val="29740729"/>
    <w:rsid w:val="29B9ACEB"/>
    <w:rsid w:val="29E48F0D"/>
    <w:rsid w:val="29F2C02A"/>
    <w:rsid w:val="2A00E52E"/>
    <w:rsid w:val="2A0E9B80"/>
    <w:rsid w:val="2A259B47"/>
    <w:rsid w:val="2A802032"/>
    <w:rsid w:val="2A9CE69E"/>
    <w:rsid w:val="2AA646B4"/>
    <w:rsid w:val="2AB2B206"/>
    <w:rsid w:val="2ADC45D7"/>
    <w:rsid w:val="2AF86E2E"/>
    <w:rsid w:val="2B0FD78A"/>
    <w:rsid w:val="2B2B9A35"/>
    <w:rsid w:val="2B2D6B81"/>
    <w:rsid w:val="2B530811"/>
    <w:rsid w:val="2B70F848"/>
    <w:rsid w:val="2B8DDA14"/>
    <w:rsid w:val="2C4C6323"/>
    <w:rsid w:val="2C5FD229"/>
    <w:rsid w:val="2C70BFFB"/>
    <w:rsid w:val="2C93D09F"/>
    <w:rsid w:val="2CA2DDC0"/>
    <w:rsid w:val="2CC272EE"/>
    <w:rsid w:val="2D138030"/>
    <w:rsid w:val="2D22E50B"/>
    <w:rsid w:val="2D6B0D3C"/>
    <w:rsid w:val="2D6F562B"/>
    <w:rsid w:val="2DDBFC25"/>
    <w:rsid w:val="2DE39823"/>
    <w:rsid w:val="2DE5D6C6"/>
    <w:rsid w:val="2DF19832"/>
    <w:rsid w:val="2DF66C80"/>
    <w:rsid w:val="2E3C6B94"/>
    <w:rsid w:val="2E404C26"/>
    <w:rsid w:val="2E47784C"/>
    <w:rsid w:val="2EAB3C6E"/>
    <w:rsid w:val="2F1B06F5"/>
    <w:rsid w:val="2F408C54"/>
    <w:rsid w:val="2F4ACEDD"/>
    <w:rsid w:val="2F4CE1BE"/>
    <w:rsid w:val="2F56FDEA"/>
    <w:rsid w:val="2F5C705F"/>
    <w:rsid w:val="2F72FDFE"/>
    <w:rsid w:val="2F8BE424"/>
    <w:rsid w:val="2FC64D00"/>
    <w:rsid w:val="2FCCCB7D"/>
    <w:rsid w:val="2FD50934"/>
    <w:rsid w:val="2FE18006"/>
    <w:rsid w:val="2FE8BBAD"/>
    <w:rsid w:val="2FF5A18B"/>
    <w:rsid w:val="30009E3C"/>
    <w:rsid w:val="3027D4E3"/>
    <w:rsid w:val="30476DDF"/>
    <w:rsid w:val="307271CB"/>
    <w:rsid w:val="3098B6A1"/>
    <w:rsid w:val="30A3A07A"/>
    <w:rsid w:val="30AE157A"/>
    <w:rsid w:val="30BE3B3E"/>
    <w:rsid w:val="30CAE5F4"/>
    <w:rsid w:val="30CF4CB5"/>
    <w:rsid w:val="31148C44"/>
    <w:rsid w:val="313D4518"/>
    <w:rsid w:val="31630E62"/>
    <w:rsid w:val="3173935C"/>
    <w:rsid w:val="31898466"/>
    <w:rsid w:val="318B4A9E"/>
    <w:rsid w:val="31A33654"/>
    <w:rsid w:val="31B833F8"/>
    <w:rsid w:val="31CEC334"/>
    <w:rsid w:val="31F07554"/>
    <w:rsid w:val="31FA3431"/>
    <w:rsid w:val="320F62D3"/>
    <w:rsid w:val="322B0E50"/>
    <w:rsid w:val="328A16FD"/>
    <w:rsid w:val="32B49E70"/>
    <w:rsid w:val="32B65EBA"/>
    <w:rsid w:val="32BCD251"/>
    <w:rsid w:val="32ED8746"/>
    <w:rsid w:val="32F648B2"/>
    <w:rsid w:val="32FDEDC2"/>
    <w:rsid w:val="3328E58A"/>
    <w:rsid w:val="33BC8C61"/>
    <w:rsid w:val="33F96EB2"/>
    <w:rsid w:val="34093BC2"/>
    <w:rsid w:val="34101C5D"/>
    <w:rsid w:val="34110A2A"/>
    <w:rsid w:val="34141217"/>
    <w:rsid w:val="34257765"/>
    <w:rsid w:val="3440A669"/>
    <w:rsid w:val="349D7E3D"/>
    <w:rsid w:val="34ABAD18"/>
    <w:rsid w:val="34B1B81D"/>
    <w:rsid w:val="34BFCA47"/>
    <w:rsid w:val="34CFD846"/>
    <w:rsid w:val="34F29FDC"/>
    <w:rsid w:val="350C3F66"/>
    <w:rsid w:val="3515F472"/>
    <w:rsid w:val="35269195"/>
    <w:rsid w:val="3539CD64"/>
    <w:rsid w:val="3554BC5A"/>
    <w:rsid w:val="358647AE"/>
    <w:rsid w:val="35A131EA"/>
    <w:rsid w:val="35CA4CC8"/>
    <w:rsid w:val="35E419CC"/>
    <w:rsid w:val="35E7B81E"/>
    <w:rsid w:val="3622ABAB"/>
    <w:rsid w:val="362D8F65"/>
    <w:rsid w:val="36369E9A"/>
    <w:rsid w:val="36477D79"/>
    <w:rsid w:val="3661F8BC"/>
    <w:rsid w:val="36635A4E"/>
    <w:rsid w:val="367E30D2"/>
    <w:rsid w:val="368B8A7C"/>
    <w:rsid w:val="3693CD12"/>
    <w:rsid w:val="3696F413"/>
    <w:rsid w:val="36A35D65"/>
    <w:rsid w:val="36ACF56F"/>
    <w:rsid w:val="36D83BEF"/>
    <w:rsid w:val="36FC0E9B"/>
    <w:rsid w:val="3700D4E8"/>
    <w:rsid w:val="37012593"/>
    <w:rsid w:val="3712100D"/>
    <w:rsid w:val="3719B18F"/>
    <w:rsid w:val="3725A427"/>
    <w:rsid w:val="3748E772"/>
    <w:rsid w:val="37670E22"/>
    <w:rsid w:val="3775955D"/>
    <w:rsid w:val="3791BE50"/>
    <w:rsid w:val="3795FCC2"/>
    <w:rsid w:val="379BDBC0"/>
    <w:rsid w:val="37AE2569"/>
    <w:rsid w:val="37B51A0B"/>
    <w:rsid w:val="37D85CEF"/>
    <w:rsid w:val="37EB8152"/>
    <w:rsid w:val="37F72D67"/>
    <w:rsid w:val="38021D41"/>
    <w:rsid w:val="3838F657"/>
    <w:rsid w:val="384F4DAE"/>
    <w:rsid w:val="389CA549"/>
    <w:rsid w:val="38C80E0C"/>
    <w:rsid w:val="38C812D5"/>
    <w:rsid w:val="3915590A"/>
    <w:rsid w:val="391F278D"/>
    <w:rsid w:val="3934B61B"/>
    <w:rsid w:val="395406E9"/>
    <w:rsid w:val="39925ACE"/>
    <w:rsid w:val="39949260"/>
    <w:rsid w:val="39B9BEB9"/>
    <w:rsid w:val="39D3E57C"/>
    <w:rsid w:val="3A0BA9FE"/>
    <w:rsid w:val="3A249F8A"/>
    <w:rsid w:val="3A395B9E"/>
    <w:rsid w:val="3A3E5319"/>
    <w:rsid w:val="3A40CD57"/>
    <w:rsid w:val="3A58CD86"/>
    <w:rsid w:val="3A98E2B1"/>
    <w:rsid w:val="3ACA5714"/>
    <w:rsid w:val="3AD3B763"/>
    <w:rsid w:val="3ADB55D4"/>
    <w:rsid w:val="3AF570F8"/>
    <w:rsid w:val="3B0789B1"/>
    <w:rsid w:val="3B4B9366"/>
    <w:rsid w:val="3B4DB8A7"/>
    <w:rsid w:val="3B6E1E76"/>
    <w:rsid w:val="3B71C564"/>
    <w:rsid w:val="3B71EE17"/>
    <w:rsid w:val="3B770A75"/>
    <w:rsid w:val="3BC06FEB"/>
    <w:rsid w:val="3BC2EA15"/>
    <w:rsid w:val="3BC2FC0A"/>
    <w:rsid w:val="3BE0CBDE"/>
    <w:rsid w:val="3C1F1B1C"/>
    <w:rsid w:val="3C30894A"/>
    <w:rsid w:val="3C34B312"/>
    <w:rsid w:val="3C5B0128"/>
    <w:rsid w:val="3C7DE379"/>
    <w:rsid w:val="3C7E9874"/>
    <w:rsid w:val="3C90498C"/>
    <w:rsid w:val="3CBB79C2"/>
    <w:rsid w:val="3CE02DFA"/>
    <w:rsid w:val="3CE5A33B"/>
    <w:rsid w:val="3D00A214"/>
    <w:rsid w:val="3D0DCFB6"/>
    <w:rsid w:val="3D48FD56"/>
    <w:rsid w:val="3D5D2305"/>
    <w:rsid w:val="3D68F6E4"/>
    <w:rsid w:val="3D75F3DB"/>
    <w:rsid w:val="3D7A61C0"/>
    <w:rsid w:val="3D848F53"/>
    <w:rsid w:val="3D915993"/>
    <w:rsid w:val="3DB828F6"/>
    <w:rsid w:val="3DF773B4"/>
    <w:rsid w:val="3E0E00F0"/>
    <w:rsid w:val="3E0F57CD"/>
    <w:rsid w:val="3E415487"/>
    <w:rsid w:val="3E441833"/>
    <w:rsid w:val="3E499AAE"/>
    <w:rsid w:val="3E548729"/>
    <w:rsid w:val="3E761FA9"/>
    <w:rsid w:val="3E840FC6"/>
    <w:rsid w:val="3EC3660E"/>
    <w:rsid w:val="3EF1AB73"/>
    <w:rsid w:val="3F1343FD"/>
    <w:rsid w:val="3F29B99F"/>
    <w:rsid w:val="3F2D29F4"/>
    <w:rsid w:val="3F380856"/>
    <w:rsid w:val="3F5743C5"/>
    <w:rsid w:val="3F5E7F9A"/>
    <w:rsid w:val="3F901234"/>
    <w:rsid w:val="3FBA702C"/>
    <w:rsid w:val="3FD18E57"/>
    <w:rsid w:val="3FEA3088"/>
    <w:rsid w:val="3FF5D350"/>
    <w:rsid w:val="3FF9A617"/>
    <w:rsid w:val="4000403D"/>
    <w:rsid w:val="40227584"/>
    <w:rsid w:val="4038D335"/>
    <w:rsid w:val="4044083C"/>
    <w:rsid w:val="40569537"/>
    <w:rsid w:val="405B93A5"/>
    <w:rsid w:val="40A21DC6"/>
    <w:rsid w:val="40BAB7B5"/>
    <w:rsid w:val="40C05F88"/>
    <w:rsid w:val="40D140AE"/>
    <w:rsid w:val="40DB112C"/>
    <w:rsid w:val="40F35C1B"/>
    <w:rsid w:val="41173794"/>
    <w:rsid w:val="413FFA25"/>
    <w:rsid w:val="414A3D58"/>
    <w:rsid w:val="41520997"/>
    <w:rsid w:val="418C8A7D"/>
    <w:rsid w:val="41A14A52"/>
    <w:rsid w:val="41B4FBA5"/>
    <w:rsid w:val="41DFD89D"/>
    <w:rsid w:val="423B752E"/>
    <w:rsid w:val="42536698"/>
    <w:rsid w:val="4286A271"/>
    <w:rsid w:val="428ACC39"/>
    <w:rsid w:val="42C2C8A7"/>
    <w:rsid w:val="42D03C77"/>
    <w:rsid w:val="4351BC10"/>
    <w:rsid w:val="43997BE9"/>
    <w:rsid w:val="43A41A6F"/>
    <w:rsid w:val="43C92BEC"/>
    <w:rsid w:val="43D733AE"/>
    <w:rsid w:val="4424FEC7"/>
    <w:rsid w:val="44269C9A"/>
    <w:rsid w:val="442AF09C"/>
    <w:rsid w:val="444A5AFA"/>
    <w:rsid w:val="44559283"/>
    <w:rsid w:val="446F6BF1"/>
    <w:rsid w:val="44CC297C"/>
    <w:rsid w:val="44D6FBE5"/>
    <w:rsid w:val="4501D104"/>
    <w:rsid w:val="45020510"/>
    <w:rsid w:val="450888A4"/>
    <w:rsid w:val="4517DA6F"/>
    <w:rsid w:val="4545FBD6"/>
    <w:rsid w:val="4560BC5A"/>
    <w:rsid w:val="45720E4E"/>
    <w:rsid w:val="4585631F"/>
    <w:rsid w:val="458A7C83"/>
    <w:rsid w:val="45CB2861"/>
    <w:rsid w:val="45E285D2"/>
    <w:rsid w:val="45E62B5B"/>
    <w:rsid w:val="460DE925"/>
    <w:rsid w:val="46373CF8"/>
    <w:rsid w:val="465D6DFF"/>
    <w:rsid w:val="466CCF89"/>
    <w:rsid w:val="4677F00F"/>
    <w:rsid w:val="4687C7EB"/>
    <w:rsid w:val="46937C38"/>
    <w:rsid w:val="46BCE34D"/>
    <w:rsid w:val="46D21E69"/>
    <w:rsid w:val="46E54B89"/>
    <w:rsid w:val="4723AE46"/>
    <w:rsid w:val="47264A9F"/>
    <w:rsid w:val="472982B8"/>
    <w:rsid w:val="4755A16F"/>
    <w:rsid w:val="477C7481"/>
    <w:rsid w:val="4781C128"/>
    <w:rsid w:val="47978C79"/>
    <w:rsid w:val="47CC36B9"/>
    <w:rsid w:val="47D445A6"/>
    <w:rsid w:val="47EEB68C"/>
    <w:rsid w:val="47F971A4"/>
    <w:rsid w:val="48196C5C"/>
    <w:rsid w:val="483F2ACA"/>
    <w:rsid w:val="484C729E"/>
    <w:rsid w:val="48662C0B"/>
    <w:rsid w:val="488DD7F4"/>
    <w:rsid w:val="48A1432C"/>
    <w:rsid w:val="48A48BEF"/>
    <w:rsid w:val="48D39340"/>
    <w:rsid w:val="495455DA"/>
    <w:rsid w:val="4968071A"/>
    <w:rsid w:val="4978506A"/>
    <w:rsid w:val="497B2FDA"/>
    <w:rsid w:val="49B33367"/>
    <w:rsid w:val="49C49C6C"/>
    <w:rsid w:val="49E07EE1"/>
    <w:rsid w:val="4A05BD27"/>
    <w:rsid w:val="4A1AFE69"/>
    <w:rsid w:val="4A63626B"/>
    <w:rsid w:val="4A8639C2"/>
    <w:rsid w:val="4A947D58"/>
    <w:rsid w:val="4ACED100"/>
    <w:rsid w:val="4AD1C7A6"/>
    <w:rsid w:val="4AEA328D"/>
    <w:rsid w:val="4B309AF6"/>
    <w:rsid w:val="4B57445C"/>
    <w:rsid w:val="4B585557"/>
    <w:rsid w:val="4B5D5AE7"/>
    <w:rsid w:val="4B7FF7A1"/>
    <w:rsid w:val="4B99B12E"/>
    <w:rsid w:val="4BE4D37E"/>
    <w:rsid w:val="4C27DC06"/>
    <w:rsid w:val="4C2C8AC5"/>
    <w:rsid w:val="4C2F81B3"/>
    <w:rsid w:val="4C715DDB"/>
    <w:rsid w:val="4CA161F9"/>
    <w:rsid w:val="4CB3BA6A"/>
    <w:rsid w:val="4CCFA466"/>
    <w:rsid w:val="4CE87D38"/>
    <w:rsid w:val="4D103A19"/>
    <w:rsid w:val="4D4166E8"/>
    <w:rsid w:val="4D611919"/>
    <w:rsid w:val="4D74E668"/>
    <w:rsid w:val="4D94EC58"/>
    <w:rsid w:val="4DA9C419"/>
    <w:rsid w:val="4DB64DAE"/>
    <w:rsid w:val="4DBC1F75"/>
    <w:rsid w:val="4DD241E6"/>
    <w:rsid w:val="4DF57B48"/>
    <w:rsid w:val="4DFB2470"/>
    <w:rsid w:val="4E16AF47"/>
    <w:rsid w:val="4E16D2EA"/>
    <w:rsid w:val="4E3B783D"/>
    <w:rsid w:val="4E3C648D"/>
    <w:rsid w:val="4E67F809"/>
    <w:rsid w:val="4E68B328"/>
    <w:rsid w:val="4E750377"/>
    <w:rsid w:val="4E7680DB"/>
    <w:rsid w:val="4E8002C0"/>
    <w:rsid w:val="4E86F031"/>
    <w:rsid w:val="4EE1CBED"/>
    <w:rsid w:val="4EEC6BF7"/>
    <w:rsid w:val="4EF21E31"/>
    <w:rsid w:val="4F2A2561"/>
    <w:rsid w:val="4F2B0EB9"/>
    <w:rsid w:val="4F6B89E1"/>
    <w:rsid w:val="4FC6EE51"/>
    <w:rsid w:val="50048389"/>
    <w:rsid w:val="503C98D4"/>
    <w:rsid w:val="50561B4D"/>
    <w:rsid w:val="506CAD7D"/>
    <w:rsid w:val="5074FBE0"/>
    <w:rsid w:val="50C58A1A"/>
    <w:rsid w:val="50C5F5C2"/>
    <w:rsid w:val="50EB76F3"/>
    <w:rsid w:val="50F66341"/>
    <w:rsid w:val="5100F5DA"/>
    <w:rsid w:val="5103BEDC"/>
    <w:rsid w:val="512011FE"/>
    <w:rsid w:val="51366FD3"/>
    <w:rsid w:val="513C5868"/>
    <w:rsid w:val="51449615"/>
    <w:rsid w:val="516EB5EB"/>
    <w:rsid w:val="518B1805"/>
    <w:rsid w:val="519F98CB"/>
    <w:rsid w:val="51AF9979"/>
    <w:rsid w:val="51CB7BF4"/>
    <w:rsid w:val="51D56655"/>
    <w:rsid w:val="521B5C37"/>
    <w:rsid w:val="522DEE60"/>
    <w:rsid w:val="524154FE"/>
    <w:rsid w:val="52680EAC"/>
    <w:rsid w:val="527AEE80"/>
    <w:rsid w:val="527FA945"/>
    <w:rsid w:val="528336B9"/>
    <w:rsid w:val="528B08BF"/>
    <w:rsid w:val="529CC63B"/>
    <w:rsid w:val="529F5230"/>
    <w:rsid w:val="52C9F1D2"/>
    <w:rsid w:val="52E33CDF"/>
    <w:rsid w:val="52F6AFE4"/>
    <w:rsid w:val="531BC123"/>
    <w:rsid w:val="533A24DA"/>
    <w:rsid w:val="53539B89"/>
    <w:rsid w:val="5391FB39"/>
    <w:rsid w:val="53C3ABC1"/>
    <w:rsid w:val="53E68E2B"/>
    <w:rsid w:val="53EEAE6B"/>
    <w:rsid w:val="53F0DB0E"/>
    <w:rsid w:val="54490E2D"/>
    <w:rsid w:val="546FD80E"/>
    <w:rsid w:val="54DA85B7"/>
    <w:rsid w:val="54DD6E27"/>
    <w:rsid w:val="54FE980C"/>
    <w:rsid w:val="550FA59D"/>
    <w:rsid w:val="55714874"/>
    <w:rsid w:val="55C4EA41"/>
    <w:rsid w:val="55C5FD44"/>
    <w:rsid w:val="55C89122"/>
    <w:rsid w:val="55E1E34A"/>
    <w:rsid w:val="56180738"/>
    <w:rsid w:val="5622DE89"/>
    <w:rsid w:val="565D2746"/>
    <w:rsid w:val="566B86F5"/>
    <w:rsid w:val="566E1F02"/>
    <w:rsid w:val="56A71711"/>
    <w:rsid w:val="56AF9A1A"/>
    <w:rsid w:val="56E84622"/>
    <w:rsid w:val="570CB0D4"/>
    <w:rsid w:val="5715D955"/>
    <w:rsid w:val="57413EDE"/>
    <w:rsid w:val="57A778D0"/>
    <w:rsid w:val="57AF8D38"/>
    <w:rsid w:val="57B1A044"/>
    <w:rsid w:val="57B4F096"/>
    <w:rsid w:val="57E4585C"/>
    <w:rsid w:val="57E6036B"/>
    <w:rsid w:val="57F5B1F2"/>
    <w:rsid w:val="58414774"/>
    <w:rsid w:val="586EF858"/>
    <w:rsid w:val="588FF8DB"/>
    <w:rsid w:val="58E384B6"/>
    <w:rsid w:val="58F79B22"/>
    <w:rsid w:val="58FED356"/>
    <w:rsid w:val="591614C1"/>
    <w:rsid w:val="5921D8D2"/>
    <w:rsid w:val="59348DDA"/>
    <w:rsid w:val="5962CF01"/>
    <w:rsid w:val="59993232"/>
    <w:rsid w:val="59A964E2"/>
    <w:rsid w:val="59A9A5A0"/>
    <w:rsid w:val="59B2D960"/>
    <w:rsid w:val="59B9C179"/>
    <w:rsid w:val="59EA1B18"/>
    <w:rsid w:val="59FE6994"/>
    <w:rsid w:val="5A3E18B0"/>
    <w:rsid w:val="5A631A7D"/>
    <w:rsid w:val="5A80096D"/>
    <w:rsid w:val="5A9B8EE9"/>
    <w:rsid w:val="5ADC2B2A"/>
    <w:rsid w:val="5AFB7F30"/>
    <w:rsid w:val="5B109E23"/>
    <w:rsid w:val="5B2F035A"/>
    <w:rsid w:val="5B5B4AF6"/>
    <w:rsid w:val="5B6B401B"/>
    <w:rsid w:val="5B81C546"/>
    <w:rsid w:val="5B923BA0"/>
    <w:rsid w:val="5B9E6415"/>
    <w:rsid w:val="5BB6789D"/>
    <w:rsid w:val="5BC0780D"/>
    <w:rsid w:val="5BD5D39C"/>
    <w:rsid w:val="5C200AEA"/>
    <w:rsid w:val="5C2788D0"/>
    <w:rsid w:val="5C3CC482"/>
    <w:rsid w:val="5C737E2F"/>
    <w:rsid w:val="5C9C63C9"/>
    <w:rsid w:val="5C9CA349"/>
    <w:rsid w:val="5CA397EB"/>
    <w:rsid w:val="5CA97B0C"/>
    <w:rsid w:val="5CB0CC76"/>
    <w:rsid w:val="5CC6882E"/>
    <w:rsid w:val="5D3F29E7"/>
    <w:rsid w:val="5D6C0267"/>
    <w:rsid w:val="5D6C16DA"/>
    <w:rsid w:val="5D85A153"/>
    <w:rsid w:val="5D8AF9CF"/>
    <w:rsid w:val="5D8C0044"/>
    <w:rsid w:val="5DAE5FAB"/>
    <w:rsid w:val="5DAF0392"/>
    <w:rsid w:val="5DB0DD69"/>
    <w:rsid w:val="5DBCEABF"/>
    <w:rsid w:val="5DBD6DE3"/>
    <w:rsid w:val="5DE9D2C1"/>
    <w:rsid w:val="5DED01B1"/>
    <w:rsid w:val="5E1EFC4B"/>
    <w:rsid w:val="5E4ADCD2"/>
    <w:rsid w:val="5E7EA7B8"/>
    <w:rsid w:val="5EBF0BC1"/>
    <w:rsid w:val="5EC98141"/>
    <w:rsid w:val="5F2C369D"/>
    <w:rsid w:val="5F309B70"/>
    <w:rsid w:val="5F312E58"/>
    <w:rsid w:val="5F7294A8"/>
    <w:rsid w:val="5FBACCAC"/>
    <w:rsid w:val="5FC4087A"/>
    <w:rsid w:val="5FCFC9DF"/>
    <w:rsid w:val="60096C7C"/>
    <w:rsid w:val="606A005F"/>
    <w:rsid w:val="608AE486"/>
    <w:rsid w:val="609F4699"/>
    <w:rsid w:val="60B584B1"/>
    <w:rsid w:val="60C2A285"/>
    <w:rsid w:val="610188C8"/>
    <w:rsid w:val="6109DD54"/>
    <w:rsid w:val="611F072A"/>
    <w:rsid w:val="6140192C"/>
    <w:rsid w:val="615D3133"/>
    <w:rsid w:val="617BF1CF"/>
    <w:rsid w:val="61B1C1D1"/>
    <w:rsid w:val="61BCCDAF"/>
    <w:rsid w:val="61EE3372"/>
    <w:rsid w:val="6203515A"/>
    <w:rsid w:val="6211B4E2"/>
    <w:rsid w:val="6225CD8C"/>
    <w:rsid w:val="6256045A"/>
    <w:rsid w:val="62613E67"/>
    <w:rsid w:val="6291985F"/>
    <w:rsid w:val="62BAD78B"/>
    <w:rsid w:val="62D47E30"/>
    <w:rsid w:val="62FC14E1"/>
    <w:rsid w:val="630EA848"/>
    <w:rsid w:val="631A7348"/>
    <w:rsid w:val="634458FF"/>
    <w:rsid w:val="636CC268"/>
    <w:rsid w:val="6376E833"/>
    <w:rsid w:val="637E1634"/>
    <w:rsid w:val="63A35CDE"/>
    <w:rsid w:val="63C957A4"/>
    <w:rsid w:val="63CBA482"/>
    <w:rsid w:val="63D6A68A"/>
    <w:rsid w:val="63E8E160"/>
    <w:rsid w:val="64027F77"/>
    <w:rsid w:val="6437424F"/>
    <w:rsid w:val="6437AC66"/>
    <w:rsid w:val="644074B7"/>
    <w:rsid w:val="64588E1C"/>
    <w:rsid w:val="647039FD"/>
    <w:rsid w:val="648B25D9"/>
    <w:rsid w:val="6497E542"/>
    <w:rsid w:val="64AF4E34"/>
    <w:rsid w:val="64B986F7"/>
    <w:rsid w:val="64DCDD9F"/>
    <w:rsid w:val="651B0610"/>
    <w:rsid w:val="652BE0F1"/>
    <w:rsid w:val="6534C93E"/>
    <w:rsid w:val="65AFE230"/>
    <w:rsid w:val="65AFF35E"/>
    <w:rsid w:val="65BA3FEE"/>
    <w:rsid w:val="65BA9FDB"/>
    <w:rsid w:val="65D35960"/>
    <w:rsid w:val="65FFE1C0"/>
    <w:rsid w:val="660FB5D6"/>
    <w:rsid w:val="6617B65E"/>
    <w:rsid w:val="6626AA1F"/>
    <w:rsid w:val="66577320"/>
    <w:rsid w:val="6657734C"/>
    <w:rsid w:val="66578B82"/>
    <w:rsid w:val="6699D117"/>
    <w:rsid w:val="66B45C8E"/>
    <w:rsid w:val="66B8E22E"/>
    <w:rsid w:val="66D9DB95"/>
    <w:rsid w:val="6701FBB7"/>
    <w:rsid w:val="6721EDF5"/>
    <w:rsid w:val="67253244"/>
    <w:rsid w:val="6742537B"/>
    <w:rsid w:val="67459563"/>
    <w:rsid w:val="675C66DD"/>
    <w:rsid w:val="67A7DABF"/>
    <w:rsid w:val="67BB8DAB"/>
    <w:rsid w:val="67BD1218"/>
    <w:rsid w:val="67D48598"/>
    <w:rsid w:val="6804B27F"/>
    <w:rsid w:val="68135C69"/>
    <w:rsid w:val="682589FE"/>
    <w:rsid w:val="683A29B4"/>
    <w:rsid w:val="6860F5BE"/>
    <w:rsid w:val="6874FC01"/>
    <w:rsid w:val="68A8C4D9"/>
    <w:rsid w:val="68B380B1"/>
    <w:rsid w:val="68B4E802"/>
    <w:rsid w:val="68BEE841"/>
    <w:rsid w:val="68C1F5BA"/>
    <w:rsid w:val="68DF1B98"/>
    <w:rsid w:val="69194CF1"/>
    <w:rsid w:val="693AEEC1"/>
    <w:rsid w:val="693B47CB"/>
    <w:rsid w:val="693C469D"/>
    <w:rsid w:val="696726E3"/>
    <w:rsid w:val="6980A755"/>
    <w:rsid w:val="6981A23E"/>
    <w:rsid w:val="69B06518"/>
    <w:rsid w:val="69D680B8"/>
    <w:rsid w:val="69FF5214"/>
    <w:rsid w:val="6A08DD6D"/>
    <w:rsid w:val="6A1B6F4F"/>
    <w:rsid w:val="6A2642D9"/>
    <w:rsid w:val="6A5A5C96"/>
    <w:rsid w:val="6A5F8347"/>
    <w:rsid w:val="6AA60B42"/>
    <w:rsid w:val="6AD5AC1C"/>
    <w:rsid w:val="6AF4B20F"/>
    <w:rsid w:val="6AF9CAD3"/>
    <w:rsid w:val="6B0027AC"/>
    <w:rsid w:val="6B02264F"/>
    <w:rsid w:val="6B81FA18"/>
    <w:rsid w:val="6B831799"/>
    <w:rsid w:val="6B8CA2D5"/>
    <w:rsid w:val="6BA6642B"/>
    <w:rsid w:val="6BAE6460"/>
    <w:rsid w:val="6BD932C1"/>
    <w:rsid w:val="6BE16CEC"/>
    <w:rsid w:val="6C3407AB"/>
    <w:rsid w:val="6C499313"/>
    <w:rsid w:val="6C6FFF50"/>
    <w:rsid w:val="6C958A93"/>
    <w:rsid w:val="6C96F2CF"/>
    <w:rsid w:val="6CA2F727"/>
    <w:rsid w:val="6D0F738B"/>
    <w:rsid w:val="6D1DCA79"/>
    <w:rsid w:val="6D2823B2"/>
    <w:rsid w:val="6D36A3FE"/>
    <w:rsid w:val="6D6CA477"/>
    <w:rsid w:val="6D77E7EB"/>
    <w:rsid w:val="6D90DBFE"/>
    <w:rsid w:val="6DC819DE"/>
    <w:rsid w:val="6DCAF3DA"/>
    <w:rsid w:val="6DDF00AB"/>
    <w:rsid w:val="6DED29BC"/>
    <w:rsid w:val="6DF5F134"/>
    <w:rsid w:val="6E0E2CFD"/>
    <w:rsid w:val="6E7BE189"/>
    <w:rsid w:val="6E7DFFCE"/>
    <w:rsid w:val="6E7E2ED1"/>
    <w:rsid w:val="6E941126"/>
    <w:rsid w:val="6E99DBF3"/>
    <w:rsid w:val="6E9CB908"/>
    <w:rsid w:val="6EA6F6BA"/>
    <w:rsid w:val="6EC14825"/>
    <w:rsid w:val="6ED1EFD2"/>
    <w:rsid w:val="6F7ACC01"/>
    <w:rsid w:val="6F9F3030"/>
    <w:rsid w:val="6FA60BF5"/>
    <w:rsid w:val="6FAD5DCD"/>
    <w:rsid w:val="6FB7B706"/>
    <w:rsid w:val="6FC1E0AE"/>
    <w:rsid w:val="6FD87DD2"/>
    <w:rsid w:val="701A254D"/>
    <w:rsid w:val="703A5190"/>
    <w:rsid w:val="70402E79"/>
    <w:rsid w:val="7045107C"/>
    <w:rsid w:val="7082BA3E"/>
    <w:rsid w:val="709BDD51"/>
    <w:rsid w:val="70A05AAD"/>
    <w:rsid w:val="70AC261A"/>
    <w:rsid w:val="70C8A406"/>
    <w:rsid w:val="70F23D56"/>
    <w:rsid w:val="70FDED6E"/>
    <w:rsid w:val="7162568B"/>
    <w:rsid w:val="71828F88"/>
    <w:rsid w:val="718D03C9"/>
    <w:rsid w:val="719C3F70"/>
    <w:rsid w:val="71A2384A"/>
    <w:rsid w:val="71A287C9"/>
    <w:rsid w:val="71C43FDF"/>
    <w:rsid w:val="71DAC705"/>
    <w:rsid w:val="71EABB0E"/>
    <w:rsid w:val="71FF28A6"/>
    <w:rsid w:val="720FC58A"/>
    <w:rsid w:val="72396BE7"/>
    <w:rsid w:val="723A3D68"/>
    <w:rsid w:val="723F1976"/>
    <w:rsid w:val="7285FDC0"/>
    <w:rsid w:val="72876F53"/>
    <w:rsid w:val="72911289"/>
    <w:rsid w:val="72B8C957"/>
    <w:rsid w:val="7316F4DE"/>
    <w:rsid w:val="7333DE65"/>
    <w:rsid w:val="7345D706"/>
    <w:rsid w:val="734F06E7"/>
    <w:rsid w:val="73638D7D"/>
    <w:rsid w:val="739D4AB5"/>
    <w:rsid w:val="73B08D93"/>
    <w:rsid w:val="73D2F400"/>
    <w:rsid w:val="73D60DC9"/>
    <w:rsid w:val="73F93EF2"/>
    <w:rsid w:val="73F9A515"/>
    <w:rsid w:val="7410C60A"/>
    <w:rsid w:val="74116CC9"/>
    <w:rsid w:val="7431CB9E"/>
    <w:rsid w:val="7433C369"/>
    <w:rsid w:val="743A3347"/>
    <w:rsid w:val="744A7A06"/>
    <w:rsid w:val="744C1AEF"/>
    <w:rsid w:val="7470944B"/>
    <w:rsid w:val="748E0F96"/>
    <w:rsid w:val="749E6875"/>
    <w:rsid w:val="74E3BFE4"/>
    <w:rsid w:val="7502F7A3"/>
    <w:rsid w:val="7524C1D8"/>
    <w:rsid w:val="752DEAD0"/>
    <w:rsid w:val="7536B625"/>
    <w:rsid w:val="7555ADE7"/>
    <w:rsid w:val="7588131E"/>
    <w:rsid w:val="75C9D2C1"/>
    <w:rsid w:val="75FED2F9"/>
    <w:rsid w:val="760A8E58"/>
    <w:rsid w:val="76237720"/>
    <w:rsid w:val="762525EE"/>
    <w:rsid w:val="767AAA71"/>
    <w:rsid w:val="767C009C"/>
    <w:rsid w:val="769375AE"/>
    <w:rsid w:val="76C2ADAA"/>
    <w:rsid w:val="76D06BF0"/>
    <w:rsid w:val="76E336AD"/>
    <w:rsid w:val="76E4E5DF"/>
    <w:rsid w:val="76E76075"/>
    <w:rsid w:val="76FEBC3C"/>
    <w:rsid w:val="773A42FA"/>
    <w:rsid w:val="774D3DB1"/>
    <w:rsid w:val="7754FEC8"/>
    <w:rsid w:val="7768F96E"/>
    <w:rsid w:val="77D79D51"/>
    <w:rsid w:val="782BB2F4"/>
    <w:rsid w:val="783E705D"/>
    <w:rsid w:val="78471482"/>
    <w:rsid w:val="786AD659"/>
    <w:rsid w:val="787F070E"/>
    <w:rsid w:val="78856707"/>
    <w:rsid w:val="78A97EEC"/>
    <w:rsid w:val="78AD4F06"/>
    <w:rsid w:val="78B648EB"/>
    <w:rsid w:val="78CD1638"/>
    <w:rsid w:val="790672A6"/>
    <w:rsid w:val="7936E41A"/>
    <w:rsid w:val="7984068A"/>
    <w:rsid w:val="79BE9430"/>
    <w:rsid w:val="79DDA8E9"/>
    <w:rsid w:val="79E5E4EF"/>
    <w:rsid w:val="79F6F027"/>
    <w:rsid w:val="7A411674"/>
    <w:rsid w:val="7A6F7726"/>
    <w:rsid w:val="7AB1B418"/>
    <w:rsid w:val="7AB30EAE"/>
    <w:rsid w:val="7AB81BE8"/>
    <w:rsid w:val="7ACBACC4"/>
    <w:rsid w:val="7B22D447"/>
    <w:rsid w:val="7B253816"/>
    <w:rsid w:val="7B7BA7B8"/>
    <w:rsid w:val="7B812550"/>
    <w:rsid w:val="7BA2771B"/>
    <w:rsid w:val="7BE11FAE"/>
    <w:rsid w:val="7C04B6FA"/>
    <w:rsid w:val="7C0812DA"/>
    <w:rsid w:val="7C23B526"/>
    <w:rsid w:val="7C544F7B"/>
    <w:rsid w:val="7C5A4319"/>
    <w:rsid w:val="7C677D25"/>
    <w:rsid w:val="7CAAD470"/>
    <w:rsid w:val="7CC10877"/>
    <w:rsid w:val="7CC38D69"/>
    <w:rsid w:val="7CD252EB"/>
    <w:rsid w:val="7CEB799A"/>
    <w:rsid w:val="7CF88D97"/>
    <w:rsid w:val="7D248FC1"/>
    <w:rsid w:val="7D463502"/>
    <w:rsid w:val="7DA0D95E"/>
    <w:rsid w:val="7DBBBC49"/>
    <w:rsid w:val="7DD621C5"/>
    <w:rsid w:val="7DE6AB13"/>
    <w:rsid w:val="7E034D86"/>
    <w:rsid w:val="7E15532F"/>
    <w:rsid w:val="7E15B6DA"/>
    <w:rsid w:val="7E65D38C"/>
    <w:rsid w:val="7E70B302"/>
    <w:rsid w:val="7EA69A33"/>
    <w:rsid w:val="7EB7E61D"/>
    <w:rsid w:val="7ECB0347"/>
    <w:rsid w:val="7ED2A867"/>
    <w:rsid w:val="7EDD8CC5"/>
    <w:rsid w:val="7EF1791F"/>
    <w:rsid w:val="7EF29F09"/>
    <w:rsid w:val="7F32697B"/>
    <w:rsid w:val="7F578CAA"/>
    <w:rsid w:val="7F646B01"/>
    <w:rsid w:val="7F65DF3E"/>
    <w:rsid w:val="7F72D4DF"/>
    <w:rsid w:val="7FA0410B"/>
    <w:rsid w:val="7FA6E002"/>
    <w:rsid w:val="7FB048C6"/>
    <w:rsid w:val="7FCDDAD0"/>
    <w:rsid w:val="7FCE490F"/>
    <w:rsid w:val="7FFF02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annotation reference"/>
    <w:basedOn w:val="2"/>
    <w:semiHidden/>
    <w:unhideWhenUsed/>
    <w:uiPriority w:val="99"/>
    <w:rPr>
      <w:sz w:val="16"/>
      <w:szCs w:val="16"/>
    </w:rPr>
  </w:style>
  <w:style w:type="paragraph" w:styleId="5">
    <w:name w:val="annotation text"/>
    <w:basedOn w:val="1"/>
    <w:link w:val="16"/>
    <w:semiHidden/>
    <w:unhideWhenUsed/>
    <w:uiPriority w:val="99"/>
    <w:pPr>
      <w:spacing w:line="240" w:lineRule="auto"/>
    </w:pPr>
    <w:rPr>
      <w:sz w:val="20"/>
      <w:szCs w:val="20"/>
    </w:rPr>
  </w:style>
  <w:style w:type="paragraph" w:styleId="6">
    <w:name w:val="annotation subject"/>
    <w:basedOn w:val="5"/>
    <w:next w:val="5"/>
    <w:link w:val="17"/>
    <w:semiHidden/>
    <w:unhideWhenUsed/>
    <w:uiPriority w:val="99"/>
    <w:rPr>
      <w:b/>
      <w:bCs/>
    </w:rPr>
  </w:style>
  <w:style w:type="paragraph" w:styleId="7">
    <w:name w:val="footer"/>
    <w:basedOn w:val="1"/>
    <w:link w:val="15"/>
    <w:unhideWhenUsed/>
    <w:uiPriority w:val="99"/>
    <w:pPr>
      <w:tabs>
        <w:tab w:val="center" w:pos="4680"/>
        <w:tab w:val="right" w:pos="9360"/>
      </w:tabs>
      <w:spacing w:after="0" w:line="240" w:lineRule="auto"/>
    </w:pPr>
  </w:style>
  <w:style w:type="paragraph" w:styleId="8">
    <w:name w:val="header"/>
    <w:basedOn w:val="1"/>
    <w:link w:val="14"/>
    <w:unhideWhenUsed/>
    <w:uiPriority w:val="99"/>
    <w:pPr>
      <w:tabs>
        <w:tab w:val="center" w:pos="4680"/>
        <w:tab w:val="right" w:pos="9360"/>
      </w:tabs>
      <w:spacing w:after="0" w:line="240" w:lineRule="auto"/>
    </w:pPr>
  </w:style>
  <w:style w:type="character" w:styleId="9">
    <w:name w:val="Hyperlink"/>
    <w:basedOn w:val="2"/>
    <w:unhideWhenUsed/>
    <w:uiPriority w:val="99"/>
    <w:rPr>
      <w:color w:val="0563C1" w:themeColor="hyperlink"/>
      <w:u w:val="single"/>
      <w14:textFill>
        <w14:solidFill>
          <w14:schemeClr w14:val="hlink"/>
        </w14:solidFill>
      </w14:textFill>
    </w:r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cs="Times New Roman" w:eastAsiaTheme="minorEastAsia"/>
      <w:sz w:val="24"/>
      <w:szCs w:val="24"/>
    </w:rPr>
  </w:style>
  <w:style w:type="character" w:styleId="11">
    <w:name w:val="page number"/>
    <w:basedOn w:val="2"/>
    <w:semiHidden/>
    <w:unhideWhenUsed/>
    <w:uiPriority w:val="99"/>
  </w:style>
  <w:style w:type="table" w:styleId="12">
    <w:name w:val="Table Grid"/>
    <w:basedOn w:val="3"/>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3">
    <w:name w:val="List Paragraph"/>
    <w:basedOn w:val="1"/>
    <w:qFormat/>
    <w:uiPriority w:val="34"/>
    <w:pPr>
      <w:ind w:left="720"/>
      <w:contextualSpacing/>
    </w:pPr>
  </w:style>
  <w:style w:type="character" w:customStyle="1" w:styleId="14">
    <w:name w:val="Header Char"/>
    <w:basedOn w:val="2"/>
    <w:link w:val="8"/>
    <w:uiPriority w:val="99"/>
  </w:style>
  <w:style w:type="character" w:customStyle="1" w:styleId="15">
    <w:name w:val="Footer Char"/>
    <w:basedOn w:val="2"/>
    <w:link w:val="7"/>
    <w:uiPriority w:val="99"/>
  </w:style>
  <w:style w:type="character" w:customStyle="1" w:styleId="16">
    <w:name w:val="Comment Text Char"/>
    <w:basedOn w:val="2"/>
    <w:link w:val="5"/>
    <w:semiHidden/>
    <w:uiPriority w:val="99"/>
    <w:rPr>
      <w:sz w:val="20"/>
      <w:szCs w:val="20"/>
    </w:rPr>
  </w:style>
  <w:style w:type="character" w:customStyle="1" w:styleId="17">
    <w:name w:val="Comment Subject Char"/>
    <w:basedOn w:val="16"/>
    <w:link w:val="6"/>
    <w:semiHidden/>
    <w:uiPriority w:val="99"/>
    <w:rPr>
      <w:b/>
      <w:bCs/>
      <w:sz w:val="20"/>
      <w:szCs w:val="20"/>
    </w:rPr>
  </w:style>
  <w:style w:type="character" w:customStyle="1" w:styleId="18">
    <w:name w:val="normaltextrun"/>
    <w:basedOn w:val="2"/>
    <w:uiPriority w:val="0"/>
  </w:style>
  <w:style w:type="paragraph" w:customStyle="1" w:styleId="19">
    <w:name w:val="Revision"/>
    <w:hidden/>
    <w:semiHidden/>
    <w:uiPriority w:val="99"/>
    <w:pPr>
      <w:spacing w:after="0" w:line="240" w:lineRule="auto"/>
    </w:pPr>
    <w:rPr>
      <w:rFonts w:asciiTheme="minorHAnsi" w:hAnsiTheme="minorHAnsi" w:eastAsiaTheme="minorHAnsi" w:cstheme="minorBidi"/>
      <w:sz w:val="22"/>
      <w:szCs w:val="22"/>
      <w:lang w:val="en-US" w:eastAsia="en-US" w:bidi="ar-SA"/>
    </w:rPr>
  </w:style>
  <w:style w:type="paragraph" w:customStyle="1" w:styleId="20">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1">
    <w:name w:val="eop"/>
    <w:basedOn w:val="2"/>
    <w:uiPriority w:val="0"/>
  </w:style>
  <w:style w:type="character" w:customStyle="1" w:styleId="22">
    <w:name w:val="Mention"/>
    <w:basedOn w:val="2"/>
    <w:unhideWhenUsed/>
    <w:uiPriority w:val="99"/>
    <w:rPr>
      <w:color w:val="2B579A"/>
      <w:shd w:val="clear" w:color="auto" w:fill="E6E6E6"/>
    </w:rPr>
  </w:style>
  <w:style w:type="character" w:styleId="23">
    <w:name w:val="Placeholder Text"/>
    <w:basedOn w:val="2"/>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AB698DC0EB19147A57DCDEEB3826C5C"/>
        <w:style w:val=""/>
        <w:category>
          <w:name w:val="General"/>
          <w:gallery w:val="placeholder"/>
        </w:category>
        <w:types>
          <w:type w:val="bbPlcHdr"/>
        </w:types>
        <w:behaviors>
          <w:behavior w:val="content"/>
        </w:behaviors>
        <w:description w:val=""/>
        <w:guid w:val="{DDFAB8C0-C451-3541-B5B2-BFCFDFC78694}"/>
      </w:docPartPr>
      <w:docPartBody>
        <w:p>
          <w:pPr>
            <w:pStyle w:val="4"/>
          </w:pPr>
          <w:r>
            <w:t>Click here to enter text.</w:t>
          </w:r>
        </w:p>
      </w:docPartBody>
    </w:docPart>
    <w:docPart>
      <w:docPartPr>
        <w:name w:val="E7368AC9F51D714F921D1F58AC8D4639"/>
        <w:style w:val=""/>
        <w:category>
          <w:name w:val="General"/>
          <w:gallery w:val="placeholder"/>
        </w:category>
        <w:types>
          <w:type w:val="bbPlcHdr"/>
        </w:types>
        <w:behaviors>
          <w:behavior w:val="content"/>
        </w:behaviors>
        <w:description w:val=""/>
        <w:guid w:val="{E3B8E467-9AFD-8547-BBCA-1D34E5C90CE1}"/>
      </w:docPartPr>
      <w:docPartBody>
        <w:p>
          <w:r>
            <w:rPr>
              <w:rStyle w:val="5"/>
            </w:rPr>
            <w:t>Formatting...</w:t>
          </w:r>
        </w:p>
      </w:docPartBody>
    </w:docPart>
    <w:docPart>
      <w:docPartPr>
        <w:name w:val="6E8EA70C7910474684E42DC13DB99203"/>
        <w:style w:val=""/>
        <w:category>
          <w:name w:val="General"/>
          <w:gallery w:val="placeholder"/>
        </w:category>
        <w:types>
          <w:type w:val="bbPlcHdr"/>
        </w:types>
        <w:behaviors>
          <w:behavior w:val="content"/>
        </w:behaviors>
        <w:description w:val=""/>
        <w:guid w:val="{28E66F64-73E7-A944-8621-58233DD7D086}"/>
      </w:docPartPr>
      <w:docPartBody>
        <w:p>
          <w:r>
            <w:rPr>
              <w:rStyle w:val="5"/>
            </w:rPr>
            <w:t>Formatting...</w:t>
          </w:r>
        </w:p>
      </w:docPartBody>
    </w:docPart>
    <w:docPart>
      <w:docPartPr>
        <w:name w:val="3A6B2C502717034FAA90ABD834EF1273"/>
        <w:style w:val=""/>
        <w:category>
          <w:name w:val="General"/>
          <w:gallery w:val="placeholder"/>
        </w:category>
        <w:types>
          <w:type w:val="bbPlcHdr"/>
        </w:types>
        <w:behaviors>
          <w:behavior w:val="content"/>
        </w:behaviors>
        <w:description w:val=""/>
        <w:guid w:val="{13334235-171E-EA43-BDF2-7E3B2C37B31B}"/>
      </w:docPartPr>
      <w:docPartBody>
        <w:p>
          <w:r>
            <w:rPr>
              <w:rStyle w:val="5"/>
            </w:rPr>
            <w:t>Formatting...</w:t>
          </w:r>
        </w:p>
      </w:docPartBody>
    </w:docPart>
    <w:docPart>
      <w:docPartPr>
        <w:name w:val="4DDA7264FF343E45AE6F5A80FD531E59"/>
        <w:style w:val=""/>
        <w:category>
          <w:name w:val="General"/>
          <w:gallery w:val="placeholder"/>
        </w:category>
        <w:types>
          <w:type w:val="bbPlcHdr"/>
        </w:types>
        <w:behaviors>
          <w:behavior w:val="content"/>
        </w:behaviors>
        <w:description w:val=""/>
        <w:guid w:val="{0F1608E8-1365-514D-9398-447D20E512EE}"/>
      </w:docPartPr>
      <w:docPartBody>
        <w:p>
          <w:r>
            <w:rPr>
              <w:rStyle w:val="5"/>
            </w:rPr>
            <w:t>Formatting...</w:t>
          </w:r>
        </w:p>
      </w:docPartBody>
    </w:docPart>
    <w:docPart>
      <w:docPartPr>
        <w:name w:val="316612C62719784E801F048ECB80A9E0"/>
        <w:style w:val=""/>
        <w:category>
          <w:name w:val="General"/>
          <w:gallery w:val="placeholder"/>
        </w:category>
        <w:types>
          <w:type w:val="bbPlcHdr"/>
        </w:types>
        <w:behaviors>
          <w:behavior w:val="content"/>
        </w:behaviors>
        <w:description w:val=""/>
        <w:guid w:val="{DC767D3F-3546-F34E-8460-D90ADCF4E555}"/>
      </w:docPartPr>
      <w:docPartBody>
        <w:p>
          <w:r>
            <w:rPr>
              <w:rStyle w:val="5"/>
            </w:rPr>
            <w:t>Formatting...</w:t>
          </w:r>
        </w:p>
      </w:docPartBody>
    </w:docPart>
    <w:docPart>
      <w:docPartPr>
        <w:name w:val="3237269E85B09F44805945853ED3E5CF"/>
        <w:style w:val=""/>
        <w:category>
          <w:name w:val="General"/>
          <w:gallery w:val="placeholder"/>
        </w:category>
        <w:types>
          <w:type w:val="bbPlcHdr"/>
        </w:types>
        <w:behaviors>
          <w:behavior w:val="content"/>
        </w:behaviors>
        <w:description w:val=""/>
        <w:guid w:val="{381627EF-ED5D-B144-A14B-24A0AB69C930}"/>
      </w:docPartPr>
      <w:docPartBody>
        <w:p>
          <w:r>
            <w:rPr>
              <w:rStyle w:val="5"/>
            </w:rPr>
            <w:t>Formatting...</w:t>
          </w:r>
        </w:p>
      </w:docPartBody>
    </w:docPart>
    <w:docPart>
      <w:docPartPr>
        <w:name w:val="2CD787FAECDD084AA3E0DFF37DF2BADD"/>
        <w:style w:val=""/>
        <w:category>
          <w:name w:val="General"/>
          <w:gallery w:val="placeholder"/>
        </w:category>
        <w:types>
          <w:type w:val="bbPlcHdr"/>
        </w:types>
        <w:behaviors>
          <w:behavior w:val="content"/>
        </w:behaviors>
        <w:description w:val=""/>
        <w:guid w:val="{121DE176-B98D-BB4F-893A-9F0FA3E083D5}"/>
      </w:docPartPr>
      <w:docPartBody>
        <w:p>
          <w:r>
            <w:rPr>
              <w:rStyle w:val="5"/>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6"/>
    <w:family w:val="auto"/>
    <w:pitch w:val="default"/>
    <w:sig w:usb0="00000000" w:usb1="00000000" w:usb2="00000000" w:usb3="00000000" w:csb0="0016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943"/>
    <w:rsid w:val="000167A0"/>
    <w:rsid w:val="002D626B"/>
    <w:rsid w:val="00991163"/>
    <w:rsid w:val="00D16943"/>
    <w:rsid w:val="00EF1E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CAB698DC0EB19147A57DCDEEB3826C5C"/>
    <w:uiPriority w:val="0"/>
    <w:rPr>
      <w:rFonts w:asciiTheme="minorHAnsi" w:hAnsiTheme="minorHAnsi" w:eastAsiaTheme="minorEastAsia" w:cstheme="minorBidi"/>
      <w:kern w:val="2"/>
      <w:sz w:val="24"/>
      <w:szCs w:val="24"/>
      <w:lang w:val="en-US" w:eastAsia="en-US" w:bidi="ar-SA"/>
      <w14:ligatures w14:val="standardContextual"/>
    </w:rPr>
  </w:style>
  <w:style w:type="character" w:styleId="5">
    <w:name w:val="Placeholder Text"/>
    <w:basedOn w:val="2"/>
    <w:semiHidden/>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ScaleCrop>false</ScaleCrop>
  <LinksUpToDate>false</LinksUpToDate>
  <Application>WPS Office_5.0.0.7908_F1E327BC-269C-435d-A152-05C5408002CA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Booker, Quiera S</dc:creator>
  <cp:lastModifiedBy>Quiera Booker</cp:lastModifiedBy>
  <dcterms:modified xsi:type="dcterms:W3CDTF">2023-04-17T20:06:31Z</dcterms:modified>
  <cp:revision>227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documentId_3205</vt:lpwstr>
  </property>
  <property fmtid="{D5CDD505-2E9C-101B-9397-08002B2CF9AE}" pid="3" name="grammarly_documentContext">
    <vt:lpwstr>{"goals":["inform"],"domain":"academic","emotions":["confident"],"dialect":"american","audience":"expert","style":"formal"}</vt:lpwstr>
  </property>
  <property fmtid="{D5CDD505-2E9C-101B-9397-08002B2CF9AE}" pid="4" name="TII_WORD_DOCUMENT_FILENAME">
    <vt:lpwstr>Final Report Outline_040623.docx</vt:lpwstr>
  </property>
  <property fmtid="{D5CDD505-2E9C-101B-9397-08002B2CF9AE}" pid="5" name="TII_WORD_DOCUMENT_ID">
    <vt:lpwstr>0f52ec2c-6d64-471c-8bc4-ebe26f40a0af</vt:lpwstr>
  </property>
  <property fmtid="{D5CDD505-2E9C-101B-9397-08002B2CF9AE}" pid="6" name="KSOProductBuildVer">
    <vt:lpwstr>1033-5.0.0.7908</vt:lpwstr>
  </property>
</Properties>
</file>