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Bekkenrapportage</w:t>
      </w:r>
      <w:r>
        <w:t xml:space="preserve"> </w:t>
      </w:r>
      <w:r>
        <w:t xml:space="preserve">Veerse</w:t>
      </w:r>
      <w:r>
        <w:t xml:space="preserve"> </w:t>
      </w:r>
      <w:r>
        <w:t xml:space="preserve">Meer</w:t>
      </w:r>
      <w:r>
        <w:t xml:space="preserve"> </w:t>
      </w:r>
      <w:r>
        <w:t xml:space="preserve">-</w:t>
      </w:r>
      <w:r>
        <w:t xml:space="preserve"> </w:t>
      </w:r>
      <w:r>
        <w:t xml:space="preserve">testversie</w:t>
      </w:r>
    </w:p>
    <w:p>
      <w:pPr>
        <w:pStyle w:val="Author"/>
      </w:pPr>
      <w:r>
        <w:t xml:space="preserve">Willem</w:t>
      </w:r>
      <w:r>
        <w:t xml:space="preserve"> </w:t>
      </w:r>
      <w:r>
        <w:t xml:space="preserve">Stolte</w:t>
      </w:r>
    </w:p>
    <w:p>
      <w:pPr>
        <w:pStyle w:val="Date"/>
      </w:pPr>
      <w:r>
        <w:t xml:space="preserve">Friday,</w:t>
      </w:r>
      <w:r>
        <w:t xml:space="preserve"> </w:t>
      </w:r>
      <w:r>
        <w:t xml:space="preserve">May</w:t>
      </w:r>
      <w:r>
        <w:t xml:space="preserve"> </w:t>
      </w:r>
      <w:r>
        <w:t xml:space="preserve">22,</w:t>
      </w:r>
      <w:r>
        <w:t xml:space="preserve"> </w:t>
      </w:r>
      <w:r>
        <w:t xml:space="preserve">2015</w:t>
      </w:r>
    </w:p>
    <w:p>
      <w:pPr>
        <w:pStyle w:val="Heading1"/>
      </w:pPr>
      <w:bookmarkStart w:id="21" w:name="inleiding"/>
      <w:bookmarkEnd w:id="21"/>
      <w:r>
        <w:t xml:space="preserve">Inleiding</w:t>
      </w:r>
    </w:p>
    <w:p>
      <w:r>
        <w:t xml:space="preserve">Het Veerse Meer is in 2003 van een brakwaterbekken veranderd in een zoutwaterbekken. Dit heeft effect gehad op zoutgehalte, maar ook op nutrienten en zuurstofconcentraties.</w:t>
      </w:r>
    </w:p>
    <w:p>
      <w:r>
        <w:pict>
          <v:rect style="width:0;height:1.5pt" o:hralign="center" o:hrstd="t" o:hr="t"/>
        </w:pict>
      </w:r>
    </w:p>
    <w:p>
      <w:pPr>
        <w:pStyle w:val="Heading2"/>
      </w:pPr>
      <w:bookmarkStart w:id="22" w:name="achtergrond"/>
      <w:bookmarkEnd w:id="22"/>
      <w:r>
        <w:t xml:space="preserve">Achtergrond</w:t>
      </w:r>
    </w:p>
    <w:p>
      <w:r>
        <w:t xml:space="preserve">In het kader van .......</w:t>
      </w:r>
    </w:p>
    <w:p>
      <w:r>
        <w:pict>
          <v:rect style="width:0;height:1.5pt" o:hralign="center" o:hrstd="t" o:hr="t"/>
        </w:pict>
      </w:r>
    </w:p>
    <w:p>
      <w:pPr>
        <w:pStyle w:val="Heading3"/>
      </w:pPr>
      <w:bookmarkStart w:id="23" w:name="veiligheid"/>
      <w:bookmarkEnd w:id="23"/>
      <w:r>
        <w:t xml:space="preserve">Veiligheid</w:t>
      </w:r>
    </w:p>
    <w:p>
      <w:r>
        <w:t xml:space="preserve">Ook aan veiligheid is gedacht.....</w:t>
      </w:r>
    </w:p>
    <w:p>
      <w:r>
        <w:pict>
          <v:rect style="width:0;height:1.5pt" o:hralign="center" o:hrstd="t" o:hr="t"/>
        </w:pict>
      </w:r>
    </w:p>
    <w:p>
      <w:pPr>
        <w:pStyle w:val="Heading3"/>
      </w:pPr>
      <w:bookmarkStart w:id="24" w:name="natuur"/>
      <w:bookmarkEnd w:id="24"/>
      <w:r>
        <w:t xml:space="preserve">Natuur</w:t>
      </w:r>
    </w:p>
    <w:p>
      <w:r>
        <w:t xml:space="preserve">Het Veerse Meer is een belangrijk Natura2000 gebied ......</w:t>
      </w:r>
    </w:p>
    <w:p>
      <w:r>
        <w:pict>
          <v:rect style="width:0;height:1.5pt" o:hralign="center" o:hrstd="t" o:hr="t"/>
        </w:pict>
      </w:r>
    </w:p>
    <w:p>
      <w:pPr>
        <w:pStyle w:val="Heading1"/>
      </w:pPr>
      <w:bookmarkStart w:id="25" w:name="evaluatie"/>
      <w:bookmarkEnd w:id="25"/>
      <w:r>
        <w:t xml:space="preserve">Evaluatie</w:t>
      </w:r>
    </w:p>
    <w:p>
      <w:pPr>
        <w:pStyle w:val="Heading2"/>
      </w:pPr>
      <w:bookmarkStart w:id="26" w:name="saliniteit"/>
      <w:bookmarkEnd w:id="26"/>
      <w:r>
        <w:t xml:space="preserve">Saliniteit</w:t>
      </w:r>
    </w:p>
    <w:p>
      <w:r>
        <w:t xml:space="preserve">De concentratie saliniteit is veranderd blablabla</w:t>
      </w:r>
    </w:p>
    <w:p>
      <w:r>
        <w:drawing>
          <wp:inline>
            <wp:extent cx="4610100" cy="3695700"/>
            <wp:effectExtent b="0" l="0" r="0" t="0"/>
            <wp:docPr descr="" id="1" name="Picture"/>
            <a:graphic>
              <a:graphicData uri="http://schemas.openxmlformats.org/drawingml/2006/picture">
                <pic:pic>
                  <pic:nvPicPr>
                    <pic:cNvPr descr="BekkenRappVM_voorbeeld_files/figure-docx/unnamed-chunk-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De gemiddelde saliniteit over de hele periode was 20.11 PSU. Voor de opening van de Veerse Gatdam was dit gemiddeld 17.16 PSU, erna 26.75 PSU</w:t>
      </w:r>
    </w:p>
    <w:p>
      <w:pPr>
        <w:pStyle w:val="Heading3"/>
      </w:pPr>
      <w:bookmarkStart w:id="28" w:name="gemiddelde-saliniteit-per-jaar"/>
      <w:bookmarkEnd w:id="28"/>
      <w:r>
        <w:t xml:space="preserve">Gemiddelde saliniteit per jaar</w:t>
      </w:r>
    </w:p>
    <w:p>
      <w:r>
        <w:t xml:space="preserve">Tabel met salinitiet na de opening van de dam.</w:t>
      </w:r>
    </w:p>
    <w:tbl>
      <w:tblPr>
        <w:tblStyle w:val="TableNormal"/>
        <w:tblW w:type="pct" w:w="0.0"/>
      </w:tblPr>
      <w:tblGrid/>
      <w:t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mean</w:t>
            </w:r>
          </w:p>
        </w:tc>
      </w:tr>
      <w:tr>
        <w:tc>
          <w:p>
            <w:pPr>
              <w:pStyle w:val="Compact"/>
              <w:jc w:val="center"/>
            </w:pPr>
            <w:r>
              <w:t xml:space="preserve">2004</w:t>
            </w:r>
          </w:p>
        </w:tc>
        <w:tc>
          <w:p>
            <w:pPr>
              <w:pStyle w:val="Compact"/>
              <w:jc w:val="center"/>
            </w:pPr>
            <w:r>
              <w:t xml:space="preserve">22.3</w:t>
            </w:r>
          </w:p>
        </w:tc>
      </w:tr>
      <w:tr>
        <w:tc>
          <w:p>
            <w:pPr>
              <w:pStyle w:val="Compact"/>
              <w:jc w:val="center"/>
            </w:pPr>
            <w:r>
              <w:t xml:space="preserve">2005</w:t>
            </w:r>
          </w:p>
        </w:tc>
        <w:tc>
          <w:p>
            <w:pPr>
              <w:pStyle w:val="Compact"/>
              <w:jc w:val="center"/>
            </w:pPr>
            <w:r>
              <w:t xml:space="preserve">26.6</w:t>
            </w:r>
          </w:p>
        </w:tc>
      </w:tr>
      <w:tr>
        <w:tc>
          <w:p>
            <w:pPr>
              <w:pStyle w:val="Compact"/>
              <w:jc w:val="center"/>
            </w:pPr>
            <w:r>
              <w:t xml:space="preserve">2006</w:t>
            </w:r>
          </w:p>
        </w:tc>
        <w:tc>
          <w:p>
            <w:pPr>
              <w:pStyle w:val="Compact"/>
              <w:jc w:val="center"/>
            </w:pPr>
            <w:r>
              <w:t xml:space="preserve">26.9</w:t>
            </w:r>
          </w:p>
        </w:tc>
      </w:tr>
      <w:tr>
        <w:tc>
          <w:p>
            <w:pPr>
              <w:pStyle w:val="Compact"/>
              <w:jc w:val="center"/>
            </w:pPr>
            <w:r>
              <w:t xml:space="preserve">2007</w:t>
            </w:r>
          </w:p>
        </w:tc>
        <w:tc>
          <w:p>
            <w:pPr>
              <w:pStyle w:val="Compact"/>
              <w:jc w:val="center"/>
            </w:pPr>
            <w:r>
              <w:t xml:space="preserve">26.7</w:t>
            </w:r>
          </w:p>
        </w:tc>
      </w:tr>
      <w:tr>
        <w:tc>
          <w:p>
            <w:pPr>
              <w:pStyle w:val="Compact"/>
              <w:jc w:val="center"/>
            </w:pPr>
            <w:r>
              <w:t xml:space="preserve">2008</w:t>
            </w:r>
          </w:p>
        </w:tc>
        <w:tc>
          <w:p>
            <w:pPr>
              <w:pStyle w:val="Compact"/>
              <w:jc w:val="center"/>
            </w:pPr>
            <w:r>
              <w:t xml:space="preserve">27.1</w:t>
            </w:r>
          </w:p>
        </w:tc>
      </w:tr>
      <w:tr>
        <w:tc>
          <w:p>
            <w:pPr>
              <w:pStyle w:val="Compact"/>
              <w:jc w:val="center"/>
            </w:pPr>
            <w:r>
              <w:t xml:space="preserve">2009</w:t>
            </w:r>
          </w:p>
        </w:tc>
        <w:tc>
          <w:p>
            <w:pPr>
              <w:pStyle w:val="Compact"/>
              <w:jc w:val="center"/>
            </w:pPr>
            <w:r>
              <w:t xml:space="preserve">28.7</w:t>
            </w:r>
          </w:p>
        </w:tc>
      </w:tr>
      <w:tr>
        <w:tc>
          <w:p>
            <w:pPr>
              <w:pStyle w:val="Compact"/>
              <w:jc w:val="center"/>
            </w:pPr>
            <w:r>
              <w:t xml:space="preserve">2010</w:t>
            </w:r>
          </w:p>
        </w:tc>
        <w:tc>
          <w:p>
            <w:pPr>
              <w:pStyle w:val="Compact"/>
              <w:jc w:val="center"/>
            </w:pPr>
            <w:r>
              <w:t xml:space="preserve">26.9</w:t>
            </w:r>
          </w:p>
        </w:tc>
      </w:tr>
      <w:tr>
        <w:tc>
          <w:p>
            <w:pPr>
              <w:pStyle w:val="Compact"/>
              <w:jc w:val="center"/>
            </w:pPr>
            <w:r>
              <w:t xml:space="preserve">2011</w:t>
            </w:r>
          </w:p>
        </w:tc>
        <w:tc>
          <w:p>
            <w:pPr>
              <w:pStyle w:val="Compact"/>
              <w:jc w:val="center"/>
            </w:pPr>
            <w:r>
              <w:t xml:space="preserve">27.5</w:t>
            </w:r>
          </w:p>
        </w:tc>
      </w:tr>
      <w:tr>
        <w:tc>
          <w:p>
            <w:pPr>
              <w:pStyle w:val="Compact"/>
              <w:jc w:val="center"/>
            </w:pPr>
            <w:r>
              <w:t xml:space="preserve">2012</w:t>
            </w:r>
          </w:p>
        </w:tc>
        <w:tc>
          <w:p>
            <w:pPr>
              <w:pStyle w:val="Compact"/>
              <w:jc w:val="center"/>
            </w:pPr>
            <w:r>
              <w:t xml:space="preserve">27.9</w:t>
            </w:r>
          </w:p>
        </w:tc>
      </w:tr>
      <w:tr>
        <w:tc>
          <w:p>
            <w:pPr>
              <w:pStyle w:val="Compact"/>
              <w:jc w:val="center"/>
            </w:pPr>
            <w:r>
              <w:t xml:space="preserve">2013</w:t>
            </w:r>
          </w:p>
        </w:tc>
        <w:tc>
          <w:p>
            <w:pPr>
              <w:pStyle w:val="Compact"/>
              <w:jc w:val="center"/>
            </w:pPr>
            <w:r>
              <w:t xml:space="preserve">26.1</w:t>
            </w:r>
          </w:p>
        </w:tc>
      </w:tr>
      <w:tr>
        <w:tc>
          <w:p>
            <w:pPr>
              <w:pStyle w:val="Compact"/>
              <w:jc w:val="center"/>
            </w:pPr>
            <w:r>
              <w:t xml:space="preserve">2014</w:t>
            </w:r>
          </w:p>
        </w:tc>
        <w:tc>
          <w:p>
            <w:pPr>
              <w:pStyle w:val="Compact"/>
              <w:jc w:val="center"/>
            </w:pPr>
            <w:r>
              <w:t xml:space="preserve">28</w:t>
            </w:r>
          </w:p>
        </w:tc>
      </w:tr>
    </w:tbl>
    <w:p>
      <w:pPr>
        <w:pStyle w:val="Heading2"/>
      </w:pPr>
      <w:bookmarkStart w:id="29" w:name="opgelost-fosfaat"/>
      <w:bookmarkEnd w:id="29"/>
      <w:r>
        <w:t xml:space="preserve">Opgelost fosfaat</w:t>
      </w:r>
    </w:p>
    <w:p>
      <w:r>
        <w:t xml:space="preserve">De concentratie fosfaat is veranderd door de verzouting. Deels wordt fosfaat minder lang vastgehouden door de teogenomen menging, maar er is ook een verminderde nalevering vanuit het sediment (ref). Dit alles heeft ervoor gezorgd dat de concentratie fosfaat door het openen van de dam is gedaald van 0.47 microgram/l naar 0.13 microgram/l. Na de opening van de dam was de gemiddelde zomerconcentratie 0.12 microgram/l en winterconcentratie 0.17</w:t>
      </w:r>
    </w:p>
    <w:p>
      <w:r>
        <w:drawing>
          <wp:inline>
            <wp:extent cx="4610100" cy="3695700"/>
            <wp:effectExtent b="0" l="0" r="0" t="0"/>
            <wp:docPr descr="" id="1" name="Picture"/>
            <a:graphic>
              <a:graphicData uri="http://schemas.openxmlformats.org/drawingml/2006/picture">
                <pic:pic>
                  <pic:nvPicPr>
                    <pic:cNvPr descr="BekkenRappVM_voorbeeld_files/figure-docx/unnamed-chunk-5-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##Totaal stikstof</w:t>
      </w:r>
    </w:p>
    <w:p>
      <w:r>
        <w:drawing>
          <wp:inline>
            <wp:extent cx="4610100" cy="3695700"/>
            <wp:effectExtent b="0" l="0" r="0" t="0"/>
            <wp:docPr descr="" id="1" name="Picture"/>
            <a:graphic>
              <a:graphicData uri="http://schemas.openxmlformats.org/drawingml/2006/picture">
                <pic:pic>
                  <pic:nvPicPr>
                    <pic:cNvPr descr="BekkenRappVM_voorbeeld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De gemiddelde concentratie totaal stikstof over de hele periode was 1.39 microgram/l. Voor de opening van de Veerse Gatdam was dit gemiddeld 1.71 microgram/l, erna 0.93 microgram/l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f46f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Bekkenrapportage Veerse Meer - testversie</dc:title>
  <dc:creator>Willem Stolte</dc:creator>
</cp:coreProperties>
</file>