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Demovate-survey2020</w:t>
      </w:r>
    </w:p>
    <w:p>
      <w:pPr>
        <w:pStyle w:val="Author"/>
      </w:pPr>
      <w:r>
        <w:t xml:space="preserve">Sveinung</w:t>
      </w:r>
      <w:r>
        <w:t xml:space="preserve"> </w:t>
      </w:r>
      <w:r>
        <w:t xml:space="preserve">Arnesen</w:t>
      </w:r>
    </w:p>
    <w:p>
      <w:pPr>
        <w:pStyle w:val="Date"/>
      </w:pPr>
      <w:r>
        <w:t xml:space="preserve">6/17/2020</w:t>
      </w:r>
    </w:p>
    <w:p>
      <w:pPr>
        <w:pStyle w:val="Heading3"/>
      </w:pPr>
      <w:bookmarkStart w:id="20" w:name="turistskatt"/>
      <w:r>
        <w:t xml:space="preserve">Turistskatt</w:t>
      </w:r>
      <w:bookmarkEnd w:id="20"/>
    </w:p>
    <w:p>
      <w:pPr>
        <w:pStyle w:val="BlockText"/>
      </w:pPr>
      <w:r>
        <w:t xml:space="preserve">Det har vært oppe til diskusjon om man skal innføre skatt på cruiseturismen i Bergen. Skatten skal gå til vedlikehold av fasiliteter som turistene bruker. Hvor sterkt støtter eller motsetter du deg en slik turistskatt?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vate-survey2020_files/figure-docx/cruiseturisme_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vate-survey2020_files/figure-docx/cruiseturisme_fig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vate-survey2020_files/figure-docx/cruiseturisme_fig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Oppslutning om turistskatt i Bergen</w:t>
      </w:r>
    </w:p>
    <w:p>
      <w:pPr>
        <w:pStyle w:val="Compact"/>
      </w:pPr>
      <w:r>
        <w:t xml:space="preserve">Regresjonsanalyse</w:t>
      </w:r>
    </w:p>
    <w:p>
      <w:pPr>
        <w:pStyle w:val="Compact"/>
      </w:pPr>
      <w:r>
        <w:t xml:space="preserve">Variabel</w:t>
      </w:r>
    </w:p>
    <w:p>
      <w:pPr>
        <w:pStyle w:val="Compact"/>
      </w:pPr>
      <w:r>
        <w:t xml:space="preserve">Koeffisient</w:t>
      </w:r>
    </w:p>
    <w:p>
      <w:pPr>
        <w:pStyle w:val="Compact"/>
      </w:pPr>
      <w:r>
        <w:t xml:space="preserve">Standardfeil</w:t>
      </w:r>
    </w:p>
    <w:p>
      <w:pPr>
        <w:pStyle w:val="Compact"/>
      </w:pPr>
      <w:r>
        <w:t xml:space="preserve">t-verdi</w:t>
      </w:r>
    </w:p>
    <w:p>
      <w:pPr>
        <w:pStyle w:val="Compact"/>
      </w:pPr>
      <w:r>
        <w:t xml:space="preserve">p-verdi</w:t>
      </w:r>
    </w:p>
    <w:p>
      <w:pPr>
        <w:pStyle w:val="Compact"/>
      </w:pPr>
      <w:r>
        <w:t xml:space="preserve">Utdanning (Grunnskole som referansekategori)</w:t>
      </w:r>
    </w:p>
    <w:p>
      <w:pPr>
        <w:pStyle w:val="Compact"/>
      </w:pPr>
      <w:r>
        <w:t xml:space="preserve">Videregående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1.70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Universitet/høyskole (inntil 2 år)</w:t>
      </w:r>
    </w:p>
    <w:p>
      <w:pPr>
        <w:pStyle w:val="Compact"/>
      </w:pPr>
      <w:r>
        <w:t xml:space="preserve">1.01</w:t>
      </w:r>
    </w:p>
    <w:p>
      <w:pPr>
        <w:pStyle w:val="Compact"/>
      </w:pPr>
      <w:r>
        <w:t xml:space="preserve">0.62</w:t>
      </w:r>
    </w:p>
    <w:p>
      <w:pPr>
        <w:pStyle w:val="Compact"/>
      </w:pPr>
      <w:r>
        <w:t xml:space="preserve">1.63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Universitet/høyskole (mer enn 2 år)</w:t>
      </w:r>
    </w:p>
    <w:p>
      <w:pPr>
        <w:pStyle w:val="Compact"/>
      </w:pPr>
      <w:r>
        <w:t xml:space="preserve">1.28</w:t>
      </w:r>
    </w:p>
    <w:p>
      <w:pPr>
        <w:pStyle w:val="Compact"/>
      </w:pPr>
      <w:r>
        <w:t xml:space="preserve">0.53</w:t>
      </w:r>
    </w:p>
    <w:p>
      <w:pPr>
        <w:pStyle w:val="Compact"/>
      </w:pPr>
      <w:r>
        <w:t xml:space="preserve">2.43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Alder (Under 30 år som referansekategori)</w:t>
      </w:r>
    </w:p>
    <w:p>
      <w:pPr>
        <w:pStyle w:val="Compact"/>
      </w:pPr>
      <w:r>
        <w:t xml:space="preserve">30-44 år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45-59 år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1.38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60 år og eldre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3.26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Kjønn (Kvinne som referansekategori)</w:t>
      </w:r>
    </w:p>
    <w:p>
      <w:pPr>
        <w:pStyle w:val="Compact"/>
      </w:pPr>
      <w:r>
        <w:t xml:space="preserve">Mann</w:t>
      </w:r>
    </w:p>
    <w:p>
      <w:pPr>
        <w:pStyle w:val="Compact"/>
      </w:pPr>
      <w:r>
        <w:t xml:space="preserve">−0.40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−2.22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Bydel (Sentrum som referansekategori)</w:t>
      </w:r>
    </w:p>
    <w:p>
      <w:pPr>
        <w:pStyle w:val="Compact"/>
      </w:pPr>
      <w:r>
        <w:t xml:space="preserve">Arna og Åsane</w:t>
      </w:r>
    </w:p>
    <w:p>
      <w:pPr>
        <w:pStyle w:val="Compact"/>
      </w:pPr>
      <w:r>
        <w:t xml:space="preserve">−0.51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−1.93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Bergen Vest</w:t>
      </w:r>
    </w:p>
    <w:p>
      <w:pPr>
        <w:pStyle w:val="Compact"/>
      </w:pPr>
      <w:r>
        <w:t xml:space="preserve">−0.49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−2.03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Fana og Ytrebygda</w:t>
      </w:r>
    </w:p>
    <w:p>
      <w:pPr>
        <w:pStyle w:val="Compact"/>
      </w:pPr>
      <w:r>
        <w:t xml:space="preserve">−0.24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−0.96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Skjæringspunkt</w:t>
      </w:r>
    </w:p>
    <w:p>
      <w:pPr>
        <w:pStyle w:val="Compact"/>
      </w:pPr>
      <w:r>
        <w:t xml:space="preserve">6.81</w:t>
      </w:r>
    </w:p>
    <w:p>
      <w:pPr>
        <w:pStyle w:val="Compact"/>
      </w:pPr>
      <w:r>
        <w:t xml:space="preserve">0.62</w:t>
      </w:r>
    </w:p>
    <w:p>
      <w:pPr>
        <w:pStyle w:val="Compact"/>
      </w:pPr>
      <w:r>
        <w:t xml:space="preserve">11.04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Selvopplevd politisk innflytelse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2.50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Selvopplevd politisk innsikt</w:t>
      </w:r>
    </w:p>
    <w:p>
      <w:pPr>
        <w:pStyle w:val="Compact"/>
      </w:pPr>
      <w:r>
        <w:t xml:space="preserve">−0.06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−1.70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Selvplassering på politisk skala</w:t>
      </w:r>
    </w:p>
    <w:p>
      <w:pPr>
        <w:pStyle w:val="Compact"/>
      </w:pPr>
      <w:r>
        <w:t xml:space="preserve">−0.18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−4.68</w:t>
      </w:r>
    </w:p>
    <w:p>
      <w:pPr>
        <w:pStyle w:val="Compact"/>
      </w:pPr>
      <w:r>
        <w:t xml:space="preserve">0.00</w:t>
      </w:r>
    </w:p>
    <w:p>
      <w:pPr>
        <w:pStyle w:val="Heading3"/>
      </w:pPr>
      <w:bookmarkStart w:id="24" w:name="storelungen"/>
      <w:r>
        <w:t xml:space="preserve">Storelungen</w:t>
      </w:r>
      <w:bookmarkEnd w:id="24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vate-survey2020_files/figure-docx/storelungen_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vate-survey2020_files/figure-docx/storelungen_fig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vate-survey2020_files/figure-docx/storelungen_fig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om-spørreundersøkelsen"/>
      <w:r>
        <w:t xml:space="preserve">Om spørreundersøkelsen</w:t>
      </w:r>
      <w:bookmarkEnd w:id="28"/>
    </w:p>
    <w:p>
      <w:pPr>
        <w:pStyle w:val="FirstParagraph"/>
      </w:pPr>
      <w:r>
        <w:t xml:space="preserve">Respons Analyse har på oppdrag fra NORCE gjennomført en innbyggerundersøkelse i Bergen i perioden 16. desember 2019 – 13. januar 2020. Undersøkelsen er gjennomført på telefon. Det er intervjuet 900 respondenter representativt for innbyggerne 18 år og eldre.</w:t>
      </w:r>
    </w:p>
    <w:p>
      <w:pPr>
        <w:pStyle w:val="BodyText"/>
      </w:pPr>
      <w:r>
        <w:t xml:space="preserve">Spørreskjema er utarbeidet av NORCE og omhandler lokaldemokrati i Bergen og inneholder bl.a. conjoint-spørsmål om deltakelse i borgerpanel i Bergen. Intervjuet var beregnet til 10 minutters gjennomsnittlig intervjutid. Det viste seg imidlertid at det tok litt lenger tid. Gjennomsnittlig intervjutid viste seg å være 11,5 minutter.</w:t>
      </w:r>
    </w:p>
    <w:p>
      <w:pPr>
        <w:pStyle w:val="BodyText"/>
      </w:pPr>
      <w:r>
        <w:t xml:space="preserve">Utvalget er trukket fra Bisnodes register over private telefonnumre i Norge. Nedenfor har vi satt opp en oversikt over gjennomføringen og frafallet i undersøkelsen. Vi har delt inn frafallet i følgende kategorier:</w:t>
      </w:r>
    </w:p>
    <w:p>
      <w:pPr>
        <w:numPr>
          <w:numId w:val="1001"/>
          <w:ilvl w:val="0"/>
        </w:numPr>
      </w:pPr>
      <w:r>
        <w:t xml:space="preserve">Ubesvart. Dette inneholder de vi har forsøkt å ringe uten at vi har fått kontakt med dem.</w:t>
      </w:r>
      <w:r>
        <w:t xml:space="preserve"> </w:t>
      </w:r>
      <w:r>
        <w:t xml:space="preserve">Dette er i all hovedsak at telefonen ikke bli besvart når vi ringer, men i noen tilfeller dreier det seg om tilfeller der vi har fått gjort en avtale om tilbakeringing, men at vedkommende da ikke er tilgjengelig eller til stede likevel.</w:t>
      </w:r>
      <w:r>
        <w:t xml:space="preserve"> </w:t>
      </w:r>
      <w:r>
        <w:t xml:space="preserve">Alle ubesvarte telefonnumre er lagt tilbake i utvalget og forsøkt oppringt igjen senere i intervjuperioden.</w:t>
      </w:r>
      <w:r>
        <w:t xml:space="preserve"> </w:t>
      </w:r>
      <w:r>
        <w:t xml:space="preserve">Antall tilbakeringinger på de som havner i kategorien ubesvart varierer fra 2-12. Der fleste ligger imidlertid mellom 2-5 tilbakeringinger.</w:t>
      </w:r>
    </w:p>
    <w:p>
      <w:pPr>
        <w:numPr>
          <w:numId w:val="1001"/>
          <w:ilvl w:val="0"/>
        </w:numPr>
      </w:pPr>
      <w:r>
        <w:t xml:space="preserve">Nekt. Dette er personer vi har fått snakke med, men der denne ikke vil delta i undersøkelsen.</w:t>
      </w:r>
    </w:p>
    <w:p>
      <w:pPr>
        <w:numPr>
          <w:numId w:val="1001"/>
          <w:ilvl w:val="0"/>
        </w:numPr>
      </w:pPr>
      <w:r>
        <w:t xml:space="preserve">Utenfor målgruppen. Dette gjelder personer som det ikke lar seg gjøre å gjennomføre intervju på en faglig forsvarlig måte. Dette kan gjelde personer som ikke forstår norsk helt eller delvis, personer som hører dårlig, demente, psykisk utviklingshemmede osv.</w:t>
      </w:r>
    </w:p>
    <w:p>
      <w:pPr>
        <w:numPr>
          <w:numId w:val="1001"/>
          <w:ilvl w:val="0"/>
        </w:numPr>
      </w:pPr>
      <w:r>
        <w:t xml:space="preserve">Intervju. Dette er ingen frafallsgrunn, men vi har tatt det med for å beskrive hvordan bruttoutvalget fordelte seg under gjennomføringen. Dette er de som svarte på undersøkelsen.</w:t>
      </w:r>
    </w:p>
    <w:p>
      <w:pPr>
        <w:pStyle w:val="FirstParagraph"/>
      </w:pPr>
      <w:r>
        <w:t xml:space="preserve">På bakgrunn av dette kan vi oppsummere frafallet på denne måten.</w:t>
      </w:r>
    </w:p>
    <w:p>
      <w:pPr>
        <w:pStyle w:val="Compact"/>
      </w:pPr>
      <w:r>
        <w:t xml:space="preserve">Utfall</w:t>
      </w:r>
    </w:p>
    <w:p>
      <w:pPr>
        <w:pStyle w:val="Compact"/>
      </w:pPr>
      <w:r>
        <w:t xml:space="preserve">Antall</w:t>
      </w:r>
    </w:p>
    <w:p>
      <w:pPr>
        <w:pStyle w:val="Compact"/>
      </w:pPr>
      <w:r>
        <w:t xml:space="preserve">Ubesvart</w:t>
      </w:r>
    </w:p>
    <w:p>
      <w:pPr>
        <w:pStyle w:val="Compact"/>
      </w:pPr>
      <w:r>
        <w:t xml:space="preserve">6373</w:t>
      </w:r>
    </w:p>
    <w:p>
      <w:pPr>
        <w:pStyle w:val="Compact"/>
      </w:pPr>
      <w:r>
        <w:t xml:space="preserve">Nekt</w:t>
      </w:r>
    </w:p>
    <w:p>
      <w:pPr>
        <w:pStyle w:val="Compact"/>
      </w:pPr>
      <w:r>
        <w:t xml:space="preserve">4944</w:t>
      </w:r>
    </w:p>
    <w:p>
      <w:pPr>
        <w:pStyle w:val="Compact"/>
      </w:pPr>
      <w:r>
        <w:t xml:space="preserve">Utenfor maalgruppen</w:t>
      </w:r>
    </w:p>
    <w:p>
      <w:pPr>
        <w:pStyle w:val="Compact"/>
      </w:pPr>
      <w:r>
        <w:t xml:space="preserve">188</w:t>
      </w:r>
    </w:p>
    <w:p>
      <w:pPr>
        <w:pStyle w:val="Compact"/>
      </w:pPr>
      <w:r>
        <w:t xml:space="preserve">Intervju</w:t>
      </w:r>
    </w:p>
    <w:p>
      <w:pPr>
        <w:pStyle w:val="Compact"/>
      </w:pPr>
      <w:r>
        <w:t xml:space="preserve">900</w:t>
      </w:r>
    </w:p>
    <w:p>
      <w:pPr>
        <w:pStyle w:val="Compact"/>
      </w:pPr>
      <w:r>
        <w:t xml:space="preserve">Sum brutto</w:t>
      </w:r>
    </w:p>
    <w:p>
      <w:pPr>
        <w:pStyle w:val="Compact"/>
      </w:pPr>
      <w:r>
        <w:t xml:space="preserve">12405</w:t>
      </w:r>
    </w:p>
    <w:p>
      <w:pPr>
        <w:pStyle w:val="BodyText"/>
      </w:pPr>
      <w:r>
        <w:t xml:space="preserve">Svarprosenten av de vi fikk kontakt med og som var i målgruppen er således 15 %. Dette er litt lavere enn vanlig, men kan skyldes at omtrent halvparten av datainnsamlingen ble gjennomført i uken før jul. Dette er tradisjonelt travle tider for folk, noe som nok kan gjøre at svarvilligheten er lavere enn normalt.</w:t>
      </w:r>
    </w:p>
    <w:p>
      <w:pPr>
        <w:pStyle w:val="Heading2"/>
      </w:pPr>
      <w:bookmarkStart w:id="29" w:name="kodebok"/>
      <w:r>
        <w:t xml:space="preserve">Kodebok</w:t>
      </w:r>
      <w:bookmarkEnd w:id="29"/>
    </w:p>
    <w:p>
      <w:pPr>
        <w:pStyle w:val="FirstParagraph"/>
      </w:pPr>
      <w:r>
        <w:t xml:space="preserve">Under følger en detaljert beskrivelse av hele datasettet slik det ble levert fra Respons Analyse.</w:t>
      </w:r>
      <w:r>
        <w:t xml:space="preserve"> </w:t>
      </w:r>
      <w:r>
        <w:t xml:space="preserve">Der kan man studere univariate fordelinger på variablene i undersøkelsen;</w:t>
      </w:r>
      <w:r>
        <w:t xml:space="preserve"> </w:t>
      </w:r>
      <w:r>
        <w:t xml:space="preserve">det vil si for eksempel hvor mange som mener at skole og utdanning var svært viktig for deres stemme i kommunevalget 2019,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Demovate-survey2020</dc:title>
  <dc:creator>Sveinung Arnesen</dc:creator>
  <cp:keywords/>
  <dcterms:created xsi:type="dcterms:W3CDTF">2020-06-19T19:55:18Z</dcterms:created>
  <dcterms:modified xsi:type="dcterms:W3CDTF">2020-06-19T19:55:18Z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6/17/2020</vt:lpwstr>
  </property>
  <property fmtid="{D5CDD505-2E9C-101B-9397-08002B2CF9AE}" pid="3" name="output">
    <vt:lpwstr/>
  </property>
</Properties>
</file>