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Acceptatie Testplan</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ndxfs38s043z"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dxfs38s043z">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7m40nux7836">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067308ghwnv">
              <w:r w:rsidDel="00000000" w:rsidR="00000000" w:rsidRPr="00000000">
                <w:rPr>
                  <w:color w:val="1155cc"/>
                  <w:u w:val="single"/>
                  <w:rtl w:val="0"/>
                </w:rPr>
                <w:t xml:space="preserve">3 RESULTATEN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dtkw7i2ney2">
              <w:r w:rsidDel="00000000" w:rsidR="00000000" w:rsidRPr="00000000">
                <w:rPr>
                  <w:color w:val="1155cc"/>
                  <w:u w:val="single"/>
                  <w:rtl w:val="0"/>
                </w:rPr>
                <w:t xml:space="preserve">3.1 Testaanpak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ki01lsixkk5">
              <w:r w:rsidDel="00000000" w:rsidR="00000000" w:rsidRPr="00000000">
                <w:rPr>
                  <w:color w:val="1155cc"/>
                  <w:u w:val="single"/>
                  <w:rtl w:val="0"/>
                </w:rPr>
                <w:t xml:space="preserve">3.2 Testen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sel0eiu6emh">
              <w:r w:rsidDel="00000000" w:rsidR="00000000" w:rsidRPr="00000000">
                <w:rPr>
                  <w:color w:val="1155cc"/>
                  <w:u w:val="single"/>
                  <w:rtl w:val="0"/>
                </w:rPr>
                <w:t xml:space="preserve">4 CONCLUSIE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n7m40nux7836"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bestand is gemaakt aan de hand van de MoSCoW requirements die beschreven staan in het analyse document. Het beschrijft de testen die uitgevoerd moeten worden om te controleren of alles naar behoren is geïmplementeerd.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Tijdens deze tests wordt uitgegaan van een verse installatie met de standaard database ingeladen tenzij anders aangegeven.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tests zijn uitgevoerd op een Toshiba Sattelite P50-B-10N, Windows 10 Education (en-US, Google Chrome Dev (en-US), 1920x1080. De server waar de applicatie op draait is dezelfde machine.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1067308ghwnv" w:id="4"/>
      <w:bookmarkEnd w:id="4"/>
      <w:r w:rsidDel="00000000" w:rsidR="00000000" w:rsidRPr="00000000">
        <w:rPr>
          <w:rFonts w:ascii="Arial" w:cs="Arial" w:eastAsia="Arial" w:hAnsi="Arial"/>
          <w:b w:val="1"/>
          <w:i w:val="0"/>
          <w:color w:val="000000"/>
          <w:sz w:val="24"/>
          <w:szCs w:val="24"/>
          <w:u w:val="none"/>
          <w:rtl w:val="0"/>
        </w:rPr>
        <w:t xml:space="preserve">3 RESULTATEN</w:t>
      </w:r>
    </w:p>
    <w:p w:rsidR="00000000" w:rsidDel="00000000" w:rsidP="00000000" w:rsidRDefault="00000000" w:rsidRPr="00000000">
      <w:pPr>
        <w:contextualSpacing w:val="0"/>
      </w:pPr>
      <w:r w:rsidDel="00000000" w:rsidR="00000000" w:rsidRPr="00000000">
        <w:rPr>
          <w:rtl w:val="0"/>
        </w:rPr>
        <w:t xml:space="preserve">Op de website kunnen bezoekers door de beschikbare films zoeken en kaartjes bestellen voor voorstellingen.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1dtkw7i2ney2" w:id="5"/>
      <w:bookmarkEnd w:id="5"/>
      <w:r w:rsidDel="00000000" w:rsidR="00000000" w:rsidRPr="00000000">
        <w:rPr>
          <w:rFonts w:ascii="Arial" w:cs="Arial" w:eastAsia="Arial" w:hAnsi="Arial"/>
          <w:b w:val="1"/>
          <w:i w:val="0"/>
          <w:color w:val="000000"/>
          <w:sz w:val="24"/>
          <w:szCs w:val="24"/>
          <w:u w:val="none"/>
          <w:rtl w:val="0"/>
        </w:rPr>
        <w:t xml:space="preserve">3.1 Testaanpak</w:t>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695"/>
        <w:gridCol w:w="1260"/>
        <w:gridCol w:w="1995"/>
        <w:tblGridChange w:id="0">
          <w:tblGrid>
            <w:gridCol w:w="1065"/>
            <w:gridCol w:w="4695"/>
            <w:gridCol w:w="1260"/>
            <w:gridCol w:w="199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MoSCoW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huurcontract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voor een gekozen periode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type boot gekozen worden voor een huurcontract.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extra artikelen besteld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verschillende gebieden bevaren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moet kunnen worden ingelogd.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boot heeft een unieke 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zijn huurcontracten opvragen.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maximaal budget opgegeven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XML en JSON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later nieuwe boottypen en artikelen toegevoegd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meerdere boten onder 1 huurcontract vallen.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voor elke willekeurige dag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Standaard is er alleen een voorbereid CSV bestand beschikbaar.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xki01lsixkk5" w:id="6"/>
      <w:bookmarkEnd w:id="6"/>
      <w:r w:rsidDel="00000000" w:rsidR="00000000" w:rsidRPr="00000000">
        <w:rPr>
          <w:rFonts w:ascii="Arial" w:cs="Arial" w:eastAsia="Arial" w:hAnsi="Arial"/>
          <w:b w:val="1"/>
          <w:i w:val="0"/>
          <w:color w:val="000000"/>
          <w:sz w:val="24"/>
          <w:szCs w:val="24"/>
          <w:u w:val="none"/>
          <w:rtl w:val="0"/>
        </w:rPr>
        <w:t xml:space="preserve">3.2 Testen</w:t>
      </w:r>
    </w:p>
    <w:p w:rsidR="00000000" w:rsidDel="00000000" w:rsidP="00000000" w:rsidRDefault="00000000" w:rsidRPr="00000000">
      <w:pPr>
        <w:contextualSpacing w:val="0"/>
      </w:pPr>
      <w:r w:rsidDel="00000000" w:rsidR="00000000" w:rsidRPr="00000000">
        <w:rPr>
          <w:rtl w:val="0"/>
        </w:rPr>
      </w:r>
    </w:p>
    <w:tbl>
      <w:tblPr>
        <w:tblStyle w:val="Table3"/>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2205"/>
        <w:gridCol w:w="2010"/>
        <w:gridCol w:w="1410"/>
        <w:tblGridChange w:id="0">
          <w:tblGrid>
            <w:gridCol w:w="1065"/>
            <w:gridCol w:w="2685"/>
            <w:gridCol w:w="2205"/>
            <w:gridCol w:w="2010"/>
            <w:gridCol w:w="141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Stappen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Verwacht resultaat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Geobserveerd resultaat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Geslaagd?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TP_01_0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22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TP_02_0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21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Foutmelding, eindatum is later dan begindatum.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TP_02_1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23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TP_03_0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boten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TP_04_0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artikelen.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artikelen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TP_05_0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gebieden.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gebieden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5">
              <w:r w:rsidDel="00000000" w:rsidR="00000000" w:rsidRPr="00000000">
                <w:rPr>
                  <w:color w:val="1155cc"/>
                  <w:u w:val="single"/>
                  <w:rtl w:val="0"/>
                </w:rPr>
                <w:t xml:space="preserve">test@example.org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6">
              <w:r w:rsidDel="00000000" w:rsidR="00000000" w:rsidRPr="00000000">
                <w:rPr>
                  <w:color w:val="1155cc"/>
                  <w:u w:val="single"/>
                  <w:rtl w:val="0"/>
                </w:rPr>
                <w:t xml:space="preserve">test@example.org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niet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7">
              <w:r w:rsidDel="00000000" w:rsidR="00000000" w:rsidRPr="00000000">
                <w:rPr>
                  <w:color w:val="1155cc"/>
                  <w:u w:val="single"/>
                  <w:rtl w:val="0"/>
                </w:rPr>
                <w:t xml:space="preserve">test1@example.org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niet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TP_07_0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Voeg 2 boten met dezelfde naam toe.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 constraint violated.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TP_07_1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Voeg 2 boten met verschillende naam toe.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TP_09_0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huurcontracten.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lijst met alle huurcontracten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TP_10_0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Vul bij budget 50 euro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maximaal aantal te bevaren meren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TP_11_0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een huurcontract. Klik op exporteren naar XML.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als XML wordt gedownload.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TP_11_1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een huurcontract. Klik op exporteren naar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als JSON wordt gedownload.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TP_12_0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 naar het beheer paneel. Klik op boot toevoegen. Vul alle velden in. Klik op toevoegen.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boot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TP_12_1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 naar het beheer paneel. Klik op artikel toevoegen. Vul alle velden in. Klik op toevoegen.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artikel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TP_13_0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plusje bij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extra invoer voor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TP_14_0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20 juni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op 20 juni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TP_15_0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30 juni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op 30 juni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TP_15_1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30 juni 2017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is onbekend.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gsel0eiu6emh" w:id="7"/>
      <w:bookmarkEnd w:id="7"/>
      <w:r w:rsidDel="00000000" w:rsidR="00000000" w:rsidRPr="00000000">
        <w:rPr>
          <w:rFonts w:ascii="Arial" w:cs="Arial" w:eastAsia="Arial" w:hAnsi="Arial"/>
          <w:b w:val="1"/>
          <w:i w:val="0"/>
          <w:color w:val="000000"/>
          <w:sz w:val="24"/>
          <w:szCs w:val="24"/>
          <w:u w:val="none"/>
          <w:rtl w:val="0"/>
        </w:rPr>
        <w:t xml:space="preserve">4 CONCLUSIE</w:t>
      </w:r>
    </w:p>
    <w:p w:rsidR="00000000" w:rsidDel="00000000" w:rsidP="00000000" w:rsidRDefault="00000000" w:rsidRPr="00000000">
      <w:pPr>
        <w:contextualSpacing w:val="0"/>
      </w:pPr>
      <w:r w:rsidDel="00000000" w:rsidR="00000000" w:rsidRPr="00000000">
        <w:rPr>
          <w:i w:val="1"/>
          <w:highlight w:val="yellow"/>
          <w:rtl w:val="0"/>
        </w:rPr>
        <w:t xml:space="preserve">Alle testen voor de must haves zijn geslaagd. Dit betekent dat alle kritieke functies werken.</w:t>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est@example.org" TargetMode="External"/><Relationship Id="rId6" Type="http://schemas.openxmlformats.org/officeDocument/2006/relationships/hyperlink" Target="mailto:test@example.org" TargetMode="External"/><Relationship Id="rId7" Type="http://schemas.openxmlformats.org/officeDocument/2006/relationships/hyperlink" Target="mailto:test@example.org" TargetMode="External"/></Relationships>
</file>