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2BF4" w14:textId="64A72A2E" w:rsidR="00DB5D9F" w:rsidRPr="006459E7" w:rsidRDefault="00A62E4B" w:rsidP="00801E5B">
      <w:pPr>
        <w:pStyle w:val="Title"/>
        <w:rPr>
          <w:sz w:val="36"/>
          <w:szCs w:val="36"/>
        </w:rPr>
      </w:pPr>
      <w:r w:rsidRPr="006459E7">
        <w:rPr>
          <w:sz w:val="36"/>
          <w:szCs w:val="36"/>
        </w:rPr>
        <w:t>Module management Console retrieving URLs from nodes</w:t>
      </w:r>
    </w:p>
    <w:p w14:paraId="19B70E94" w14:textId="15524203" w:rsidR="00801E5B" w:rsidRPr="00801E5B" w:rsidRDefault="00801E5B" w:rsidP="00801E5B">
      <w:pPr>
        <w:pStyle w:val="DocInfoHeading"/>
      </w:pP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4ACED0CA" w14:textId="77777777" w:rsidTr="00D472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EB6FC90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D03EE03" w14:textId="251D7240" w:rsidR="00801E5B" w:rsidRPr="00925592" w:rsidRDefault="0042273D" w:rsidP="0042273D">
            <w:r>
              <w:t>Module management Console retriev</w:t>
            </w:r>
            <w:r w:rsidR="00435CC4">
              <w:t>ing URLs from nodes</w:t>
            </w:r>
          </w:p>
        </w:tc>
      </w:tr>
      <w:tr w:rsidR="00801E5B" w:rsidRPr="00450D96" w14:paraId="08D0EFEA" w14:textId="77777777" w:rsidTr="00D472D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2CBE34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E89D583" w14:textId="102F1E15" w:rsidR="00801E5B" w:rsidRPr="00925592" w:rsidRDefault="0042273D" w:rsidP="00925592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David Ellis</w:t>
            </w:r>
          </w:p>
        </w:tc>
      </w:tr>
      <w:tr w:rsidR="00801E5B" w:rsidRPr="00450D96" w14:paraId="4CE9585C" w14:textId="77777777" w:rsidTr="00D472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90981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02740B0" w14:textId="2DAE1822" w:rsidR="00801E5B" w:rsidRPr="00925592" w:rsidRDefault="0042273D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V1</w:t>
            </w:r>
          </w:p>
        </w:tc>
      </w:tr>
      <w:tr w:rsidR="00801E5B" w:rsidRPr="00450D96" w14:paraId="31F15A0E" w14:textId="77777777" w:rsidTr="00D472D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EEF92A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D999E3" w14:textId="6C7780CF" w:rsidR="00801E5B" w:rsidRPr="00925592" w:rsidRDefault="0042273D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draft</w:t>
            </w:r>
          </w:p>
        </w:tc>
      </w:tr>
      <w:tr w:rsidR="00801E5B" w:rsidRPr="00450D96" w14:paraId="4BCDD7CA" w14:textId="77777777" w:rsidTr="00D472D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3189498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10945F7" w14:textId="5C418D48" w:rsidR="00801E5B" w:rsidRPr="00925592" w:rsidRDefault="0042273D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10/08/2025</w:t>
            </w:r>
          </w:p>
        </w:tc>
      </w:tr>
    </w:tbl>
    <w:p w14:paraId="32DC5007" w14:textId="77777777" w:rsidR="000C065B" w:rsidRDefault="009F21A1" w:rsidP="000C065B">
      <w:pPr>
        <w:pStyle w:val="NumericLevel1Heading"/>
      </w:pPr>
      <w:r>
        <w:t>Brief Description</w:t>
      </w:r>
    </w:p>
    <w:p w14:paraId="48F6E8BF" w14:textId="621086FA" w:rsidR="009F21A1" w:rsidRDefault="00435CC4" w:rsidP="0042273D">
      <w:pPr>
        <w:rPr>
          <w:rFonts w:eastAsia="Calibri"/>
        </w:rPr>
      </w:pPr>
      <w:r>
        <w:rPr>
          <w:rFonts w:eastAsia="Calibri"/>
        </w:rPr>
        <w:t xml:space="preserve">When a user wants to configure a node, </w:t>
      </w:r>
      <w:r w:rsidR="00832F01">
        <w:rPr>
          <w:rFonts w:eastAsia="Calibri"/>
        </w:rPr>
        <w:t xml:space="preserve">for any node that supports this service, </w:t>
      </w:r>
      <w:r>
        <w:rPr>
          <w:rFonts w:eastAsia="Calibri"/>
        </w:rPr>
        <w:t>w</w:t>
      </w:r>
      <w:r w:rsidR="0042273D">
        <w:rPr>
          <w:rFonts w:eastAsia="Calibri"/>
        </w:rPr>
        <w:t>e want to be able to connect to a simple webserver on the node</w:t>
      </w:r>
      <w:r w:rsidR="00A62E4B">
        <w:rPr>
          <w:rFonts w:eastAsia="Calibri"/>
        </w:rPr>
        <w:t xml:space="preserve"> on</w:t>
      </w:r>
      <w:r w:rsidR="0042273D">
        <w:rPr>
          <w:rFonts w:eastAsia="Calibri"/>
        </w:rPr>
        <w:t xml:space="preserve"> </w:t>
      </w:r>
      <w:r w:rsidR="00A62E4B">
        <w:rPr>
          <w:rFonts w:eastAsia="Calibri"/>
        </w:rPr>
        <w:t>a high bandwidth</w:t>
      </w:r>
      <w:r w:rsidR="0042273D">
        <w:rPr>
          <w:rFonts w:eastAsia="Calibri"/>
        </w:rPr>
        <w:t xml:space="preserve"> network connection</w:t>
      </w:r>
      <w:r w:rsidR="00A62E4B">
        <w:rPr>
          <w:rFonts w:eastAsia="Calibri"/>
        </w:rPr>
        <w:t xml:space="preserve"> (e.g. wifi). F</w:t>
      </w:r>
      <w:r w:rsidR="0042273D">
        <w:rPr>
          <w:rFonts w:eastAsia="Calibri"/>
        </w:rPr>
        <w:t>or which we need to know the url (or IP Address) of the node</w:t>
      </w:r>
      <w:r>
        <w:rPr>
          <w:rFonts w:eastAsia="Calibri"/>
        </w:rPr>
        <w:t>. MMC will then display the page served by the node</w:t>
      </w:r>
      <w:r w:rsidR="00A62E4B">
        <w:rPr>
          <w:rFonts w:eastAsia="Calibri"/>
        </w:rPr>
        <w:t>.</w:t>
      </w:r>
    </w:p>
    <w:p w14:paraId="6A8E60F5" w14:textId="5DC35C38" w:rsidR="0042273D" w:rsidRDefault="0042273D" w:rsidP="0042273D">
      <w:r>
        <w:rPr>
          <w:rFonts w:eastAsia="Calibri"/>
        </w:rPr>
        <w:t xml:space="preserve">To do this, we need to know the URL for each node, and want to retrieve this URL over the VLCB </w:t>
      </w:r>
      <w:r w:rsidR="006459E7">
        <w:rPr>
          <w:rFonts w:eastAsia="Calibri"/>
        </w:rPr>
        <w:t xml:space="preserve">(CAN) </w:t>
      </w:r>
      <w:r>
        <w:rPr>
          <w:rFonts w:eastAsia="Calibri"/>
        </w:rPr>
        <w:t xml:space="preserve">connection </w:t>
      </w:r>
      <w:r w:rsidR="00A62E4B">
        <w:rPr>
          <w:rFonts w:eastAsia="Calibri"/>
        </w:rPr>
        <w:t>MMC will</w:t>
      </w:r>
      <w:r>
        <w:rPr>
          <w:rFonts w:eastAsia="Calibri"/>
        </w:rPr>
        <w:t xml:space="preserve"> </w:t>
      </w:r>
      <w:r w:rsidR="00A62E4B">
        <w:rPr>
          <w:rFonts w:eastAsia="Calibri"/>
        </w:rPr>
        <w:t xml:space="preserve">already </w:t>
      </w:r>
      <w:r>
        <w:rPr>
          <w:rFonts w:eastAsia="Calibri"/>
        </w:rPr>
        <w:t>have with the node</w:t>
      </w:r>
      <w:r w:rsidR="00A62E4B">
        <w:rPr>
          <w:rFonts w:eastAsia="Calibri"/>
        </w:rPr>
        <w:t>.</w:t>
      </w:r>
      <w:r w:rsidR="006459E7">
        <w:rPr>
          <w:rFonts w:eastAsia="Calibri"/>
        </w:rPr>
        <w:t xml:space="preserve"> The URL will require more than one CAN message</w:t>
      </w:r>
    </w:p>
    <w:p w14:paraId="434BB6D0" w14:textId="5B34DD5F" w:rsidR="009F21A1" w:rsidRDefault="0042273D" w:rsidP="009F21A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use case focuses on the retrieval of the URL</w:t>
      </w:r>
      <w:r w:rsidR="00A62E4B">
        <w:rPr>
          <w:rFonts w:ascii="Calibri" w:eastAsia="Calibri" w:hAnsi="Calibri" w:cs="Times New Roman"/>
        </w:rPr>
        <w:t>.</w:t>
      </w:r>
    </w:p>
    <w:p w14:paraId="191CEF31" w14:textId="161D7F20" w:rsidR="00435CC4" w:rsidRDefault="00435CC4" w:rsidP="00435CC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fetch &amp; rendering of the page from the node is outside the scope of this use case</w:t>
      </w:r>
      <w:r w:rsidR="00A62E4B">
        <w:rPr>
          <w:rFonts w:ascii="Calibri" w:eastAsia="Calibri" w:hAnsi="Calibri" w:cs="Times New Roman"/>
        </w:rPr>
        <w:t>.</w:t>
      </w:r>
    </w:p>
    <w:p w14:paraId="0923C311" w14:textId="3BFF0FFC" w:rsidR="00832F01" w:rsidRDefault="00832F01" w:rsidP="00435CC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It’s expected that this will be invoked on an individual node at a time – i.e. a one to one transaction</w:t>
      </w:r>
    </w:p>
    <w:p w14:paraId="6D0F3E2D" w14:textId="74B209CD" w:rsidR="00A62E4B" w:rsidRDefault="00A62E4B" w:rsidP="00435CC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mechanism should be available from the node by default without extra configuration</w:t>
      </w:r>
    </w:p>
    <w:p w14:paraId="4AB111B8" w14:textId="77777777" w:rsidR="009F21A1" w:rsidRDefault="009F21A1" w:rsidP="000C065B">
      <w:pPr>
        <w:pStyle w:val="NumericLevel1Heading"/>
      </w:pPr>
      <w:r>
        <w:t>Actors</w:t>
      </w:r>
    </w:p>
    <w:p w14:paraId="19BBF346" w14:textId="4B38DDAA" w:rsidR="00435CC4" w:rsidRDefault="00435CC4" w:rsidP="009F21A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MMC user </w:t>
      </w:r>
      <w:r>
        <w:rPr>
          <w:rFonts w:ascii="Calibri" w:eastAsia="Calibri" w:hAnsi="Calibri" w:cs="Times New Roman"/>
        </w:rPr>
        <w:t xml:space="preserve">initiates this </w:t>
      </w:r>
      <w:r>
        <w:rPr>
          <w:rFonts w:ascii="Calibri" w:eastAsia="Calibri" w:hAnsi="Calibri" w:cs="Times New Roman"/>
        </w:rPr>
        <w:t>process by selecting to configure a specific node in MMC</w:t>
      </w:r>
    </w:p>
    <w:p w14:paraId="05FBC58D" w14:textId="6C5149A6" w:rsidR="009F21A1" w:rsidRDefault="00435CC4" w:rsidP="009F21A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If the node supports it, MMC</w:t>
      </w:r>
      <w:r w:rsidR="0042273D">
        <w:rPr>
          <w:rFonts w:ascii="Calibri" w:eastAsia="Calibri" w:hAnsi="Calibri" w:cs="Times New Roman"/>
        </w:rPr>
        <w:t xml:space="preserve"> initiates th</w:t>
      </w:r>
      <w:r>
        <w:rPr>
          <w:rFonts w:ascii="Calibri" w:eastAsia="Calibri" w:hAnsi="Calibri" w:cs="Times New Roman"/>
        </w:rPr>
        <w:t>e</w:t>
      </w:r>
      <w:r w:rsidR="0042273D">
        <w:rPr>
          <w:rFonts w:ascii="Calibri" w:eastAsia="Calibri" w:hAnsi="Calibri" w:cs="Times New Roman"/>
        </w:rPr>
        <w:t xml:space="preserve"> request</w:t>
      </w:r>
      <w:r>
        <w:rPr>
          <w:rFonts w:ascii="Calibri" w:eastAsia="Calibri" w:hAnsi="Calibri" w:cs="Times New Roman"/>
        </w:rPr>
        <w:t xml:space="preserve"> for the URL</w:t>
      </w:r>
    </w:p>
    <w:p w14:paraId="59708363" w14:textId="767CB8C1" w:rsidR="0042273D" w:rsidRDefault="00435CC4" w:rsidP="009F21A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</w:t>
      </w:r>
      <w:r w:rsidR="0042273D">
        <w:rPr>
          <w:rFonts w:ascii="Calibri" w:eastAsia="Calibri" w:hAnsi="Calibri" w:cs="Times New Roman"/>
        </w:rPr>
        <w:t xml:space="preserve"> individual node responds with its URL</w:t>
      </w:r>
    </w:p>
    <w:p w14:paraId="26D674C3" w14:textId="77777777" w:rsidR="009F21A1" w:rsidRDefault="009F21A1" w:rsidP="000C065B">
      <w:pPr>
        <w:pStyle w:val="NumericLevel1Heading"/>
      </w:pPr>
      <w:r>
        <w:t>Pre-Conditions</w:t>
      </w:r>
    </w:p>
    <w:p w14:paraId="4A1FB8D0" w14:textId="5A1C29CE" w:rsidR="00A62E4B" w:rsidRDefault="00A62E4B" w:rsidP="009F21A1">
      <w:r>
        <w:t>The node must be able to support a high bandwidth network connection (e.g. wifi), and host it’s own web page for configuration</w:t>
      </w:r>
    </w:p>
    <w:p w14:paraId="4C979EFB" w14:textId="28AE848C" w:rsidR="00832F01" w:rsidRDefault="00832F01" w:rsidP="009F21A1">
      <w:r>
        <w:t>The node must support this service and without extra configuration should be able to respond to the request from MMC</w:t>
      </w:r>
    </w:p>
    <w:p w14:paraId="1215B171" w14:textId="5FF17162" w:rsidR="009F21A1" w:rsidRDefault="00435CC4" w:rsidP="009F21A1">
      <w:r>
        <w:lastRenderedPageBreak/>
        <w:t>The node must already be connected to the MMC using the VLCB protocol</w:t>
      </w:r>
    </w:p>
    <w:p w14:paraId="46AE45C6" w14:textId="4810F1CB" w:rsidR="009F21A1" w:rsidRDefault="009F21A1" w:rsidP="00435CC4">
      <w:pPr>
        <w:pStyle w:val="NumericLevel1Heading"/>
      </w:pPr>
      <w:r>
        <w:t>Basic Flow</w:t>
      </w:r>
    </w:p>
    <w:p w14:paraId="17F4D0BB" w14:textId="294BE734" w:rsidR="00832F01" w:rsidRDefault="00832F01" w:rsidP="00435CC4">
      <w:pPr>
        <w:pStyle w:val="ListParagraph"/>
        <w:numPr>
          <w:ilvl w:val="0"/>
          <w:numId w:val="3"/>
        </w:numPr>
      </w:pPr>
      <w:r>
        <w:t>The MMC needs to know if the node supports this service</w:t>
      </w:r>
    </w:p>
    <w:p w14:paraId="4A9EA9D2" w14:textId="431501DA" w:rsidR="00435CC4" w:rsidRDefault="00435CC4" w:rsidP="00435CC4">
      <w:pPr>
        <w:pStyle w:val="ListParagraph"/>
        <w:numPr>
          <w:ilvl w:val="0"/>
          <w:numId w:val="3"/>
        </w:numPr>
      </w:pPr>
      <w:r>
        <w:t>The MMC sends a request for the URL to an individual node</w:t>
      </w:r>
    </w:p>
    <w:p w14:paraId="3704289E" w14:textId="7AAAD0C5" w:rsidR="00435CC4" w:rsidRDefault="00435CC4" w:rsidP="00435CC4">
      <w:pPr>
        <w:pStyle w:val="ListParagraph"/>
        <w:numPr>
          <w:ilvl w:val="0"/>
          <w:numId w:val="3"/>
        </w:numPr>
      </w:pPr>
      <w:r>
        <w:t>The node responds with its URL</w:t>
      </w:r>
      <w:r w:rsidR="00F51D92">
        <w:t>, over multiple CAN messages</w:t>
      </w:r>
    </w:p>
    <w:p w14:paraId="3DB06A34" w14:textId="77777777" w:rsidR="009F21A1" w:rsidRDefault="009F21A1" w:rsidP="009F21A1">
      <w:pPr>
        <w:pStyle w:val="NumericLevel1Heading"/>
      </w:pPr>
      <w:r>
        <w:t>Supplemental Requirements</w:t>
      </w:r>
    </w:p>
    <w:p w14:paraId="460202E4" w14:textId="59BFE820" w:rsidR="00927FCF" w:rsidRDefault="006459E7" w:rsidP="00927FCF">
      <w:r>
        <w:t>It could be possible that there is more than one application retrieving URLs at the same time, so it may be thought this then becomes a “many to many” requirement</w:t>
      </w:r>
      <w:r w:rsidR="00F51D92">
        <w:t>, and interleaving of messages many be a challenge</w:t>
      </w:r>
    </w:p>
    <w:p w14:paraId="48B1D51D" w14:textId="77777777" w:rsidR="009F21A1" w:rsidRPr="000C065B" w:rsidRDefault="009F21A1" w:rsidP="009F21A1"/>
    <w:p w14:paraId="6949A129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jc w:val="center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38A890A" w14:textId="77777777" w:rsidTr="00D4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2060"/>
          </w:tcPr>
          <w:p w14:paraId="48B883C0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69A33F21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2060"/>
          </w:tcPr>
          <w:p w14:paraId="36B9C1C9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0F4C0BF9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2060"/>
          </w:tcPr>
          <w:p w14:paraId="7373FBA9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3551E961" w14:textId="77777777" w:rsidTr="00D47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14:paraId="34B82E35" w14:textId="65F2EFF1" w:rsidR="00801E5B" w:rsidRDefault="006459E7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/>
          </w:tcPr>
          <w:p w14:paraId="18D17E79" w14:textId="027F2562" w:rsidR="00801E5B" w:rsidRDefault="006459E7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10/8/2025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14:paraId="37EDABEB" w14:textId="4F55C739" w:rsidR="00801E5B" w:rsidRDefault="006459E7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David Ellis</w:t>
            </w:r>
          </w:p>
        </w:tc>
        <w:tc>
          <w:tcPr>
            <w:tcW w:w="432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/>
          </w:tcPr>
          <w:p w14:paraId="33E9268C" w14:textId="3A614909" w:rsidR="00801E5B" w:rsidRDefault="006459E7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Initial 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14:paraId="127889FA" w14:textId="2779C4E5" w:rsidR="00801E5B" w:rsidRDefault="006459E7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draft</w:t>
            </w:r>
          </w:p>
        </w:tc>
      </w:tr>
      <w:tr w:rsidR="00801E5B" w14:paraId="5A55DA77" w14:textId="77777777" w:rsidTr="00D472DD">
        <w:trPr>
          <w:trHeight w:val="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14:paraId="2272F280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2ECDDE2F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14:paraId="2AD18811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435DC998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14:paraId="000BA8C2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2AAAE5B8" w14:textId="77777777" w:rsidR="00801E5B" w:rsidRPr="00801E5B" w:rsidRDefault="00801E5B" w:rsidP="00801E5B"/>
    <w:sectPr w:rsidR="00801E5B" w:rsidRPr="00801E5B" w:rsidSect="00927F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B4516" w14:textId="77777777" w:rsidR="002B351F" w:rsidRDefault="002B351F" w:rsidP="00937525">
      <w:pPr>
        <w:spacing w:after="0" w:line="240" w:lineRule="auto"/>
      </w:pPr>
      <w:r>
        <w:separator/>
      </w:r>
    </w:p>
  </w:endnote>
  <w:endnote w:type="continuationSeparator" w:id="0">
    <w:p w14:paraId="1F6A39B9" w14:textId="77777777" w:rsidR="002B351F" w:rsidRDefault="002B351F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272A4" w14:textId="7D17FE28" w:rsidR="008C5F92" w:rsidRPr="005A1370" w:rsidRDefault="00000000" w:rsidP="00FE51EA">
    <w:pPr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D472D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D472D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AE33F" w14:textId="77777777" w:rsidR="002B351F" w:rsidRDefault="002B351F" w:rsidP="00937525">
      <w:pPr>
        <w:spacing w:after="0" w:line="240" w:lineRule="auto"/>
      </w:pPr>
      <w:r>
        <w:separator/>
      </w:r>
    </w:p>
  </w:footnote>
  <w:footnote w:type="continuationSeparator" w:id="0">
    <w:p w14:paraId="38190208" w14:textId="77777777" w:rsidR="002B351F" w:rsidRDefault="002B351F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2687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6E54"/>
    <w:multiLevelType w:val="hybridMultilevel"/>
    <w:tmpl w:val="53B6C7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62484">
    <w:abstractNumId w:val="1"/>
  </w:num>
  <w:num w:numId="2" w16cid:durableId="655063878">
    <w:abstractNumId w:val="0"/>
  </w:num>
  <w:num w:numId="3" w16cid:durableId="1402291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519BC"/>
    <w:rsid w:val="00073EA0"/>
    <w:rsid w:val="00074058"/>
    <w:rsid w:val="00080EE8"/>
    <w:rsid w:val="000903AA"/>
    <w:rsid w:val="00096BB1"/>
    <w:rsid w:val="000A17C0"/>
    <w:rsid w:val="000C065B"/>
    <w:rsid w:val="000F7840"/>
    <w:rsid w:val="00100AC4"/>
    <w:rsid w:val="00136ACD"/>
    <w:rsid w:val="00172D2E"/>
    <w:rsid w:val="00173F56"/>
    <w:rsid w:val="001758CE"/>
    <w:rsid w:val="00182701"/>
    <w:rsid w:val="001837DD"/>
    <w:rsid w:val="001B4D7B"/>
    <w:rsid w:val="001B6F89"/>
    <w:rsid w:val="001C5012"/>
    <w:rsid w:val="00240475"/>
    <w:rsid w:val="002741B7"/>
    <w:rsid w:val="00295F4E"/>
    <w:rsid w:val="00297A8D"/>
    <w:rsid w:val="002B351F"/>
    <w:rsid w:val="002B6273"/>
    <w:rsid w:val="002E7140"/>
    <w:rsid w:val="00306857"/>
    <w:rsid w:val="0031782B"/>
    <w:rsid w:val="003229B3"/>
    <w:rsid w:val="00362F06"/>
    <w:rsid w:val="00376132"/>
    <w:rsid w:val="00394556"/>
    <w:rsid w:val="003C6701"/>
    <w:rsid w:val="0042273D"/>
    <w:rsid w:val="0042345A"/>
    <w:rsid w:val="00435CC4"/>
    <w:rsid w:val="00450D96"/>
    <w:rsid w:val="00451C33"/>
    <w:rsid w:val="00451E24"/>
    <w:rsid w:val="00465833"/>
    <w:rsid w:val="004D7671"/>
    <w:rsid w:val="00524590"/>
    <w:rsid w:val="005246F6"/>
    <w:rsid w:val="00531CDB"/>
    <w:rsid w:val="005A1370"/>
    <w:rsid w:val="005B0BB3"/>
    <w:rsid w:val="005D453C"/>
    <w:rsid w:val="005E18C7"/>
    <w:rsid w:val="006459E7"/>
    <w:rsid w:val="00662367"/>
    <w:rsid w:val="00662B0A"/>
    <w:rsid w:val="00737704"/>
    <w:rsid w:val="0074782C"/>
    <w:rsid w:val="00774F6F"/>
    <w:rsid w:val="00775A34"/>
    <w:rsid w:val="007B0486"/>
    <w:rsid w:val="007B72C9"/>
    <w:rsid w:val="00801857"/>
    <w:rsid w:val="00801E5B"/>
    <w:rsid w:val="00832F01"/>
    <w:rsid w:val="008605B9"/>
    <w:rsid w:val="00895F47"/>
    <w:rsid w:val="008C16BC"/>
    <w:rsid w:val="008C5F92"/>
    <w:rsid w:val="00913B5E"/>
    <w:rsid w:val="009216DB"/>
    <w:rsid w:val="00925592"/>
    <w:rsid w:val="00927FCF"/>
    <w:rsid w:val="00937525"/>
    <w:rsid w:val="009453D8"/>
    <w:rsid w:val="00966501"/>
    <w:rsid w:val="0097620C"/>
    <w:rsid w:val="0098123E"/>
    <w:rsid w:val="009A4AB5"/>
    <w:rsid w:val="009C18C9"/>
    <w:rsid w:val="009D5524"/>
    <w:rsid w:val="009E4CEF"/>
    <w:rsid w:val="009F21A1"/>
    <w:rsid w:val="00A16DF8"/>
    <w:rsid w:val="00A47E05"/>
    <w:rsid w:val="00A61DEC"/>
    <w:rsid w:val="00A62E4B"/>
    <w:rsid w:val="00A7153D"/>
    <w:rsid w:val="00A82491"/>
    <w:rsid w:val="00AA71D3"/>
    <w:rsid w:val="00AC3601"/>
    <w:rsid w:val="00AE32C1"/>
    <w:rsid w:val="00AE43EE"/>
    <w:rsid w:val="00B12107"/>
    <w:rsid w:val="00B663C8"/>
    <w:rsid w:val="00B75FF1"/>
    <w:rsid w:val="00B82BDC"/>
    <w:rsid w:val="00BA1D43"/>
    <w:rsid w:val="00BA7EEB"/>
    <w:rsid w:val="00BD6352"/>
    <w:rsid w:val="00C1498D"/>
    <w:rsid w:val="00C20306"/>
    <w:rsid w:val="00C20DC2"/>
    <w:rsid w:val="00C30D67"/>
    <w:rsid w:val="00C46BD1"/>
    <w:rsid w:val="00C74A24"/>
    <w:rsid w:val="00C87922"/>
    <w:rsid w:val="00C97250"/>
    <w:rsid w:val="00CB432A"/>
    <w:rsid w:val="00CD24B9"/>
    <w:rsid w:val="00D0633A"/>
    <w:rsid w:val="00D17C0F"/>
    <w:rsid w:val="00D26E7F"/>
    <w:rsid w:val="00D325E5"/>
    <w:rsid w:val="00D36B2E"/>
    <w:rsid w:val="00D42224"/>
    <w:rsid w:val="00D472DD"/>
    <w:rsid w:val="00DA4792"/>
    <w:rsid w:val="00DB5A68"/>
    <w:rsid w:val="00DB5D9F"/>
    <w:rsid w:val="00DE1DDF"/>
    <w:rsid w:val="00DF018D"/>
    <w:rsid w:val="00DF13A7"/>
    <w:rsid w:val="00E35903"/>
    <w:rsid w:val="00E53C9C"/>
    <w:rsid w:val="00EA5C48"/>
    <w:rsid w:val="00EC7E31"/>
    <w:rsid w:val="00F0781D"/>
    <w:rsid w:val="00F51D92"/>
    <w:rsid w:val="00F85FA1"/>
    <w:rsid w:val="00FD33CC"/>
    <w:rsid w:val="00FE51EA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4D3FD"/>
  <w15:docId w15:val="{630EF4D3-1BA0-ED43-9BD6-6DDB4DA6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David Ellis</cp:lastModifiedBy>
  <cp:revision>3</cp:revision>
  <dcterms:created xsi:type="dcterms:W3CDTF">2025-08-10T21:54:00Z</dcterms:created>
  <dcterms:modified xsi:type="dcterms:W3CDTF">2025-08-10T21:56:00Z</dcterms:modified>
</cp:coreProperties>
</file>