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TSong" w:hAnsi="STSong" w:eastAsia="STSong"/>
          <w:b/>
          <w:color w:val="0B2545"/>
          <w:sz w:val="40"/>
        </w:rPr>
        <w:t>示例环保科技有限公司 环保资料汇编</w:t>
      </w:r>
    </w:p>
    <w:p>
      <w:pPr>
        <w:jc w:val="center"/>
      </w:pPr>
      <w:r>
        <w:rPr>
          <w:rFonts w:ascii="STSong" w:hAnsi="STSong" w:eastAsia="STSong"/>
          <w:b w:val="0"/>
          <w:color w:val="666666"/>
          <w:sz w:val="18"/>
        </w:rPr>
        <w:t>EnvAI 演示项目资料 · 仅用于本地全流程验证</w:t>
      </w:r>
    </w:p>
    <w:p/>
    <w:p>
      <w:pPr>
        <w:pStyle w:val="Heading1"/>
      </w:pPr>
      <w:r>
        <w:t>一、项目基本信息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项目名称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示例树脂生产及配套环保设施提升项目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建设单位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示例环保科技有限公司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统一社会信用代码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DEMO-CREDIT-2026-0001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项目地址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示例省示例市环保产业园示例路 18 号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行业类别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C2651 初级形态塑料及合成树脂制造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联系人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示例联系人，400-000-0000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占地与建筑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占地 18,600 m²，建筑面积 12,400 m²</w:t>
            </w:r>
          </w:p>
        </w:tc>
      </w:tr>
    </w:tbl>
    <w:p/>
    <w:p>
      <w:pPr>
        <w:pStyle w:val="Heading1"/>
      </w:pPr>
      <w:r>
        <w:t>二、生产与污染治理概况</w:t>
      </w:r>
    </w:p>
    <w:p>
      <w:r>
        <w:t>项目主要生产水性丙烯酸树脂和水性聚氨酯树脂，采用配料、反应、冷却、过滤和灌装工艺。生产车间设置密闭投料和局部收集系统，废气经活性炭吸附浓缩与催化燃烧装置处理后通过 15 m 排气筒排放。</w:t>
      </w:r>
    </w:p>
    <w:p>
      <w:r>
        <w:t>生产废水经厂内污水处理站预处理后接管园区污水处理厂；一般固废分类收集，危险废物暂存于危废库并委托有资质单位处置。</w:t>
      </w:r>
    </w:p>
    <w:p>
      <w:pPr>
        <w:pStyle w:val="Heading1"/>
      </w:pPr>
      <w:r>
        <w:t>三、已确认的环保管理要求</w:t>
      </w:r>
    </w:p>
    <w:p>
      <w:pPr>
        <w:pStyle w:val="ListBullet"/>
      </w:pPr>
      <w:r>
        <w:rPr>
          <w:rFonts w:ascii="STSong" w:hAnsi="STSong" w:eastAsia="STSong"/>
          <w:b w:val="0"/>
          <w:color w:val="222222"/>
          <w:sz w:val="21"/>
        </w:rPr>
        <w:t>严格执行雨污分流，生产废水不得进入雨水系统。</w:t>
      </w:r>
    </w:p>
    <w:p>
      <w:pPr>
        <w:pStyle w:val="ListBullet"/>
      </w:pPr>
      <w:r>
        <w:rPr>
          <w:rFonts w:ascii="STSong" w:hAnsi="STSong" w:eastAsia="STSong"/>
          <w:b w:val="0"/>
          <w:color w:val="222222"/>
          <w:sz w:val="21"/>
        </w:rPr>
        <w:t>废气收集系统保持负压运行，活性炭和催化燃烧设施建立运行及更换台账。</w:t>
      </w:r>
    </w:p>
    <w:p>
      <w:pPr>
        <w:pStyle w:val="ListBullet"/>
      </w:pPr>
      <w:r>
        <w:rPr>
          <w:rFonts w:ascii="STSong" w:hAnsi="STSong" w:eastAsia="STSong"/>
          <w:b w:val="0"/>
          <w:color w:val="222222"/>
          <w:sz w:val="21"/>
        </w:rPr>
        <w:t>危废分类、分区、包装和标识管理，转移过程执行联单制度。</w:t>
      </w:r>
    </w:p>
    <w:p>
      <w:pPr>
        <w:pStyle w:val="ListBullet"/>
      </w:pPr>
      <w:r>
        <w:rPr>
          <w:rFonts w:ascii="STSong" w:hAnsi="STSong" w:eastAsia="STSong"/>
          <w:b w:val="0"/>
          <w:color w:val="222222"/>
          <w:sz w:val="21"/>
        </w:rPr>
        <w:t>每年组织至少一次突发环境事件综合演练并留存记录。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TSong" w:hAnsi="STSong" w:eastAsia="ST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Song" w:hAnsi="STSong" w:eastAsia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Song" w:hAnsi="STSong" w:eastAsia="STSong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