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TSong" w:hAnsi="STSong" w:eastAsia="STSong"/>
          <w:b/>
          <w:color w:val="0B2545"/>
          <w:sz w:val="40"/>
        </w:rPr>
        <w:t>示例环保科技有限公司 环境风险与应急资源清单</w:t>
      </w:r>
    </w:p>
    <w:p>
      <w:pPr>
        <w:jc w:val="center"/>
      </w:pPr>
      <w:r>
        <w:rPr>
          <w:rFonts w:ascii="STSong" w:hAnsi="STSong" w:eastAsia="STSong"/>
          <w:b w:val="0"/>
          <w:color w:val="666666"/>
          <w:sz w:val="18"/>
        </w:rPr>
        <w:t>EnvAI 演示项目资料 · 仅用于本地全流程验证</w:t>
      </w:r>
    </w:p>
    <w:p/>
    <w:p>
      <w:pPr>
        <w:pStyle w:val="Heading1"/>
      </w:pPr>
      <w:r>
        <w:t>一、主要环境风险物质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5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物质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最大储存量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储存位置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主要风险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防控措施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丙烯酸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2.0 t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甲类仓库 A 区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腐蚀、聚合放热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冷却、禁火、围堰、泄漏收集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异氰酸酯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1.5 t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甲类仓库 B 区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吸入危害、遇水反应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密闭储存、通风、禁水管理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乙酸乙酯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3.0 t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甲类仓库 C 区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易燃、挥发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防爆电气、静电接地、泡沫灭火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天然气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管道输送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锅炉房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易燃、泄漏爆炸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可燃气体报警、紧急切断</w:t>
            </w:r>
          </w:p>
        </w:tc>
      </w:tr>
    </w:tbl>
    <w:p/>
    <w:p>
      <w:pPr>
        <w:pStyle w:val="Heading1"/>
      </w:pPr>
      <w:r>
        <w:t>二、主要环保设施与应急资源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设施/资源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数量或能力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位置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/>
                <w:color w:val="0B2545"/>
                <w:sz w:val="21"/>
              </w:rPr>
              <w:t>责任部门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废气活性炭吸附装置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2 套，20,000 m³/h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生产车间屋顶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设备部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催化燃烧装置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1 套，12,000 m³/h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废气治理区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环保部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厂内污水处理站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300 m³/d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厂区东侧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环保部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消防水池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600 m³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厂区西南角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安环部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应急物资柜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吸附棉、堵漏工具、防护服、呼吸器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门卫及仓库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STSong" w:hAnsi="STSong" w:eastAsia="STSong"/>
                <w:b w:val="0"/>
                <w:color w:val="222222"/>
                <w:sz w:val="21"/>
              </w:rPr>
              <w:t>应急办公室</w:t>
            </w:r>
          </w:p>
        </w:tc>
      </w:tr>
    </w:tbl>
    <w:p/>
    <w:p>
      <w:pPr>
        <w:pStyle w:val="Heading1"/>
      </w:pPr>
      <w:r>
        <w:t>三、应急响应要点</w:t>
      </w:r>
    </w:p>
    <w:p>
      <w:pPr>
        <w:pStyle w:val="Heading2"/>
      </w:pPr>
      <w:r>
        <w:t>泄漏事件</w:t>
      </w:r>
    </w:p>
    <w:p>
      <w:r>
        <w:t>立即停止相关作业，切断物料来源，设置警戒区；由佩戴相应防护装备的人员使用吸附棉和堵漏工具处置，污染物统一作为危险废物收集。</w:t>
      </w:r>
    </w:p>
    <w:p>
      <w:pPr>
        <w:pStyle w:val="Heading2"/>
      </w:pPr>
      <w:r>
        <w:t>废气治理设施故障</w:t>
      </w:r>
    </w:p>
    <w:p>
      <w:r>
        <w:t>停止相关生产单元，保持故障设施安全状态，通知环保部和设备部，确认修复并完成试运行后方可恢复生产。</w:t>
      </w:r>
    </w:p>
    <w:p>
      <w:pPr>
        <w:pStyle w:val="Heading2"/>
      </w:pPr>
      <w:r>
        <w:t>火灾爆炸事件</w:t>
      </w:r>
    </w:p>
    <w:p>
      <w:r>
        <w:t>立即报警并启动消防和人员疏散程序，优先切断气源和电源；根据风向和影响范围向园区管委会报告。</w:t>
      </w:r>
    </w:p>
    <w:p>
      <w:pPr>
        <w:pStyle w:val="Heading1"/>
      </w:pPr>
      <w:r>
        <w:t>四、资料确认</w:t>
      </w:r>
    </w:p>
    <w:p>
      <w:r>
        <w:t>以上数据由企业项目组于 2026 年 8 月确认，作为 EnvAI 演示项目的项目事实输入。未在本清单中列出的数量和排放参数不得由模型自行补充。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TSong" w:hAnsi="STSong" w:eastAsia="STSong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Song" w:hAnsi="STSong" w:eastAsia="STSong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Song" w:hAnsi="STSong" w:eastAsia="STSong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Song" w:hAnsi="STSong" w:eastAsia="STSong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