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ms-word.stylesWithEffects+xml" PartName="/word/stylesWithEffect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 ?>
<Relationships xmlns="http://schemas.openxmlformats.org/package/2006/relationships">
  <Relationship Id="rId1" Target="word/document.xml" Type="http://schemas.openxmlformats.org/officeDocument/2006/relationships/officeDocument"/>
  <Relationship Id="rId2" Target="docProps/app.xml" Type="http://schemas.openxmlformats.org/officeDocument/2006/relationships/extended-properties"/>
  <Relationship Id="rId3" Target="docProps/core.xml" Type="http://schemas.openxmlformats.org/package/2006/relationships/metadata/core-properties"/>
</Relationships>

</file>

<file path=word/document.xml><?xml version="1.0" encoding="utf-8"?>
<w:document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 mc:Ignorable="co co-ooxml w14 x14 w15">
  <w:body>
    <w:p w14:paraId="01000000">
      <w:pPr>
        <w:spacing w:after="322" w:before="322"/>
        <w:ind w:firstLine="0" w:left="0" w:right="0"/>
        <w:rPr>
          <w:b w:val="1"/>
          <w:sz w:val="48"/>
        </w:rPr>
      </w:pPr>
      <w:r>
        <w:rPr>
          <w:b w:val="1"/>
          <w:sz w:val="48"/>
        </w:rPr>
        <w:t>Part II — Philosophical and Physical Integration</w:t>
      </w:r>
    </w:p>
    <w:p w14:paraId="02000000">
      <w:pPr>
        <w:spacing w:after="270" w:before="270"/>
        <w:ind w:firstLine="0" w:left="0" w:right="0"/>
        <w:rPr>
          <w:b w:val="1"/>
          <w:sz w:val="36"/>
        </w:rPr>
      </w:pPr>
      <w:r>
        <w:rPr>
          <w:b w:val="1"/>
          <w:sz w:val="36"/>
        </w:rPr>
        <w:t>2.1 Motivation</w:t>
      </w:r>
    </w:p>
    <w:p w14:paraId="03000000">
      <w:pPr>
        <w:spacing w:after="269" w:before="269"/>
        <w:ind w:firstLine="0" w:left="0" w:right="0"/>
      </w:pPr>
      <w:r>
        <w:t xml:space="preserve">Modern AI is more than computation on symbols or tensors; it is a process that </w:t>
      </w:r>
      <w:r>
        <w:rPr>
          <w:b w:val="1"/>
        </w:rPr>
        <w:t>organizes information under physical and social constraints</w:t>
      </w:r>
      <w:r>
        <w:t>. This section proposes a compact lens to connect learning systems with the realities of energy, time, safety, and meaning.</w:t>
      </w:r>
    </w:p>
    <w:p w14:paraId="04000000">
      <w:pPr>
        <w:spacing w:after="270" w:before="270"/>
        <w:ind w:firstLine="0" w:left="0" w:right="0"/>
        <w:rPr>
          <w:b w:val="1"/>
          <w:sz w:val="36"/>
        </w:rPr>
      </w:pPr>
      <w:r>
        <w:rPr>
          <w:b w:val="1"/>
          <w:sz w:val="36"/>
        </w:rPr>
        <w:t>2.2 Three budgets of intelligence: Information • Energy • Intent</w:t>
      </w:r>
    </w:p>
    <w:p w14:paraId="05000000">
      <w:pPr>
        <w:spacing w:after="269" w:before="269"/>
        <w:ind w:firstLine="0" w:left="0" w:right="0"/>
      </w:pPr>
      <w:r>
        <w:t>We consider intelligence as balancing three interacting budgets:</w:t>
      </w:r>
    </w:p>
    <w:p w14:paraId="06000000">
      <w:pPr>
        <w:numPr>
          <w:ilvl w:val="0"/>
          <w:numId w:val="1"/>
        </w:numPr>
        <w:spacing w:after="269" w:before="269"/>
        <w:ind w:firstLine="0" w:left="600" w:right="0"/>
      </w:pPr>
    </w:p>
    <w:p w14:paraId="07000000">
      <w:pPr>
        <w:numPr>
          <w:ilvl w:val="0"/>
          <w:numId w:val="1"/>
        </w:numPr>
        <w:spacing w:after="269" w:before="269"/>
        <w:ind w:firstLine="0" w:left="0" w:right="0"/>
      </w:pPr>
      <w:r>
        <w:rPr>
          <w:b w:val="1"/>
        </w:rPr>
        <w:t>Information</w:t>
      </w:r>
      <w:r>
        <w:t xml:space="preserve"> — data quality, model capacity, uncertainty, calibration.</w:t>
      </w:r>
    </w:p>
    <w:p w14:paraId="08000000">
      <w:pPr>
        <w:numPr>
          <w:ilvl w:val="0"/>
          <w:numId w:val="1"/>
        </w:numPr>
        <w:spacing w:after="269" w:before="269"/>
        <w:ind w:firstLine="0" w:left="600" w:right="0"/>
      </w:pPr>
    </w:p>
    <w:p w14:paraId="09000000">
      <w:pPr>
        <w:numPr>
          <w:ilvl w:val="0"/>
          <w:numId w:val="1"/>
        </w:numPr>
        <w:spacing w:after="269" w:before="269"/>
        <w:ind w:firstLine="0" w:left="0" w:right="0"/>
      </w:pPr>
      <w:r>
        <w:rPr>
          <w:b w:val="1"/>
        </w:rPr>
        <w:t>Energy</w:t>
      </w:r>
      <w:r>
        <w:t xml:space="preserve"> — computational power, memory traffic, latency, heat/CO₂e.</w:t>
      </w:r>
    </w:p>
    <w:p w14:paraId="0A000000">
      <w:pPr>
        <w:numPr>
          <w:ilvl w:val="0"/>
          <w:numId w:val="1"/>
        </w:numPr>
        <w:spacing w:after="269" w:before="269"/>
        <w:ind w:firstLine="0" w:left="600" w:right="0"/>
      </w:pPr>
    </w:p>
    <w:p w14:paraId="0B000000">
      <w:pPr>
        <w:numPr>
          <w:ilvl w:val="0"/>
          <w:numId w:val="1"/>
        </w:numPr>
        <w:spacing w:after="269" w:before="269"/>
        <w:ind w:firstLine="0" w:left="0" w:right="0"/>
      </w:pPr>
      <w:r>
        <w:rPr>
          <w:b w:val="1"/>
        </w:rPr>
        <w:t>Intent</w:t>
      </w:r>
      <w:r>
        <w:t xml:space="preserve"> — task objectives, constraints, values, policy and risk.</w:t>
      </w:r>
    </w:p>
    <w:p w14:paraId="0C000000">
      <w:pPr>
        <w:spacing w:after="269" w:before="269"/>
        <w:ind w:firstLine="0" w:left="0" w:right="0"/>
      </w:pPr>
      <w:r>
        <w:t xml:space="preserve">A system is </w:t>
      </w:r>
      <w:r>
        <w:rPr>
          <w:i w:val="1"/>
        </w:rPr>
        <w:t>well-formed</w:t>
      </w:r>
      <w:r>
        <w:t xml:space="preserve"> when it reaches a </w:t>
      </w:r>
      <w:r>
        <w:rPr>
          <w:b w:val="1"/>
        </w:rPr>
        <w:t>resonant region</w:t>
      </w:r>
      <w:r>
        <w:t xml:space="preserve"> where these budgets are not in conflict: representations become reusable, inference remains efficient, and behavior stays aligned with purpose.</w:t>
      </w:r>
    </w:p>
    <w:p w14:paraId="0D000000">
      <w:pPr>
        <w:spacing w:after="269" w:before="269"/>
        <w:ind w:firstLine="0" w:left="0" w:right="0"/>
      </w:pPr>
      <w:r>
        <w:rPr>
          <w:b w:val="1"/>
        </w:rPr>
        <w:t>Definition (Resonance Zone).</w:t>
      </w:r>
      <w:r>
        <w:br/>
      </w:r>
      <w:r>
        <w:t>A subset of model states and operating conditions in which small perturbations in data or environment do not produce large swings in loss, energy usage, or safety metrics.</w:t>
      </w:r>
    </w:p>
    <w:p w14:paraId="0E000000">
      <w:pPr>
        <w:spacing w:after="270" w:before="270"/>
        <w:ind w:firstLine="0" w:left="0" w:right="0"/>
        <w:rPr>
          <w:b w:val="1"/>
          <w:sz w:val="36"/>
        </w:rPr>
      </w:pPr>
      <w:r>
        <w:rPr>
          <w:b w:val="1"/>
          <w:sz w:val="36"/>
        </w:rPr>
        <w:t>2.3 Physics-informed learning (from constraints to priors)</w:t>
      </w:r>
    </w:p>
    <w:p w14:paraId="0F000000">
      <w:pPr>
        <w:spacing w:after="269" w:before="269"/>
        <w:ind w:firstLine="0" w:left="0" w:right="0"/>
      </w:pPr>
      <w:r>
        <w:t>Bridging AI with physics can happen at several levels:</w:t>
      </w:r>
    </w:p>
    <w:p w14:paraId="10000000">
      <w:pPr>
        <w:numPr>
          <w:ilvl w:val="0"/>
          <w:numId w:val="2"/>
        </w:numPr>
        <w:spacing w:after="269" w:before="269"/>
        <w:ind w:firstLine="0" w:left="600" w:right="0"/>
      </w:pPr>
    </w:p>
    <w:p w14:paraId="11000000">
      <w:pPr>
        <w:numPr>
          <w:ilvl w:val="0"/>
          <w:numId w:val="2"/>
        </w:numPr>
        <w:spacing w:after="269" w:before="269"/>
        <w:ind w:firstLine="0" w:left="0" w:right="0"/>
      </w:pPr>
      <w:r>
        <w:rPr>
          <w:b w:val="1"/>
        </w:rPr>
        <w:t>Units &amp; conservation</w:t>
      </w:r>
      <w:r>
        <w:t xml:space="preserve"> — losses or feature checks that enforce dimensional consistency, conservation of mass/charge/energy, monotonicity.</w:t>
      </w:r>
    </w:p>
    <w:p w14:paraId="12000000">
      <w:pPr>
        <w:numPr>
          <w:ilvl w:val="0"/>
          <w:numId w:val="2"/>
        </w:numPr>
        <w:spacing w:after="269" w:before="269"/>
        <w:ind w:firstLine="0" w:left="600" w:right="0"/>
      </w:pPr>
    </w:p>
    <w:p w14:paraId="13000000">
      <w:pPr>
        <w:numPr>
          <w:ilvl w:val="0"/>
          <w:numId w:val="2"/>
        </w:numPr>
        <w:spacing w:after="269" w:before="269"/>
        <w:ind w:firstLine="0" w:left="0" w:right="0"/>
      </w:pPr>
      <w:r>
        <w:rPr>
          <w:b w:val="1"/>
        </w:rPr>
        <w:t>PINNs and constrained optimization</w:t>
      </w:r>
      <w:r>
        <w:t xml:space="preserve"> — partial differential equations (PDEs) or algebraic constraints embedded in the objective; penalties or Lagrange multipliers guide the solution manifold.</w:t>
      </w:r>
    </w:p>
    <w:p w14:paraId="14000000">
      <w:pPr>
        <w:numPr>
          <w:ilvl w:val="0"/>
          <w:numId w:val="2"/>
        </w:numPr>
        <w:spacing w:after="269" w:before="269"/>
        <w:ind w:firstLine="0" w:left="600" w:right="0"/>
      </w:pPr>
    </w:p>
    <w:p w14:paraId="15000000">
      <w:pPr>
        <w:numPr>
          <w:ilvl w:val="0"/>
          <w:numId w:val="2"/>
        </w:numPr>
        <w:spacing w:after="269" w:before="269"/>
        <w:ind w:firstLine="0" w:left="0" w:right="0"/>
      </w:pPr>
      <w:r>
        <w:rPr>
          <w:b w:val="1"/>
        </w:rPr>
        <w:t>Hybrid sim-to-real</w:t>
      </w:r>
      <w:r>
        <w:t xml:space="preserve"> — simulation produces synthetic but </w:t>
      </w:r>
      <w:r>
        <w:rPr>
          <w:i w:val="1"/>
        </w:rPr>
        <w:t>physically valid</w:t>
      </w:r>
      <w:r>
        <w:t xml:space="preserve"> data; learning adapts to sensor noise and domain shift.</w:t>
      </w:r>
    </w:p>
    <w:p w14:paraId="16000000">
      <w:pPr>
        <w:numPr>
          <w:ilvl w:val="0"/>
          <w:numId w:val="2"/>
        </w:numPr>
        <w:spacing w:after="269" w:before="269"/>
        <w:ind w:firstLine="0" w:left="600" w:right="0"/>
      </w:pPr>
    </w:p>
    <w:p w14:paraId="17000000">
      <w:pPr>
        <w:numPr>
          <w:ilvl w:val="0"/>
          <w:numId w:val="2"/>
        </w:numPr>
        <w:spacing w:after="269" w:before="269"/>
        <w:ind w:firstLine="0" w:left="0" w:right="0"/>
      </w:pPr>
      <w:r>
        <w:rPr>
          <w:b w:val="1"/>
        </w:rPr>
        <w:t>Structure as bias</w:t>
      </w:r>
      <w:r>
        <w:t xml:space="preserve"> — graphs, symmetries (e.g., equivariant networks), or sparsity encode invariances known from the system’s mechanics.</w:t>
      </w:r>
    </w:p>
    <w:p w14:paraId="18000000">
      <w:pPr>
        <w:spacing w:after="269" w:before="269"/>
        <w:ind w:firstLine="0" w:left="0" w:right="0"/>
      </w:pPr>
      <w:r>
        <w:t xml:space="preserve">This turns the model from a black box into a </w:t>
      </w:r>
      <w:r>
        <w:rPr>
          <w:b w:val="1"/>
        </w:rPr>
        <w:t>guided learner</w:t>
      </w:r>
      <w:r>
        <w:t xml:space="preserve"> that explores hypothesis space consistent with physical law and instrumentation limits.</w:t>
      </w:r>
    </w:p>
    <w:p w14:paraId="19000000">
      <w:pPr>
        <w:spacing w:after="270" w:before="270"/>
        <w:ind w:firstLine="0" w:left="0" w:right="0"/>
        <w:rPr>
          <w:b w:val="1"/>
          <w:sz w:val="36"/>
        </w:rPr>
      </w:pPr>
      <w:r>
        <w:rPr>
          <w:b w:val="1"/>
          <w:sz w:val="36"/>
        </w:rPr>
        <w:t>2.4 Architecture as organization of meaning</w:t>
      </w:r>
    </w:p>
    <w:p w14:paraId="1A000000">
      <w:pPr>
        <w:spacing w:after="269" w:before="269"/>
        <w:ind w:firstLine="0" w:left="0" w:right="0"/>
      </w:pPr>
      <w:r>
        <w:t xml:space="preserve">Architectures are not only graphs of layers; they are </w:t>
      </w:r>
      <w:r>
        <w:rPr>
          <w:b w:val="1"/>
        </w:rPr>
        <w:t>hypotheses about what is relevant</w:t>
      </w:r>
      <w:r>
        <w:t>:</w:t>
      </w:r>
    </w:p>
    <w:p w14:paraId="1B000000">
      <w:pPr>
        <w:numPr>
          <w:ilvl w:val="0"/>
          <w:numId w:val="3"/>
        </w:numPr>
        <w:spacing w:after="269" w:before="269"/>
        <w:ind w:firstLine="0" w:left="600" w:right="0"/>
      </w:pPr>
    </w:p>
    <w:p w14:paraId="1C000000">
      <w:pPr>
        <w:numPr>
          <w:ilvl w:val="0"/>
          <w:numId w:val="3"/>
        </w:numPr>
        <w:spacing w:after="269" w:before="269"/>
        <w:ind w:firstLine="0" w:left="0" w:right="0"/>
      </w:pPr>
      <w:r>
        <w:rPr>
          <w:b w:val="1"/>
        </w:rPr>
        <w:t>Perception &amp; embeddings</w:t>
      </w:r>
      <w:r>
        <w:t xml:space="preserve"> compress raw signals into invariants.</w:t>
      </w:r>
    </w:p>
    <w:p w14:paraId="1D000000">
      <w:pPr>
        <w:numPr>
          <w:ilvl w:val="0"/>
          <w:numId w:val="3"/>
        </w:numPr>
        <w:spacing w:after="269" w:before="269"/>
        <w:ind w:firstLine="0" w:left="600" w:right="0"/>
      </w:pPr>
    </w:p>
    <w:p w14:paraId="1E000000">
      <w:pPr>
        <w:numPr>
          <w:ilvl w:val="0"/>
          <w:numId w:val="3"/>
        </w:numPr>
        <w:spacing w:after="269" w:before="269"/>
        <w:ind w:firstLine="0" w:left="0" w:right="0"/>
      </w:pPr>
      <w:r>
        <w:rPr>
          <w:b w:val="1"/>
        </w:rPr>
        <w:t>Credit assignment</w:t>
      </w:r>
      <w:r>
        <w:t xml:space="preserve"> (backprop, attention, temporal traces) locates causes across depth and time.</w:t>
      </w:r>
    </w:p>
    <w:p w14:paraId="1F000000">
      <w:pPr>
        <w:numPr>
          <w:ilvl w:val="0"/>
          <w:numId w:val="3"/>
        </w:numPr>
        <w:spacing w:after="269" w:before="269"/>
        <w:ind w:firstLine="0" w:left="600" w:right="0"/>
      </w:pPr>
    </w:p>
    <w:p w14:paraId="20000000">
      <w:pPr>
        <w:numPr>
          <w:ilvl w:val="0"/>
          <w:numId w:val="3"/>
        </w:numPr>
        <w:spacing w:after="269" w:before="269"/>
        <w:ind w:firstLine="0" w:left="0" w:right="0"/>
      </w:pPr>
      <w:r>
        <w:rPr>
          <w:b w:val="1"/>
        </w:rPr>
        <w:t>Memory &amp; tools</w:t>
      </w:r>
      <w:r>
        <w:t xml:space="preserve"> (KV-cache, retrieval, external code/tools) expand effective context.</w:t>
      </w:r>
    </w:p>
    <w:p w14:paraId="21000000">
      <w:pPr>
        <w:numPr>
          <w:ilvl w:val="0"/>
          <w:numId w:val="3"/>
        </w:numPr>
        <w:spacing w:after="269" w:before="269"/>
        <w:ind w:firstLine="0" w:left="600" w:right="0"/>
      </w:pPr>
    </w:p>
    <w:p w14:paraId="22000000">
      <w:pPr>
        <w:numPr>
          <w:ilvl w:val="0"/>
          <w:numId w:val="3"/>
        </w:numPr>
        <w:spacing w:after="269" w:before="269"/>
        <w:ind w:firstLine="0" w:left="0" w:right="0"/>
      </w:pPr>
      <w:r>
        <w:rPr>
          <w:b w:val="1"/>
        </w:rPr>
        <w:t>Governance signals</w:t>
      </w:r>
      <w:r>
        <w:t xml:space="preserve"> (policies, audits) act as boundary conditions that restrict unsafe trajectories.</w:t>
      </w:r>
    </w:p>
    <w:p w14:paraId="23000000">
      <w:pPr>
        <w:spacing w:after="269" w:before="269"/>
        <w:ind w:firstLine="0" w:left="0" w:right="0"/>
      </w:pPr>
      <w:r>
        <w:t xml:space="preserve">In this view, learning systems become </w:t>
      </w:r>
      <w:r>
        <w:rPr>
          <w:b w:val="1"/>
        </w:rPr>
        <w:t>cognitive instruments</w:t>
      </w:r>
      <w:r>
        <w:t xml:space="preserve"> whose behavior is legible through their inductive biases and operational traces.</w:t>
      </w:r>
    </w:p>
    <w:p w14:paraId="24000000">
      <w:pPr>
        <w:spacing w:after="270" w:before="270"/>
        <w:ind w:firstLine="0" w:left="0" w:right="0"/>
        <w:rPr>
          <w:b w:val="1"/>
          <w:sz w:val="36"/>
        </w:rPr>
      </w:pPr>
      <w:r>
        <w:rPr>
          <w:b w:val="1"/>
          <w:sz w:val="36"/>
        </w:rPr>
        <w:t>2.5 Safety, alignment, and auditability</w:t>
      </w:r>
    </w:p>
    <w:p w14:paraId="25000000">
      <w:pPr>
        <w:spacing w:after="269" w:before="269"/>
        <w:ind w:firstLine="0" w:left="0" w:right="0"/>
      </w:pPr>
      <w:r>
        <w:t>Alignment is both technical and institutional:</w:t>
      </w:r>
    </w:p>
    <w:p w14:paraId="26000000">
      <w:pPr>
        <w:numPr>
          <w:ilvl w:val="0"/>
          <w:numId w:val="4"/>
        </w:numPr>
        <w:spacing w:after="269" w:before="269"/>
        <w:ind w:firstLine="0" w:left="600" w:right="0"/>
      </w:pPr>
    </w:p>
    <w:p w14:paraId="27000000">
      <w:pPr>
        <w:numPr>
          <w:ilvl w:val="0"/>
          <w:numId w:val="4"/>
        </w:numPr>
        <w:spacing w:after="269" w:before="269"/>
        <w:ind w:firstLine="0" w:left="0" w:right="0"/>
      </w:pPr>
      <w:r>
        <w:rPr>
          <w:b w:val="1"/>
        </w:rPr>
        <w:t>Guardrails</w:t>
      </w:r>
      <w:r>
        <w:t>: content policies, prompt/response filters, red-teaming.</w:t>
      </w:r>
    </w:p>
    <w:p w14:paraId="28000000">
      <w:pPr>
        <w:numPr>
          <w:ilvl w:val="0"/>
          <w:numId w:val="4"/>
        </w:numPr>
        <w:spacing w:after="269" w:before="269"/>
        <w:ind w:firstLine="0" w:left="600" w:right="0"/>
      </w:pPr>
    </w:p>
    <w:p w14:paraId="29000000">
      <w:pPr>
        <w:numPr>
          <w:ilvl w:val="0"/>
          <w:numId w:val="4"/>
        </w:numPr>
        <w:spacing w:after="269" w:before="269"/>
        <w:ind w:firstLine="0" w:left="0" w:right="0"/>
      </w:pPr>
      <w:r>
        <w:rPr>
          <w:b w:val="1"/>
        </w:rPr>
        <w:t>Risk controls</w:t>
      </w:r>
      <w:r>
        <w:t>: rate limits, secure tool use, isolation of high-risk actions.</w:t>
      </w:r>
    </w:p>
    <w:p w14:paraId="2A000000">
      <w:pPr>
        <w:numPr>
          <w:ilvl w:val="0"/>
          <w:numId w:val="4"/>
        </w:numPr>
        <w:spacing w:after="269" w:before="269"/>
        <w:ind w:firstLine="0" w:left="600" w:right="0"/>
      </w:pPr>
    </w:p>
    <w:p w14:paraId="2B000000">
      <w:pPr>
        <w:numPr>
          <w:ilvl w:val="0"/>
          <w:numId w:val="4"/>
        </w:numPr>
        <w:spacing w:after="269" w:before="269"/>
        <w:ind w:firstLine="0" w:left="0" w:right="0"/>
      </w:pPr>
      <w:r>
        <w:rPr>
          <w:b w:val="1"/>
        </w:rPr>
        <w:t>Observability</w:t>
      </w:r>
      <w:r>
        <w:t>: datasheets, model cards, evaluation dashboards, provenance logs.</w:t>
      </w:r>
    </w:p>
    <w:p w14:paraId="2C000000">
      <w:pPr>
        <w:numPr>
          <w:ilvl w:val="0"/>
          <w:numId w:val="4"/>
        </w:numPr>
        <w:spacing w:after="269" w:before="269"/>
        <w:ind w:firstLine="0" w:left="600" w:right="0"/>
      </w:pPr>
    </w:p>
    <w:p w14:paraId="2D000000">
      <w:pPr>
        <w:numPr>
          <w:ilvl w:val="0"/>
          <w:numId w:val="4"/>
        </w:numPr>
        <w:spacing w:after="269" w:before="269"/>
        <w:ind w:firstLine="0" w:left="0" w:right="0"/>
      </w:pPr>
      <w:r>
        <w:rPr>
          <w:b w:val="1"/>
        </w:rPr>
        <w:t>Human-in-the-loop</w:t>
      </w:r>
      <w:r>
        <w:t>: clear escalation paths, reversible actions, feedback integration.</w:t>
      </w:r>
    </w:p>
    <w:p w14:paraId="2E000000">
      <w:pPr>
        <w:spacing w:after="269" w:before="269"/>
        <w:ind w:firstLine="0" w:left="0" w:right="0"/>
      </w:pPr>
      <w:r>
        <w:t xml:space="preserve">A practical rule: </w:t>
      </w:r>
      <w:r>
        <w:rPr>
          <w:i w:val="1"/>
        </w:rPr>
        <w:t>no deployment without observability</w:t>
      </w:r>
      <w:r>
        <w:t>. If intent cannot be observed, it will drift.</w:t>
      </w:r>
    </w:p>
    <w:p w14:paraId="2F000000">
      <w:pPr>
        <w:spacing w:after="270" w:before="270"/>
        <w:ind w:firstLine="0" w:left="0" w:right="0"/>
        <w:rPr>
          <w:b w:val="1"/>
          <w:sz w:val="36"/>
        </w:rPr>
      </w:pPr>
      <w:r>
        <w:rPr>
          <w:b w:val="1"/>
          <w:sz w:val="36"/>
        </w:rPr>
        <w:t>2.6 Minimal formalization (practical)</w:t>
      </w:r>
    </w:p>
    <w:p w14:paraId="30000000">
      <w:pPr>
        <w:spacing w:after="269" w:before="269"/>
        <w:ind w:firstLine="0" w:left="0" w:right="0"/>
      </w:pPr>
      <w:r>
        <w:t xml:space="preserve">Let </w:t>
      </w:r>
      <w:r>
        <w:t>x</w:t>
      </w:r>
      <w:r>
        <w:t>x</w:t>
      </w:r>
      <w:r>
        <w:t>x</w:t>
      </w:r>
      <w:r>
        <w:t xml:space="preserve"> be inputs, </w:t>
      </w:r>
      <w:r>
        <w:t>y</w:t>
      </w:r>
      <w:r>
        <w:t>y</w:t>
      </w:r>
      <w:r>
        <w:t>y</w:t>
      </w:r>
      <w:r>
        <w:t xml:space="preserve"> targets, </w:t>
      </w:r>
      <w:r>
        <w:t>m</w:t>
      </w:r>
      <w:r>
        <w:t>θ</w:t>
      </w:r>
      <w:r>
        <w:t>m_\theta</w:t>
      </w:r>
      <w:r>
        <w:t>m</w:t>
      </w:r>
      <w:r>
        <w:t>θ</w:t>
      </w:r>
      <w:r>
        <w:t>​</w:t>
      </w:r>
      <w:r>
        <w:t xml:space="preserve"> the model, and </w:t>
      </w:r>
      <w:r>
        <w:t>C</w:t>
      </w:r>
      <w:r>
        <w:t>\mathcal{C}</w:t>
      </w:r>
      <w:r>
        <w:t>C</w:t>
      </w:r>
      <w:r>
        <w:t xml:space="preserve"> a set of constraints. A physics-and-governance informed objective can be written as:</w:t>
      </w:r>
    </w:p>
    <w:p w14:paraId="31000000">
      <w:pPr>
        <w:spacing w:after="120" w:before="120"/>
        <w:ind w:firstLine="0" w:left="120" w:right="120"/>
      </w:pPr>
      <w:r>
        <w:t>min</w:t>
      </w:r>
      <w:r>
        <w:t>⁡</w:t>
      </w:r>
      <w:r>
        <w:t>θ</w:t>
      </w:r>
      <w:r>
        <w:t>  </w:t>
      </w:r>
      <w:r>
        <w:t>L</w:t>
      </w:r>
      <w:r>
        <w:t>task</w:t>
      </w:r>
      <w:r>
        <w:t>(</w:t>
      </w:r>
      <w:r>
        <w:t>m</w:t>
      </w:r>
      <w:r>
        <w:t>θ</w:t>
      </w:r>
      <w:r>
        <w:t>(</w:t>
      </w:r>
      <w:r>
        <w:t>x</w:t>
      </w:r>
      <w:r>
        <w:t>)</w:t>
      </w:r>
      <w:r>
        <w:t>,</w:t>
      </w:r>
      <w:r>
        <w:t>y</w:t>
      </w:r>
      <w:r>
        <w:t>)</w:t>
      </w:r>
      <w:r>
        <w:t>⏟</w:t>
      </w:r>
      <w:r>
        <w:t>accuracy/utility</w:t>
      </w:r>
      <w:r>
        <w:t>  </w:t>
      </w:r>
      <w:r>
        <w:t>+</w:t>
      </w:r>
      <w:r>
        <w:t>  </w:t>
      </w:r>
      <w:r>
        <w:t>λ</w:t>
      </w:r>
      <w:r>
        <w:t>phys</w:t>
      </w:r>
      <w:r>
        <w:t>L</w:t>
      </w:r>
      <w:r>
        <w:t>phys</w:t>
      </w:r>
      <w:r>
        <w:t>(</w:t>
      </w:r>
      <w:r>
        <w:t>m</w:t>
      </w:r>
      <w:r>
        <w:t>θ</w:t>
      </w:r>
      <w:r>
        <w:t>,</w:t>
      </w:r>
      <w:r>
        <w:t>C</w:t>
      </w:r>
      <w:r>
        <w:t>)</w:t>
      </w:r>
      <w:r>
        <w:t>⏟</w:t>
      </w:r>
      <w:r>
        <w:t>units/PDE/conservation</w:t>
      </w:r>
      <w:r>
        <w:t>  </w:t>
      </w:r>
      <w:r>
        <w:t>+</w:t>
      </w:r>
      <w:r>
        <w:t>  </w:t>
      </w:r>
      <w:r>
        <w:t>λ</w:t>
      </w:r>
      <w:r>
        <w:t>safe</w:t>
      </w:r>
      <w:r>
        <w:t>L</w:t>
      </w:r>
      <w:r>
        <w:t>safe</w:t>
      </w:r>
      <w:r>
        <w:t>(</w:t>
      </w:r>
      <w:r>
        <w:t>m</w:t>
      </w:r>
      <w:r>
        <w:t>θ</w:t>
      </w:r>
      <w:r>
        <w:t>)</w:t>
      </w:r>
      <w:r>
        <w:t>⏟</w:t>
      </w:r>
      <w:r>
        <w:t>policy/guardrails</w:t>
      </w:r>
      <w:r>
        <w:t>  </w:t>
      </w:r>
      <w:r>
        <w:t>+</w:t>
      </w:r>
      <w:r>
        <w:t>  </w:t>
      </w:r>
      <w:r>
        <w:t>λ</w:t>
      </w:r>
      <w:r>
        <w:t>eng</w:t>
      </w:r>
      <w:r>
        <w:t>L</w:t>
      </w:r>
      <w:r>
        <w:t>energy</w:t>
      </w:r>
      <w:r>
        <w:t>(</w:t>
      </w:r>
      <w:r>
        <w:t>m</w:t>
      </w:r>
      <w:r>
        <w:t>θ</w:t>
      </w:r>
      <w:r>
        <w:t>)</w:t>
      </w:r>
      <w:r>
        <w:t>⏟</w:t>
      </w:r>
      <w:r>
        <w:t>latency/power</w:t>
      </w:r>
      <w:r>
        <w:t>.</w:t>
      </w:r>
      <w:r>
        <w:t>\min_{\theta}\; \underbrace{\mathcal{L}_{\text{task}}(m_\theta(x), y)}_{\text{accuracy/utility}} \;+\; \lambda_{\text{phys}}\underbrace{\mathcal{L}_{\text{phys}}(m_\theta, \mathcal{C})}_{\text{units/PDE/conservation}} \;+\; \lambda_{\text{safe}}\underbrace{\mathcal{L}_{\text{safe}}(m_\theta)}_{\text{policy/guardrails}} \;+\; \lambda_{\text{eng}}\underbrace{\mathcal{L}_{\text{energy}}(m_\theta)}_{\text{latency/power}}.</w:t>
      </w:r>
      <w:r>
        <w:t>θ</w:t>
      </w:r>
      <w:r>
        <w:t>min</w:t>
      </w:r>
      <w:r>
        <w:t>​</w:t>
      </w:r>
      <w:r>
        <w:t>accuracy/utility</w:t>
      </w:r>
      <w:r>
        <w:t>L</w:t>
      </w:r>
      <w:r>
        <w:t>task</w:t>
      </w:r>
      <w:r>
        <w:t>​</w:t>
      </w:r>
      <w:r>
        <w:t>(</w:t>
      </w:r>
      <w:r>
        <w:t>m</w:t>
      </w:r>
      <w:r>
        <w:t>θ</w:t>
      </w:r>
      <w:r>
        <w:t>​</w:t>
      </w:r>
      <w:r>
        <w:t>(</w:t>
      </w:r>
      <w:r>
        <w:t>x</w:t>
      </w:r>
      <w:r>
        <w:t>)</w:t>
      </w:r>
      <w:r>
        <w:t>,</w:t>
      </w:r>
      <w:r>
        <w:t>y</w:t>
      </w:r>
      <w:r>
        <w:t>)</w:t>
      </w:r>
      <w:r>
        <w:t>​</w:t>
      </w:r>
      <w:r>
        <w:t>​</w:t>
      </w:r>
      <w:r>
        <w:t>+</w:t>
      </w:r>
      <w:r>
        <w:t>λ</w:t>
      </w:r>
      <w:r>
        <w:t>phys</w:t>
      </w:r>
      <w:r>
        <w:t>​</w:t>
      </w:r>
      <w:r>
        <w:t>units/PDE/conservation</w:t>
      </w:r>
      <w:r>
        <w:t>L</w:t>
      </w:r>
      <w:r>
        <w:t>phys</w:t>
      </w:r>
      <w:r>
        <w:t>​</w:t>
      </w:r>
      <w:r>
        <w:t>(</w:t>
      </w:r>
      <w:r>
        <w:t>m</w:t>
      </w:r>
      <w:r>
        <w:t>θ</w:t>
      </w:r>
      <w:r>
        <w:t>​</w:t>
      </w:r>
      <w:r>
        <w:t>,</w:t>
      </w:r>
      <w:r>
        <w:t>C</w:t>
      </w:r>
      <w:r>
        <w:t>)</w:t>
      </w:r>
      <w:r>
        <w:t>​</w:t>
      </w:r>
      <w:r>
        <w:t>​</w:t>
      </w:r>
      <w:r>
        <w:t>+</w:t>
      </w:r>
      <w:r>
        <w:t>λ</w:t>
      </w:r>
      <w:r>
        <w:t>safe</w:t>
      </w:r>
      <w:r>
        <w:t>​</w:t>
      </w:r>
      <w:r>
        <w:t>policy/guardrails</w:t>
      </w:r>
      <w:r>
        <w:t>L</w:t>
      </w:r>
      <w:r>
        <w:t>safe</w:t>
      </w:r>
      <w:r>
        <w:t>​</w:t>
      </w:r>
      <w:r>
        <w:t>(</w:t>
      </w:r>
      <w:r>
        <w:t>m</w:t>
      </w:r>
      <w:r>
        <w:t>θ</w:t>
      </w:r>
      <w:r>
        <w:t>​</w:t>
      </w:r>
      <w:r>
        <w:t>)</w:t>
      </w:r>
      <w:r>
        <w:t>​</w:t>
      </w:r>
      <w:r>
        <w:t>​</w:t>
      </w:r>
      <w:r>
        <w:t>+</w:t>
      </w:r>
      <w:r>
        <w:t>λ</w:t>
      </w:r>
      <w:r>
        <w:t>eng</w:t>
      </w:r>
      <w:r>
        <w:t>​</w:t>
      </w:r>
      <w:r>
        <w:t>latency/power</w:t>
      </w:r>
      <w:r>
        <w:t>L</w:t>
      </w:r>
      <w:r>
        <w:t>energy</w:t>
      </w:r>
      <w:r>
        <w:t>​</w:t>
      </w:r>
      <w:r>
        <w:t>(</w:t>
      </w:r>
      <w:r>
        <w:t>m</w:t>
      </w:r>
      <w:r>
        <w:t>θ</w:t>
      </w:r>
      <w:r>
        <w:t>​</w:t>
      </w:r>
      <w:r>
        <w:t>)</w:t>
      </w:r>
      <w:r>
        <w:t>​</w:t>
      </w:r>
      <w:r>
        <w:t>​</w:t>
      </w:r>
      <w:r>
        <w:t>.</w:t>
      </w:r>
    </w:p>
    <w:p w14:paraId="32000000">
      <w:pPr>
        <w:spacing w:after="269" w:before="269"/>
        <w:ind w:firstLine="0" w:left="0" w:right="0"/>
      </w:pPr>
      <w:r>
        <w:t xml:space="preserve">Choosing weights </w:t>
      </w:r>
      <w:r>
        <w:t>λ</w:t>
      </w:r>
      <w:r>
        <w:t>∙</w:t>
      </w:r>
      <w:r>
        <w:t>\lambda_{\bullet}</w:t>
      </w:r>
      <w:r>
        <w:t>λ</w:t>
      </w:r>
      <w:r>
        <w:t>∙</w:t>
      </w:r>
      <w:r>
        <w:t>​</w:t>
      </w:r>
      <w:r>
        <w:t xml:space="preserve"> and measuring the budgets (accuracy, safety, energy) defines the </w:t>
      </w:r>
      <w:r>
        <w:rPr>
          <w:b w:val="1"/>
        </w:rPr>
        <w:t>resonance zone</w:t>
      </w:r>
      <w:r>
        <w:t xml:space="preserve"> for a given task and platform.</w:t>
      </w:r>
    </w:p>
    <w:p w14:paraId="33000000">
      <w:pPr>
        <w:spacing w:after="270" w:before="270"/>
        <w:ind w:firstLine="0" w:left="0" w:right="0"/>
        <w:rPr>
          <w:b w:val="1"/>
          <w:sz w:val="36"/>
        </w:rPr>
      </w:pPr>
      <w:r>
        <w:rPr>
          <w:b w:val="1"/>
          <w:sz w:val="36"/>
        </w:rPr>
        <w:t>2.7 Evaluation beyond accuracy</w:t>
      </w:r>
    </w:p>
    <w:p w14:paraId="34000000">
      <w:pPr>
        <w:spacing w:after="269" w:before="269"/>
        <w:ind w:firstLine="0" w:left="0" w:right="0"/>
      </w:pPr>
      <w:r>
        <w:t>Report not only task scores, but also:</w:t>
      </w:r>
    </w:p>
    <w:p w14:paraId="35000000">
      <w:pPr>
        <w:numPr>
          <w:ilvl w:val="0"/>
          <w:numId w:val="5"/>
        </w:numPr>
        <w:spacing w:after="269" w:before="269"/>
        <w:ind w:firstLine="0" w:left="600" w:right="0"/>
      </w:pPr>
    </w:p>
    <w:p w14:paraId="36000000">
      <w:pPr>
        <w:numPr>
          <w:ilvl w:val="0"/>
          <w:numId w:val="5"/>
        </w:numPr>
        <w:spacing w:after="269" w:before="269"/>
        <w:ind w:firstLine="0" w:left="0" w:right="0"/>
      </w:pPr>
      <w:r>
        <w:rPr>
          <w:b w:val="1"/>
        </w:rPr>
        <w:t>Calibration / Uncertainty</w:t>
      </w:r>
      <w:r>
        <w:t xml:space="preserve"> (ECE/Brier, prediction intervals).</w:t>
      </w:r>
    </w:p>
    <w:p w14:paraId="37000000">
      <w:pPr>
        <w:numPr>
          <w:ilvl w:val="0"/>
          <w:numId w:val="5"/>
        </w:numPr>
        <w:spacing w:after="269" w:before="269"/>
        <w:ind w:firstLine="0" w:left="600" w:right="0"/>
      </w:pPr>
    </w:p>
    <w:p w14:paraId="38000000">
      <w:pPr>
        <w:numPr>
          <w:ilvl w:val="0"/>
          <w:numId w:val="5"/>
        </w:numPr>
        <w:spacing w:after="269" w:before="269"/>
        <w:ind w:firstLine="0" w:left="0" w:right="0"/>
      </w:pPr>
      <w:r>
        <w:rPr>
          <w:b w:val="1"/>
        </w:rPr>
        <w:t>Robustness</w:t>
      </w:r>
      <w:r>
        <w:t xml:space="preserve"> (shifted data, noise, ablations).</w:t>
      </w:r>
    </w:p>
    <w:p w14:paraId="39000000">
      <w:pPr>
        <w:numPr>
          <w:ilvl w:val="0"/>
          <w:numId w:val="5"/>
        </w:numPr>
        <w:spacing w:after="269" w:before="269"/>
        <w:ind w:firstLine="0" w:left="600" w:right="0"/>
      </w:pPr>
    </w:p>
    <w:p w14:paraId="3A000000">
      <w:pPr>
        <w:numPr>
          <w:ilvl w:val="0"/>
          <w:numId w:val="5"/>
        </w:numPr>
        <w:spacing w:after="269" w:before="269"/>
        <w:ind w:firstLine="0" w:left="0" w:right="0"/>
      </w:pPr>
      <w:r>
        <w:rPr>
          <w:b w:val="1"/>
        </w:rPr>
        <w:t>Safety</w:t>
      </w:r>
      <w:r>
        <w:t xml:space="preserve"> (policy violation rate, refusal correctness).</w:t>
      </w:r>
    </w:p>
    <w:p w14:paraId="3B000000">
      <w:pPr>
        <w:numPr>
          <w:ilvl w:val="0"/>
          <w:numId w:val="5"/>
        </w:numPr>
        <w:spacing w:after="269" w:before="269"/>
        <w:ind w:firstLine="0" w:left="600" w:right="0"/>
      </w:pPr>
    </w:p>
    <w:p w14:paraId="3C000000">
      <w:pPr>
        <w:numPr>
          <w:ilvl w:val="0"/>
          <w:numId w:val="5"/>
        </w:numPr>
        <w:spacing w:after="269" w:before="269"/>
        <w:ind w:firstLine="0" w:left="0" w:right="0"/>
      </w:pPr>
      <w:r>
        <w:rPr>
          <w:b w:val="1"/>
        </w:rPr>
        <w:t>Efficiency</w:t>
      </w:r>
      <w:r>
        <w:t xml:space="preserve"> (tokens/sec, Joules/inference, memory footprint).</w:t>
      </w:r>
      <w:r>
        <w:br/>
      </w:r>
      <w:r>
        <w:t>This multi-metric view prevents “single-number overfitting”.</w:t>
      </w:r>
    </w:p>
    <w:p w14:paraId="3D000000">
      <w:pPr>
        <w:spacing w:after="270" w:before="270"/>
        <w:ind w:firstLine="0" w:left="0" w:right="0"/>
        <w:rPr>
          <w:b w:val="1"/>
          <w:sz w:val="36"/>
        </w:rPr>
      </w:pPr>
      <w:r>
        <w:rPr>
          <w:b w:val="1"/>
          <w:sz w:val="36"/>
        </w:rPr>
        <w:t>2.8 Micro-case (one paragraph, to keep)</w:t>
      </w:r>
    </w:p>
    <w:p w14:paraId="3E000000">
      <w:pPr>
        <w:spacing w:after="269" w:before="269"/>
        <w:ind w:firstLine="0" w:left="0" w:right="0"/>
      </w:pPr>
      <w:r>
        <w:rPr>
          <w:i w:val="1"/>
        </w:rPr>
        <w:t>Educational demo.</w:t>
      </w:r>
      <w:r>
        <w:t xml:space="preserve"> The </w:t>
      </w:r>
      <w:r>
        <w:rPr>
          <w:b w:val="1"/>
        </w:rPr>
        <w:t>NN Training Animation</w:t>
      </w:r>
      <w:r>
        <w:t xml:space="preserve"> illustrates decreasing loss and increasing accuracy while showing a schematic network. Extending it with a small </w:t>
      </w:r>
      <w:r>
        <w:rPr>
          <w:b w:val="1"/>
        </w:rPr>
        <w:t>constraint term</w:t>
      </w:r>
      <w:r>
        <w:t xml:space="preserve"> (e.g., monotonic relation between two features or unit consistency) would demonstrate how </w:t>
      </w:r>
      <w:r>
        <w:rPr>
          <w:b w:val="1"/>
        </w:rPr>
        <w:t>L</w:t>
      </w:r>
      <w:r>
        <w:rPr>
          <w:b w:val="1"/>
        </w:rPr>
        <w:t>phys</w:t>
      </w:r>
      <w:r>
        <w:rPr>
          <w:b w:val="1"/>
        </w:rPr>
        <w:t>\mathcal{L}_{\text{phys}}</w:t>
      </w:r>
      <w:r>
        <w:rPr>
          <w:b w:val="1"/>
        </w:rPr>
        <w:t>L</w:t>
      </w:r>
      <w:r>
        <w:rPr>
          <w:b w:val="1"/>
        </w:rPr>
        <w:t>phys</w:t>
      </w:r>
      <w:r>
        <w:rPr>
          <w:b w:val="1"/>
        </w:rPr>
        <w:t>​</w:t>
      </w:r>
      <w:r>
        <w:t xml:space="preserve"> reshapes learning dynamics without changing the dataset—an accessible bridge between pedagogy and physics-informed AI.</w:t>
      </w:r>
    </w:p>
    <w:p w14:paraId="3F000000">
      <w:pPr>
        <w:spacing w:after="270" w:before="270"/>
        <w:ind w:firstLine="0" w:left="0" w:right="0"/>
        <w:rPr>
          <w:b w:val="1"/>
          <w:sz w:val="36"/>
        </w:rPr>
      </w:pPr>
      <w:r>
        <w:rPr>
          <w:b w:val="1"/>
          <w:sz w:val="36"/>
        </w:rPr>
        <w:t>2.9 Link to figures</w:t>
      </w:r>
    </w:p>
    <w:p w14:paraId="40000000">
      <w:pPr>
        <w:numPr>
          <w:ilvl w:val="0"/>
          <w:numId w:val="6"/>
        </w:numPr>
        <w:spacing w:after="269" w:before="269"/>
        <w:ind w:firstLine="0" w:left="600" w:right="0"/>
      </w:pPr>
    </w:p>
    <w:p w14:paraId="41000000">
      <w:pPr>
        <w:numPr>
          <w:ilvl w:val="0"/>
          <w:numId w:val="6"/>
        </w:numPr>
        <w:spacing w:after="269" w:before="269"/>
        <w:ind w:firstLine="0" w:left="0" w:right="0"/>
      </w:pPr>
      <w:r>
        <w:rPr>
          <w:b w:val="1"/>
        </w:rPr>
        <w:t>Figure X — AI Timeline (1950–2025):</w:t>
      </w:r>
      <w:r>
        <w:t xml:space="preserve"> historical path from logic to deep learning and generative models toward multimodal/physics-informed systems.</w:t>
      </w:r>
    </w:p>
    <w:p w14:paraId="42000000">
      <w:pPr>
        <w:numPr>
          <w:ilvl w:val="0"/>
          <w:numId w:val="6"/>
        </w:numPr>
        <w:spacing w:after="269" w:before="269"/>
        <w:ind w:firstLine="0" w:left="600" w:right="0"/>
      </w:pPr>
    </w:p>
    <w:p w14:paraId="43000000">
      <w:pPr>
        <w:numPr>
          <w:ilvl w:val="0"/>
          <w:numId w:val="6"/>
        </w:numPr>
        <w:spacing w:after="269" w:before="269"/>
        <w:ind w:firstLine="0" w:left="0" w:right="0"/>
      </w:pPr>
      <w:r>
        <w:rPr>
          <w:b w:val="1"/>
        </w:rPr>
        <w:t>Figure Y — Integral Architecture:</w:t>
      </w:r>
      <w:r>
        <w:t xml:space="preserve"> data &amp; representation → learning core → evaluation &amp; inference; cross-cutting safety/alignment, governance, and energy.</w:t>
      </w:r>
    </w:p>
    <w:p w14:paraId="44000000">
      <w:pPr>
        <w:widowControl w:val="1"/>
        <w:spacing w:after="269" w:before="269"/>
        <w:ind w:firstLine="0" w:left="0" w:right="0"/>
        <w:rPr>
          <w:rFonts w:ascii="monospace" w:hAnsi="monospace"/>
        </w:rPr>
      </w:pPr>
    </w:p>
    <w:p w14:paraId="45000000">
      <w:pPr>
        <w:widowControl w:val="1"/>
        <w:spacing w:after="269" w:before="269"/>
        <w:ind w:firstLine="0" w:left="0" w:right="0"/>
        <w:rPr>
          <w:rFonts w:ascii="monospace" w:hAnsi="monospace"/>
        </w:rPr>
      </w:pPr>
      <w:r>
        <w:t xml:space="preserve">Insert </w:t>
      </w:r>
      <w:r>
        <w:rPr>
          <w:b w:val="1"/>
        </w:rPr>
        <w:t>Figure X.</w:t>
      </w:r>
      <w:r>
        <w:t xml:space="preserve"> </w:t>
      </w:r>
      <w:r>
        <w:rPr>
          <w:i w:val="1"/>
        </w:rPr>
        <w:t>AI timeline (1950–2025): from logic foundations to deep learning, generative modeling, transformers, diffusion, and toward quantum/multimodal, physics-informed systems.</w:t>
      </w:r>
    </w:p>
    <w:p w14:paraId="46000000">
      <w:pPr>
        <w:widowControl w:val="1"/>
        <w:spacing w:after="269" w:before="269"/>
        <w:ind w:firstLine="0" w:left="0" w:right="0"/>
        <w:rPr>
          <w:rFonts w:ascii="monospace" w:hAnsi="monospace"/>
        </w:rPr>
      </w:pPr>
      <w:r>
        <w:rPr>
          <w:b w:val="1"/>
        </w:rPr>
        <w:t>AI Timeline (1950–2025)</w:t>
      </w:r>
      <w:r>
        <w:t xml:space="preserve"> —  </w:t>
      </w:r>
      <w:r>
        <w:rPr>
          <w:rFonts w:ascii="monospace" w:hAnsi="monospace"/>
        </w:rPr>
        <w:t>figures/AI_Timeline_2col.svg</w:t>
      </w:r>
    </w:p>
    <w:p w14:paraId="47000000">
      <w:pPr>
        <w:widowControl w:val="1"/>
        <w:spacing w:after="269" w:before="269"/>
        <w:ind w:firstLine="0" w:left="0" w:right="0"/>
        <w:rPr>
          <w:rFonts w:ascii="monospace" w:hAnsi="monospace"/>
        </w:rPr>
      </w:pPr>
      <w:r>
        <w:rPr>
          <w:b w:val="1"/>
        </w:rPr>
        <w:t>Figure Y.</w:t>
      </w:r>
      <w:r>
        <w:t xml:space="preserve"> </w:t>
      </w:r>
      <w:r>
        <w:rPr>
          <w:i w:val="1"/>
        </w:rPr>
        <w:t>Integral AI architecture: data &amp; representation → learning core → evaluation &amp; inference; cross-cutting safety/alignment, governance, and physics-informed constraints.</w:t>
      </w:r>
    </w:p>
    <w:p w14:paraId="48000000">
      <w:pPr>
        <w:widowControl w:val="1"/>
        <w:spacing w:after="269" w:before="269"/>
        <w:ind w:firstLine="0" w:left="0" w:right="0"/>
        <w:rPr>
          <w:rFonts w:ascii="monospace" w:hAnsi="monospace"/>
        </w:rPr>
      </w:pPr>
      <w:r>
        <w:rPr>
          <w:i w:val="1"/>
        </w:rPr>
        <w:t xml:space="preserve">  </w:t>
      </w:r>
      <w:r>
        <w:rPr>
          <w:b w:val="1"/>
        </w:rPr>
        <w:t>Integral AI Architecture</w:t>
      </w:r>
      <w:r>
        <w:t xml:space="preserve"> —  </w:t>
      </w:r>
      <w:r>
        <w:rPr>
          <w:rFonts w:ascii="monospace" w:hAnsi="monospace"/>
        </w:rPr>
        <w:t>figures/architecture_schematic.svg</w:t>
      </w:r>
    </w:p>
    <w:p w14:paraId="49000000">
      <w:pPr>
        <w:widowControl w:val="1"/>
        <w:spacing w:after="269" w:before="269"/>
        <w:ind w:firstLine="0" w:left="0" w:right="0"/>
        <w:rPr>
          <w:rFonts w:ascii="monospace" w:hAnsi="monospace"/>
        </w:rPr>
      </w:pPr>
      <w:r>
        <w:t>"C:\Users\svetl\Downloads\figure-exports.zip"</w:t>
      </w:r>
    </w:p>
    <w:p w14:paraId="4A000000">
      <w:pPr>
        <w:widowControl w:val="1"/>
        <w:spacing w:after="269" w:before="269"/>
        <w:ind w:firstLine="0" w:left="0" w:right="0"/>
      </w:pPr>
      <w:r>
        <w:rPr>
          <w:i w:val="1"/>
        </w:rPr>
        <w:t xml:space="preserve"> Compiled by S. I. Romanova, 2025.</w:t>
      </w:r>
    </w:p>
    <w:p w14:paraId="4B000000">
      <w:pPr>
        <w:spacing w:after="269" w:before="269"/>
        <w:ind w:firstLine="0" w:left="0" w:right="0"/>
      </w:pPr>
    </w:p>
    <w:p w14:paraId="4C000000">
      <w:pPr>
        <w:spacing w:after="270" w:before="270"/>
        <w:ind w:firstLine="0" w:left="0" w:right="0"/>
        <w:rPr>
          <w:b w:val="1"/>
          <w:sz w:val="36"/>
        </w:rPr>
      </w:pPr>
      <w:r>
        <w:rPr>
          <w:b w:val="1"/>
          <w:sz w:val="36"/>
        </w:rPr>
        <w:t>2.10 Takeaway</w:t>
      </w:r>
    </w:p>
    <w:p w14:paraId="4D000000">
      <w:pPr>
        <w:spacing w:after="269" w:before="269"/>
        <w:ind w:firstLine="0" w:left="0" w:right="0"/>
      </w:pPr>
      <w:r>
        <w:t xml:space="preserve">Intelligence becomes reliable when </w:t>
      </w:r>
      <w:r>
        <w:rPr>
          <w:b w:val="1"/>
        </w:rPr>
        <w:t>information, energy, and intent</w:t>
      </w:r>
      <w:r>
        <w:t xml:space="preserve"> are coherently balanced. Physics-informed objectives and governance signals act as </w:t>
      </w:r>
      <w:r>
        <w:rPr>
          <w:b w:val="1"/>
        </w:rPr>
        <w:t>boundary conditions</w:t>
      </w:r>
      <w:r>
        <w:t xml:space="preserve"> that guide models toward stable, interpretable, and safe behavior. This is where </w:t>
      </w:r>
      <w:r>
        <w:rPr>
          <w:i w:val="1"/>
        </w:rPr>
        <w:t>computation becomes resonance</w:t>
      </w:r>
      <w:r>
        <w:t>.</w:t>
      </w:r>
    </w:p>
    <w:p w14:paraId="4E000000">
      <w:pPr>
        <w:pStyle w:val="Style_1"/>
      </w:pPr>
    </w:p>
    <w:sectPr>
      <w:pgSz w:h="16838" w:orient="portrait" w:w="11906"/>
      <w:pgMar w:bottom="1134" w:left="1304" w:right="737" w:top="1134"/>
      <w:pgNumType w:fmt="decimal"/>
    </w:sectPr>
  </w:body>
</w:document>
</file>

<file path=word/fontTable.xml><?xml version="1.0" encoding="utf-8"?>
<w:fonts xmlns:w="http://schemas.openxmlformats.org/wordprocessingml/2006/main">
  <w:font w:name="Cambria">
    <w:panose1 w:val="02040503050406030204"/>
    <w:charset w:val="00"/>
    <w:family w:val="auto"/>
    <w:pitch w:val="variable"/>
    <w:sig w:csb0="0000019F" w:csb1="00000000" w:usb0="E00002FF" w:usb1="400004FF" w:usb2="00000000" w:usb3="00000000"/>
  </w:font>
  <w:font w:name="ＭＳ 明朝">
    <w:panose1 w:val="00000000000000000000"/>
    <w:charset w:val="80"/>
    <w:family w:val="roman"/>
    <w:notTrueType/>
    <w:pitch w:val="fixed"/>
    <w:sig w:csb0="00020000" w:csb1="00000000" w:usb0="00000001" w:usb1="08070000" w:usb2="00000010" w:usb3="00000000"/>
  </w:font>
  <w:font w:name="Times New Roman">
    <w:panose1 w:val="02020603050405020304"/>
    <w:charset w:val="00"/>
    <w:family w:val="auto"/>
    <w:pitch w:val="variable"/>
    <w:sig w:csb0="00000001" w:csb1="00000000" w:usb0="00000003" w:usb1="00000000" w:usb2="00000000" w:usb3="00000000"/>
  </w:font>
  <w:font w:name="Calibri">
    <w:panose1 w:val="020F0502020204030204"/>
    <w:charset w:val="00"/>
    <w:family w:val="auto"/>
    <w:pitch w:val="variable"/>
    <w:sig w:csb0="0000019F" w:csb1="00000000" w:usb0="E10002FF" w:usb1="4000ACFF" w:usb2="00000009" w:usb3="00000000"/>
  </w:font>
  <w:font w:name="ＭＳ ゴシック">
    <w:panose1 w:val="00000000000000000000"/>
    <w:charset w:val="80"/>
    <w:family w:val="modern"/>
    <w:notTrueType/>
    <w:pitch w:val="fixed"/>
    <w:sig w:csb0="00020000" w:csb1="00000000" w:usb0="00000001" w:usb1="08070000" w:usb2="00000010" w:usb3="00000000"/>
  </w:font>
  <w:font w:name="Consolas">
    <w:panose1 w:val="020B0609020204030204"/>
    <w:charset w:val="00"/>
    <w:family w:val="auto"/>
    <w:pitch w:val="variable"/>
    <w:sig w:csb0="0000019F" w:csb1="00000000" w:usb0="E10002FF" w:usb1="4000FCFF" w:usb2="00000009" w:usb3="00000000"/>
  </w:font>
  <w:font w:name="Arial">
    <w:panose1 w:val="020B0604020202020204"/>
    <w:charset w:val="00"/>
    <w:family w:val="auto"/>
    <w:pitch w:val="variable"/>
    <w:sig w:csb0="00000001" w:csb1="00000000" w:usb0="00000003" w:usb1="00000000" w:usb2="00000000" w:usb3="00000000"/>
  </w:font>
</w:fonts>
</file>

<file path=word/numbering.xml><?xml version="1.0" encoding="utf-8"?>
<w:numbering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 mc:Ignorable="co co-ooxml w14 x14 w15">
  <w:abstractNum w:abstractNumId="0">
    <w:lvl w:ilvl="0">
      <w:numFmt w:val="bullet"/>
      <w:suff w:val="tab"/>
      <w:lvlText w:val=""/>
      <w:pPr>
        <w:widowControl w:val="1"/>
        <w:ind w:hanging="360" w:left="720"/>
      </w:pPr>
      <w:rPr>
        <w:rFonts w:ascii="Symbol" w:hAnsi="Symbol"/>
      </w:rPr>
    </w:lvl>
    <w:lvl w:ilvl="1">
      <w:numFmt w:val="bullet"/>
      <w:suff w:val="tab"/>
      <w:lvlText w:val="o"/>
      <w:pPr>
        <w:widowControl w:val="1"/>
        <w:ind w:hanging="360" w:left="1440"/>
      </w:pPr>
      <w:rPr>
        <w:rFonts w:ascii="Courier New" w:hAnsi="Courier New"/>
      </w:rPr>
    </w:lvl>
    <w:lvl w:ilvl="2">
      <w:numFmt w:val="bullet"/>
      <w:suff w:val="tab"/>
      <w:lvlText w:val=""/>
      <w:pPr>
        <w:widowControl w:val="1"/>
        <w:ind w:hanging="360" w:left="2160"/>
      </w:pPr>
      <w:rPr>
        <w:rFonts w:ascii="Wingdings" w:hAnsi="Wingdings"/>
      </w:rPr>
    </w:lvl>
    <w:lvl w:ilvl="3">
      <w:numFmt w:val="bullet"/>
      <w:suff w:val="tab"/>
      <w:lvlText w:val=""/>
      <w:pPr>
        <w:widowControl w:val="1"/>
        <w:ind w:hanging="360" w:left="2880"/>
      </w:pPr>
      <w:rPr>
        <w:rFonts w:ascii="Symbol" w:hAnsi="Symbol"/>
      </w:rPr>
    </w:lvl>
    <w:lvl w:ilvl="4">
      <w:numFmt w:val="bullet"/>
      <w:suff w:val="tab"/>
      <w:lvlText w:val="o"/>
      <w:pPr>
        <w:widowControl w:val="1"/>
        <w:ind w:hanging="360" w:left="3600"/>
      </w:pPr>
      <w:rPr>
        <w:rFonts w:ascii="Courier New" w:hAnsi="Courier New"/>
      </w:rPr>
    </w:lvl>
    <w:lvl w:ilvl="5">
      <w:numFmt w:val="bullet"/>
      <w:suff w:val="tab"/>
      <w:lvlText w:val=""/>
      <w:pPr>
        <w:widowControl w:val="1"/>
        <w:ind w:hanging="360" w:left="4320"/>
      </w:pPr>
      <w:rPr>
        <w:rFonts w:ascii="Wingdings" w:hAnsi="Wingdings"/>
      </w:rPr>
    </w:lvl>
    <w:lvl w:ilvl="6">
      <w:numFmt w:val="bullet"/>
      <w:suff w:val="tab"/>
      <w:lvlText w:val=""/>
      <w:pPr>
        <w:widowControl w:val="1"/>
        <w:ind w:hanging="360" w:left="5040"/>
      </w:pPr>
      <w:rPr>
        <w:rFonts w:ascii="Symbol" w:hAnsi="Symbol"/>
      </w:rPr>
    </w:lvl>
    <w:lvl w:ilvl="7">
      <w:numFmt w:val="bullet"/>
      <w:suff w:val="tab"/>
      <w:lvlText w:val="o"/>
      <w:pPr>
        <w:widowControl w:val="1"/>
        <w:ind w:hanging="360" w:left="5760"/>
      </w:pPr>
      <w:rPr>
        <w:rFonts w:ascii="Courier New" w:hAnsi="Courier New"/>
      </w:rPr>
    </w:lvl>
    <w:lvl w:ilvl="8">
      <w:numFmt w:val="bullet"/>
      <w:suff w:val="tab"/>
      <w:lvlText w:val=""/>
      <w:pPr>
        <w:widowControl w:val="1"/>
        <w:ind w:hanging="360" w:left="6480"/>
      </w:pPr>
      <w:rPr>
        <w:rFonts w:ascii="Wingdings" w:hAnsi="Wingdings"/>
      </w:rPr>
    </w:lvl>
  </w:abstractNum>
  <w:abstractNum w:abstractNumId="1">
    <w:lvl w:ilvl="0">
      <w:start w:val="1"/>
      <w:numFmt w:val="decimal"/>
      <w:suff w:val="tab"/>
      <w:lvlText w:val="%1."/>
      <w:pPr>
        <w:widowControl w:val="1"/>
        <w:ind w:hanging="360" w:left="720"/>
      </w:pPr>
    </w:lvl>
    <w:lvl w:ilvl="1">
      <w:start w:val="1"/>
      <w:numFmt w:val="lowerLetter"/>
      <w:suff w:val="tab"/>
      <w:lvlText w:val="%2."/>
      <w:pPr>
        <w:widowControl w:val="1"/>
        <w:ind w:hanging="360" w:left="1440"/>
      </w:pPr>
    </w:lvl>
    <w:lvl w:ilvl="2">
      <w:start w:val="1"/>
      <w:numFmt w:val="lowerRoman"/>
      <w:suff w:val="tab"/>
      <w:lvlText w:val="%3."/>
      <w:lvlJc w:val="right"/>
      <w:pPr>
        <w:widowControl w:val="1"/>
        <w:ind w:hanging="360" w:left="2160"/>
      </w:pPr>
    </w:lvl>
    <w:lvl w:ilvl="3">
      <w:start w:val="1"/>
      <w:numFmt w:val="decimal"/>
      <w:suff w:val="tab"/>
      <w:lvlText w:val="%4."/>
      <w:pPr>
        <w:widowControl w:val="1"/>
        <w:ind w:hanging="360" w:left="2880"/>
      </w:pPr>
    </w:lvl>
    <w:lvl w:ilvl="4">
      <w:start w:val="1"/>
      <w:numFmt w:val="lowerLetter"/>
      <w:suff w:val="tab"/>
      <w:lvlText w:val="%5."/>
      <w:pPr>
        <w:widowControl w:val="1"/>
        <w:ind w:hanging="360" w:left="3600"/>
      </w:pPr>
    </w:lvl>
    <w:lvl w:ilvl="5">
      <w:start w:val="1"/>
      <w:numFmt w:val="lowerRoman"/>
      <w:suff w:val="tab"/>
      <w:lvlText w:val="%6."/>
      <w:lvlJc w:val="right"/>
      <w:pPr>
        <w:widowControl w:val="1"/>
        <w:ind w:hanging="360" w:left="4320"/>
      </w:pPr>
    </w:lvl>
    <w:lvl w:ilvl="6">
      <w:start w:val="1"/>
      <w:numFmt w:val="decimal"/>
      <w:suff w:val="tab"/>
      <w:lvlText w:val="%7."/>
      <w:pPr>
        <w:widowControl w:val="1"/>
        <w:ind w:hanging="360" w:left="5040"/>
      </w:pPr>
    </w:lvl>
    <w:lvl w:ilvl="7">
      <w:start w:val="1"/>
      <w:numFmt w:val="lowerLetter"/>
      <w:suff w:val="tab"/>
      <w:lvlText w:val="%8."/>
      <w:pPr>
        <w:widowControl w:val="1"/>
        <w:ind w:hanging="360" w:left="5760"/>
      </w:pPr>
    </w:lvl>
    <w:lvl w:ilvl="8">
      <w:start w:val="1"/>
      <w:numFmt w:val="lowerRoman"/>
      <w:suff w:val="tab"/>
      <w:lvlText w:val="%9."/>
      <w:lvlJc w:val="right"/>
      <w:pPr>
        <w:widowControl w:val="1"/>
        <w:ind w:hanging="360" w:left="6480"/>
      </w:pPr>
    </w:lvl>
  </w:abstractNum>
  <w:abstractNum w:abstractNumId="2">
    <w:lvl w:ilvl="0">
      <w:numFmt w:val="bullet"/>
      <w:suff w:val="tab"/>
      <w:lvlText w:val=""/>
      <w:pPr>
        <w:widowControl w:val="1"/>
        <w:ind w:hanging="360" w:left="720"/>
      </w:pPr>
      <w:rPr>
        <w:rFonts w:ascii="Symbol" w:hAnsi="Symbol"/>
      </w:rPr>
    </w:lvl>
    <w:lvl w:ilvl="1">
      <w:numFmt w:val="bullet"/>
      <w:suff w:val="tab"/>
      <w:lvlText w:val="o"/>
      <w:pPr>
        <w:widowControl w:val="1"/>
        <w:ind w:hanging="360" w:left="1440"/>
      </w:pPr>
      <w:rPr>
        <w:rFonts w:ascii="Courier New" w:hAnsi="Courier New"/>
      </w:rPr>
    </w:lvl>
    <w:lvl w:ilvl="2">
      <w:numFmt w:val="bullet"/>
      <w:suff w:val="tab"/>
      <w:lvlText w:val=""/>
      <w:pPr>
        <w:widowControl w:val="1"/>
        <w:ind w:hanging="360" w:left="2160"/>
      </w:pPr>
      <w:rPr>
        <w:rFonts w:ascii="Wingdings" w:hAnsi="Wingdings"/>
      </w:rPr>
    </w:lvl>
    <w:lvl w:ilvl="3">
      <w:numFmt w:val="bullet"/>
      <w:suff w:val="tab"/>
      <w:lvlText w:val=""/>
      <w:pPr>
        <w:widowControl w:val="1"/>
        <w:ind w:hanging="360" w:left="2880"/>
      </w:pPr>
      <w:rPr>
        <w:rFonts w:ascii="Symbol" w:hAnsi="Symbol"/>
      </w:rPr>
    </w:lvl>
    <w:lvl w:ilvl="4">
      <w:numFmt w:val="bullet"/>
      <w:suff w:val="tab"/>
      <w:lvlText w:val="o"/>
      <w:pPr>
        <w:widowControl w:val="1"/>
        <w:ind w:hanging="360" w:left="3600"/>
      </w:pPr>
      <w:rPr>
        <w:rFonts w:ascii="Courier New" w:hAnsi="Courier New"/>
      </w:rPr>
    </w:lvl>
    <w:lvl w:ilvl="5">
      <w:numFmt w:val="bullet"/>
      <w:suff w:val="tab"/>
      <w:lvlText w:val=""/>
      <w:pPr>
        <w:widowControl w:val="1"/>
        <w:ind w:hanging="360" w:left="4320"/>
      </w:pPr>
      <w:rPr>
        <w:rFonts w:ascii="Wingdings" w:hAnsi="Wingdings"/>
      </w:rPr>
    </w:lvl>
    <w:lvl w:ilvl="6">
      <w:numFmt w:val="bullet"/>
      <w:suff w:val="tab"/>
      <w:lvlText w:val=""/>
      <w:pPr>
        <w:widowControl w:val="1"/>
        <w:ind w:hanging="360" w:left="5040"/>
      </w:pPr>
      <w:rPr>
        <w:rFonts w:ascii="Symbol" w:hAnsi="Symbol"/>
      </w:rPr>
    </w:lvl>
    <w:lvl w:ilvl="7">
      <w:numFmt w:val="bullet"/>
      <w:suff w:val="tab"/>
      <w:lvlText w:val="o"/>
      <w:pPr>
        <w:widowControl w:val="1"/>
        <w:ind w:hanging="360" w:left="5760"/>
      </w:pPr>
      <w:rPr>
        <w:rFonts w:ascii="Courier New" w:hAnsi="Courier New"/>
      </w:rPr>
    </w:lvl>
    <w:lvl w:ilvl="8">
      <w:numFmt w:val="bullet"/>
      <w:suff w:val="tab"/>
      <w:lvlText w:val=""/>
      <w:pPr>
        <w:widowControl w:val="1"/>
        <w:ind w:hanging="360" w:left="6480"/>
      </w:pPr>
      <w:rPr>
        <w:rFonts w:ascii="Wingdings" w:hAnsi="Wingdings"/>
      </w:rPr>
    </w:lvl>
  </w:abstractNum>
  <w:abstractNum w:abstractNumId="3">
    <w:lvl w:ilvl="0">
      <w:numFmt w:val="bullet"/>
      <w:suff w:val="tab"/>
      <w:lvlText w:val=""/>
      <w:pPr>
        <w:widowControl w:val="1"/>
        <w:ind w:hanging="360" w:left="720"/>
      </w:pPr>
      <w:rPr>
        <w:rFonts w:ascii="Symbol" w:hAnsi="Symbol"/>
      </w:rPr>
    </w:lvl>
    <w:lvl w:ilvl="1">
      <w:numFmt w:val="bullet"/>
      <w:suff w:val="tab"/>
      <w:lvlText w:val="o"/>
      <w:pPr>
        <w:widowControl w:val="1"/>
        <w:ind w:hanging="360" w:left="1440"/>
      </w:pPr>
      <w:rPr>
        <w:rFonts w:ascii="Courier New" w:hAnsi="Courier New"/>
      </w:rPr>
    </w:lvl>
    <w:lvl w:ilvl="2">
      <w:numFmt w:val="bullet"/>
      <w:suff w:val="tab"/>
      <w:lvlText w:val=""/>
      <w:pPr>
        <w:widowControl w:val="1"/>
        <w:ind w:hanging="360" w:left="2160"/>
      </w:pPr>
      <w:rPr>
        <w:rFonts w:ascii="Wingdings" w:hAnsi="Wingdings"/>
      </w:rPr>
    </w:lvl>
    <w:lvl w:ilvl="3">
      <w:numFmt w:val="bullet"/>
      <w:suff w:val="tab"/>
      <w:lvlText w:val=""/>
      <w:pPr>
        <w:widowControl w:val="1"/>
        <w:ind w:hanging="360" w:left="2880"/>
      </w:pPr>
      <w:rPr>
        <w:rFonts w:ascii="Symbol" w:hAnsi="Symbol"/>
      </w:rPr>
    </w:lvl>
    <w:lvl w:ilvl="4">
      <w:numFmt w:val="bullet"/>
      <w:suff w:val="tab"/>
      <w:lvlText w:val="o"/>
      <w:pPr>
        <w:widowControl w:val="1"/>
        <w:ind w:hanging="360" w:left="3600"/>
      </w:pPr>
      <w:rPr>
        <w:rFonts w:ascii="Courier New" w:hAnsi="Courier New"/>
      </w:rPr>
    </w:lvl>
    <w:lvl w:ilvl="5">
      <w:numFmt w:val="bullet"/>
      <w:suff w:val="tab"/>
      <w:lvlText w:val=""/>
      <w:pPr>
        <w:widowControl w:val="1"/>
        <w:ind w:hanging="360" w:left="4320"/>
      </w:pPr>
      <w:rPr>
        <w:rFonts w:ascii="Wingdings" w:hAnsi="Wingdings"/>
      </w:rPr>
    </w:lvl>
    <w:lvl w:ilvl="6">
      <w:numFmt w:val="bullet"/>
      <w:suff w:val="tab"/>
      <w:lvlText w:val=""/>
      <w:pPr>
        <w:widowControl w:val="1"/>
        <w:ind w:hanging="360" w:left="5040"/>
      </w:pPr>
      <w:rPr>
        <w:rFonts w:ascii="Symbol" w:hAnsi="Symbol"/>
      </w:rPr>
    </w:lvl>
    <w:lvl w:ilvl="7">
      <w:numFmt w:val="bullet"/>
      <w:suff w:val="tab"/>
      <w:lvlText w:val="o"/>
      <w:pPr>
        <w:widowControl w:val="1"/>
        <w:ind w:hanging="360" w:left="5760"/>
      </w:pPr>
      <w:rPr>
        <w:rFonts w:ascii="Courier New" w:hAnsi="Courier New"/>
      </w:rPr>
    </w:lvl>
    <w:lvl w:ilvl="8">
      <w:numFmt w:val="bullet"/>
      <w:suff w:val="tab"/>
      <w:lvlText w:val=""/>
      <w:pPr>
        <w:widowControl w:val="1"/>
        <w:ind w:hanging="360" w:left="6480"/>
      </w:pPr>
      <w:rPr>
        <w:rFonts w:ascii="Wingdings" w:hAnsi="Wingdings"/>
      </w:rPr>
    </w:lvl>
  </w:abstractNum>
  <w:abstractNum w:abstractNumId="4">
    <w:lvl w:ilvl="0">
      <w:numFmt w:val="bullet"/>
      <w:suff w:val="tab"/>
      <w:lvlText w:val=""/>
      <w:pPr>
        <w:widowControl w:val="1"/>
        <w:ind w:hanging="360" w:left="720"/>
      </w:pPr>
      <w:rPr>
        <w:rFonts w:ascii="Symbol" w:hAnsi="Symbol"/>
      </w:rPr>
    </w:lvl>
    <w:lvl w:ilvl="1">
      <w:numFmt w:val="bullet"/>
      <w:suff w:val="tab"/>
      <w:lvlText w:val="o"/>
      <w:pPr>
        <w:widowControl w:val="1"/>
        <w:ind w:hanging="360" w:left="1440"/>
      </w:pPr>
      <w:rPr>
        <w:rFonts w:ascii="Courier New" w:hAnsi="Courier New"/>
      </w:rPr>
    </w:lvl>
    <w:lvl w:ilvl="2">
      <w:numFmt w:val="bullet"/>
      <w:suff w:val="tab"/>
      <w:lvlText w:val=""/>
      <w:pPr>
        <w:widowControl w:val="1"/>
        <w:ind w:hanging="360" w:left="2160"/>
      </w:pPr>
      <w:rPr>
        <w:rFonts w:ascii="Wingdings" w:hAnsi="Wingdings"/>
      </w:rPr>
    </w:lvl>
    <w:lvl w:ilvl="3">
      <w:numFmt w:val="bullet"/>
      <w:suff w:val="tab"/>
      <w:lvlText w:val=""/>
      <w:pPr>
        <w:widowControl w:val="1"/>
        <w:ind w:hanging="360" w:left="2880"/>
      </w:pPr>
      <w:rPr>
        <w:rFonts w:ascii="Symbol" w:hAnsi="Symbol"/>
      </w:rPr>
    </w:lvl>
    <w:lvl w:ilvl="4">
      <w:numFmt w:val="bullet"/>
      <w:suff w:val="tab"/>
      <w:lvlText w:val="o"/>
      <w:pPr>
        <w:widowControl w:val="1"/>
        <w:ind w:hanging="360" w:left="3600"/>
      </w:pPr>
      <w:rPr>
        <w:rFonts w:ascii="Courier New" w:hAnsi="Courier New"/>
      </w:rPr>
    </w:lvl>
    <w:lvl w:ilvl="5">
      <w:numFmt w:val="bullet"/>
      <w:suff w:val="tab"/>
      <w:lvlText w:val=""/>
      <w:pPr>
        <w:widowControl w:val="1"/>
        <w:ind w:hanging="360" w:left="4320"/>
      </w:pPr>
      <w:rPr>
        <w:rFonts w:ascii="Wingdings" w:hAnsi="Wingdings"/>
      </w:rPr>
    </w:lvl>
    <w:lvl w:ilvl="6">
      <w:numFmt w:val="bullet"/>
      <w:suff w:val="tab"/>
      <w:lvlText w:val=""/>
      <w:pPr>
        <w:widowControl w:val="1"/>
        <w:ind w:hanging="360" w:left="5040"/>
      </w:pPr>
      <w:rPr>
        <w:rFonts w:ascii="Symbol" w:hAnsi="Symbol"/>
      </w:rPr>
    </w:lvl>
    <w:lvl w:ilvl="7">
      <w:numFmt w:val="bullet"/>
      <w:suff w:val="tab"/>
      <w:lvlText w:val="o"/>
      <w:pPr>
        <w:widowControl w:val="1"/>
        <w:ind w:hanging="360" w:left="5760"/>
      </w:pPr>
      <w:rPr>
        <w:rFonts w:ascii="Courier New" w:hAnsi="Courier New"/>
      </w:rPr>
    </w:lvl>
    <w:lvl w:ilvl="8">
      <w:numFmt w:val="bullet"/>
      <w:suff w:val="tab"/>
      <w:lvlText w:val=""/>
      <w:pPr>
        <w:widowControl w:val="1"/>
        <w:ind w:hanging="360" w:left="6480"/>
      </w:pPr>
      <w:rPr>
        <w:rFonts w:ascii="Wingdings" w:hAnsi="Wingdings"/>
      </w:rPr>
    </w:lvl>
  </w:abstractNum>
  <w:abstractNum w:abstractNumId="5">
    <w:lvl w:ilvl="0">
      <w:numFmt w:val="bullet"/>
      <w:suff w:val="tab"/>
      <w:lvlText w:val=""/>
      <w:pPr>
        <w:widowControl w:val="1"/>
        <w:ind w:hanging="360" w:left="720"/>
      </w:pPr>
      <w:rPr>
        <w:rFonts w:ascii="Symbol" w:hAnsi="Symbol"/>
      </w:rPr>
    </w:lvl>
    <w:lvl w:ilvl="1">
      <w:numFmt w:val="bullet"/>
      <w:suff w:val="tab"/>
      <w:lvlText w:val="o"/>
      <w:pPr>
        <w:widowControl w:val="1"/>
        <w:ind w:hanging="360" w:left="1440"/>
      </w:pPr>
      <w:rPr>
        <w:rFonts w:ascii="Courier New" w:hAnsi="Courier New"/>
      </w:rPr>
    </w:lvl>
    <w:lvl w:ilvl="2">
      <w:numFmt w:val="bullet"/>
      <w:suff w:val="tab"/>
      <w:lvlText w:val=""/>
      <w:pPr>
        <w:widowControl w:val="1"/>
        <w:ind w:hanging="360" w:left="2160"/>
      </w:pPr>
      <w:rPr>
        <w:rFonts w:ascii="Wingdings" w:hAnsi="Wingdings"/>
      </w:rPr>
    </w:lvl>
    <w:lvl w:ilvl="3">
      <w:numFmt w:val="bullet"/>
      <w:suff w:val="tab"/>
      <w:lvlText w:val=""/>
      <w:pPr>
        <w:widowControl w:val="1"/>
        <w:ind w:hanging="360" w:left="2880"/>
      </w:pPr>
      <w:rPr>
        <w:rFonts w:ascii="Symbol" w:hAnsi="Symbol"/>
      </w:rPr>
    </w:lvl>
    <w:lvl w:ilvl="4">
      <w:numFmt w:val="bullet"/>
      <w:suff w:val="tab"/>
      <w:lvlText w:val="o"/>
      <w:pPr>
        <w:widowControl w:val="1"/>
        <w:ind w:hanging="360" w:left="3600"/>
      </w:pPr>
      <w:rPr>
        <w:rFonts w:ascii="Courier New" w:hAnsi="Courier New"/>
      </w:rPr>
    </w:lvl>
    <w:lvl w:ilvl="5">
      <w:numFmt w:val="bullet"/>
      <w:suff w:val="tab"/>
      <w:lvlText w:val=""/>
      <w:pPr>
        <w:widowControl w:val="1"/>
        <w:ind w:hanging="360" w:left="4320"/>
      </w:pPr>
      <w:rPr>
        <w:rFonts w:ascii="Wingdings" w:hAnsi="Wingdings"/>
      </w:rPr>
    </w:lvl>
    <w:lvl w:ilvl="6">
      <w:numFmt w:val="bullet"/>
      <w:suff w:val="tab"/>
      <w:lvlText w:val=""/>
      <w:pPr>
        <w:widowControl w:val="1"/>
        <w:ind w:hanging="360" w:left="5040"/>
      </w:pPr>
      <w:rPr>
        <w:rFonts w:ascii="Symbol" w:hAnsi="Symbol"/>
      </w:rPr>
    </w:lvl>
    <w:lvl w:ilvl="7">
      <w:numFmt w:val="bullet"/>
      <w:suff w:val="tab"/>
      <w:lvlText w:val="o"/>
      <w:pPr>
        <w:widowControl w:val="1"/>
        <w:ind w:hanging="360" w:left="5760"/>
      </w:pPr>
      <w:rPr>
        <w:rFonts w:ascii="Courier New" w:hAnsi="Courier New"/>
      </w:rPr>
    </w:lvl>
    <w:lvl w:ilvl="8">
      <w:numFmt w:val="bullet"/>
      <w:suff w:val="tab"/>
      <w:lvlText w:val=""/>
      <w:pPr>
        <w:widowControl w:val="1"/>
        <w:ind w:hanging="360" w:left="6480"/>
      </w:pPr>
      <w:rPr>
        <w:rFonts w:ascii="Wingdings" w:hAnsi="Wingdings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</w:numbering>
</file>

<file path=word/settings.xml><?xml version="1.0" encoding="utf-8"?>
<w:settings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 mc:Ignorable="co co-ooxml w14 x14 w15">
  <w:defaultTabStop w:val="720"/>
  <w:compat>
    <w:compatSetting w:name="compatibilityMode" w:uri="http://schemas.microsoft.com/office/word" w:val="15"/>
  </w:compat>
  <w:clrSchemeMapping w:accent1="accent1" w:accent2="accent2" w:accent3="accent3" w:accent4="accent4" w:accent5="accent5" w:accent6="accent6" w:bg1="light1" w:bg2="light2" w:followedHyperlink="followedHyperlink" w:hyperlink="hyperlink" w:t1="dark1" w:t2="dark2"/>
</w:settings>
</file>

<file path=word/styles.xml><?xml version="1.0" encoding="utf-8"?>
<w:styles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 mc:Ignorable="co co-ooxml w14 x14 w15">
  <w:docDefaults>
    <w:rPrDefault>
      <w:rPr>
        <w:rFonts w:ascii="XO Thames" w:hAnsi="XO Thames"/>
        <w:color w:val="000000"/>
        <w:spacing w:val="0"/>
        <w:sz w:val="24"/>
      </w:rPr>
    </w:rPrDefault>
    <w:pPrDefault>
      <w:pPr>
        <w:widowControl w:val="1"/>
        <w:spacing w:after="0" w:before="0" w:line="240" w:lineRule="auto"/>
        <w:ind w:firstLine="0" w:left="0" w:right="0"/>
        <w:jc w:val="left"/>
      </w:pPr>
    </w:pPrDefault>
  </w:docDefaults>
  <w:latentStyles w:count="25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semiHidden="0" w:uiPriority="9" w:unhideWhenUsed="0"/>
    <w:lsdException w:name="heading 3" w:qFormat="1" w:semiHidden="0" w:uiPriority="9" w:unhideWhenUsed="0"/>
    <w:lsdException w:name="heading 4" w:qFormat="1" w:semiHidden="0" w:uiPriority="9" w:unhideWhenUsed="0"/>
    <w:lsdException w:name="heading 5" w:qFormat="1" w:semiHidden="0" w:uiPriority="9" w:unhideWhenUsed="0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Title" w:qFormat="1" w:semiHidden="0" w:uiPriority="10" w:unhideWhenUsed="0"/>
    <w:lsdException w:name="Subtitle" w:qFormat="1" w:semiHidden="0" w:uiPriority="11" w:unhideWhenUsed="0"/>
    <w:lsdException w:name="Header and Footer" w:qFormat="0" w:semiHidden="0" w:unhideWhenUsed="0"/>
    <w:lsdException w:name="Footnote" w:qFormat="0" w:semiHidden="0" w:unhideWhenUsed="0"/>
    <w:lsdException w:name="Endnote" w:qFormat="0" w:semiHidden="0" w:unhideWhenUsed="0"/>
    <w:lsdException w:name="toc 1" w:qFormat="0" w:semiHidden="0" w:uiPriority="39" w:unhideWhenUsed="0"/>
    <w:lsdException w:name="toc 2" w:qFormat="0" w:semiHidden="0" w:uiPriority="39" w:unhideWhenUsed="0"/>
    <w:lsdException w:name="toc 3" w:qFormat="0" w:semiHidden="0" w:uiPriority="39" w:unhideWhenUsed="0"/>
    <w:lsdException w:name="toc 4" w:qFormat="0" w:semiHidden="0" w:uiPriority="39" w:unhideWhenUsed="0"/>
    <w:lsdException w:name="toc 5" w:qFormat="0" w:semiHidden="0" w:uiPriority="39" w:unhideWhenUsed="0"/>
    <w:lsdException w:name="toc 6" w:qFormat="0" w:semiHidden="0" w:uiPriority="39" w:unhideWhenUsed="0"/>
    <w:lsdException w:name="toc 7" w:qFormat="0" w:semiHidden="0" w:uiPriority="39" w:unhideWhenUsed="0"/>
    <w:lsdException w:name="toc 8" w:qFormat="0" w:semiHidden="0" w:uiPriority="39" w:unhideWhenUsed="0"/>
    <w:lsdException w:name="toc 9" w:qFormat="0" w:semiHidden="0" w:uiPriority="39" w:unhideWhenUsed="0"/>
    <w:lsdException w:name="Hyperlink" w:qFormat="0" w:semiHidden="0" w:unhideWhenUsed="0"/>
  </w:latentStyles>
  <w:style w:default="1" w:styleId="Style_1" w:type="paragraph">
    <w:name w:val="Normal"/>
    <w:link w:val="Style_1_ch"/>
    <w:uiPriority w:val="0"/>
    <w:qFormat/>
    <w:pPr>
      <w:widowControl w:val="1"/>
      <w:spacing w:line="240" w:lineRule="auto"/>
      <w:ind/>
      <w:jc w:val="both"/>
    </w:pPr>
    <w:rPr>
      <w:rFonts w:ascii="XO Thames" w:hAnsi="XO Thames"/>
      <w:sz w:val="28"/>
    </w:rPr>
  </w:style>
  <w:style w:default="1" w:styleId="Style_1_ch" w:type="character">
    <w:name w:val="Normal"/>
    <w:link w:val="Style_1"/>
    <w:rPr>
      <w:rFonts w:ascii="XO Thames" w:hAnsi="XO Thames"/>
      <w:sz w:val="28"/>
    </w:rPr>
  </w:style>
  <w:style w:styleId="Style_2" w:type="paragraph">
    <w:name w:val="toc 2"/>
    <w:next w:val="Style_1"/>
    <w:link w:val="Style_2_ch"/>
    <w:uiPriority w:val="39"/>
    <w:pPr>
      <w:ind w:firstLine="0" w:left="200"/>
      <w:jc w:val="left"/>
    </w:pPr>
    <w:rPr>
      <w:rFonts w:ascii="XO Thames" w:hAnsi="XO Thames"/>
      <w:sz w:val="28"/>
    </w:rPr>
  </w:style>
  <w:style w:styleId="Style_2_ch" w:type="character">
    <w:name w:val="toc 2"/>
    <w:link w:val="Style_2"/>
    <w:rPr>
      <w:rFonts w:ascii="XO Thames" w:hAnsi="XO Thames"/>
      <w:sz w:val="28"/>
    </w:rPr>
  </w:style>
  <w:style w:styleId="Style_3" w:type="paragraph">
    <w:name w:val="toc 4"/>
    <w:next w:val="Style_1"/>
    <w:link w:val="Style_3_ch"/>
    <w:uiPriority w:val="39"/>
    <w:pPr>
      <w:ind w:firstLine="0" w:left="600"/>
      <w:jc w:val="left"/>
    </w:pPr>
    <w:rPr>
      <w:rFonts w:ascii="XO Thames" w:hAnsi="XO Thames"/>
      <w:sz w:val="28"/>
    </w:rPr>
  </w:style>
  <w:style w:styleId="Style_3_ch" w:type="character">
    <w:name w:val="toc 4"/>
    <w:link w:val="Style_3"/>
    <w:rPr>
      <w:rFonts w:ascii="XO Thames" w:hAnsi="XO Thames"/>
      <w:sz w:val="28"/>
    </w:rPr>
  </w:style>
  <w:style w:styleId="Style_4" w:type="paragraph">
    <w:name w:val="toc 6"/>
    <w:next w:val="Style_1"/>
    <w:link w:val="Style_4_ch"/>
    <w:uiPriority w:val="39"/>
    <w:pPr>
      <w:ind w:firstLine="0" w:left="1000"/>
      <w:jc w:val="left"/>
    </w:pPr>
    <w:rPr>
      <w:rFonts w:ascii="XO Thames" w:hAnsi="XO Thames"/>
      <w:sz w:val="28"/>
    </w:rPr>
  </w:style>
  <w:style w:styleId="Style_4_ch" w:type="character">
    <w:name w:val="toc 6"/>
    <w:link w:val="Style_4"/>
    <w:rPr>
      <w:rFonts w:ascii="XO Thames" w:hAnsi="XO Thames"/>
      <w:sz w:val="28"/>
    </w:rPr>
  </w:style>
  <w:style w:styleId="Style_5" w:type="paragraph">
    <w:name w:val="toc 7"/>
    <w:next w:val="Style_1"/>
    <w:link w:val="Style_5_ch"/>
    <w:uiPriority w:val="39"/>
    <w:pPr>
      <w:ind w:firstLine="0" w:left="1200"/>
      <w:jc w:val="left"/>
    </w:pPr>
    <w:rPr>
      <w:rFonts w:ascii="XO Thames" w:hAnsi="XO Thames"/>
      <w:sz w:val="28"/>
    </w:rPr>
  </w:style>
  <w:style w:styleId="Style_5_ch" w:type="character">
    <w:name w:val="toc 7"/>
    <w:link w:val="Style_5"/>
    <w:rPr>
      <w:rFonts w:ascii="XO Thames" w:hAnsi="XO Thames"/>
      <w:sz w:val="28"/>
    </w:rPr>
  </w:style>
  <w:style w:styleId="Style_6" w:type="paragraph">
    <w:name w:val="Endnote"/>
    <w:link w:val="Style_6_ch"/>
    <w:pPr>
      <w:ind w:firstLine="851" w:left="0"/>
      <w:jc w:val="both"/>
    </w:pPr>
    <w:rPr>
      <w:rFonts w:ascii="XO Thames" w:hAnsi="XO Thames"/>
      <w:sz w:val="22"/>
    </w:rPr>
  </w:style>
  <w:style w:styleId="Style_6_ch" w:type="character">
    <w:name w:val="Endnote"/>
    <w:link w:val="Style_6"/>
    <w:rPr>
      <w:rFonts w:ascii="XO Thames" w:hAnsi="XO Thames"/>
      <w:sz w:val="22"/>
    </w:rPr>
  </w:style>
  <w:style w:styleId="Style_7" w:type="paragraph">
    <w:name w:val="heading 3"/>
    <w:next w:val="Style_1"/>
    <w:link w:val="Style_7_ch"/>
    <w:uiPriority w:val="9"/>
    <w:qFormat/>
    <w:pPr>
      <w:spacing w:after="120" w:before="120"/>
      <w:ind/>
      <w:jc w:val="both"/>
      <w:outlineLvl w:val="2"/>
    </w:pPr>
    <w:rPr>
      <w:rFonts w:ascii="XO Thames" w:hAnsi="XO Thames"/>
      <w:b w:val="1"/>
      <w:sz w:val="26"/>
    </w:rPr>
  </w:style>
  <w:style w:styleId="Style_7_ch" w:type="character">
    <w:name w:val="heading 3"/>
    <w:link w:val="Style_7"/>
    <w:rPr>
      <w:rFonts w:ascii="XO Thames" w:hAnsi="XO Thames"/>
      <w:b w:val="1"/>
      <w:sz w:val="26"/>
    </w:rPr>
  </w:style>
  <w:style w:styleId="Style_8" w:type="paragraph">
    <w:name w:val="toc 3"/>
    <w:next w:val="Style_1"/>
    <w:link w:val="Style_8_ch"/>
    <w:uiPriority w:val="39"/>
    <w:pPr>
      <w:ind w:firstLine="0" w:left="400"/>
      <w:jc w:val="left"/>
    </w:pPr>
    <w:rPr>
      <w:rFonts w:ascii="XO Thames" w:hAnsi="XO Thames"/>
      <w:sz w:val="28"/>
    </w:rPr>
  </w:style>
  <w:style w:styleId="Style_8_ch" w:type="character">
    <w:name w:val="toc 3"/>
    <w:link w:val="Style_8"/>
    <w:rPr>
      <w:rFonts w:ascii="XO Thames" w:hAnsi="XO Thames"/>
      <w:sz w:val="28"/>
    </w:rPr>
  </w:style>
  <w:style w:styleId="Style_9" w:type="paragraph">
    <w:name w:val="heading 5"/>
    <w:next w:val="Style_1"/>
    <w:link w:val="Style_9_ch"/>
    <w:uiPriority w:val="9"/>
    <w:qFormat/>
    <w:pPr>
      <w:spacing w:after="120" w:before="120"/>
      <w:ind/>
      <w:jc w:val="both"/>
      <w:outlineLvl w:val="4"/>
    </w:pPr>
    <w:rPr>
      <w:rFonts w:ascii="XO Thames" w:hAnsi="XO Thames"/>
      <w:b w:val="1"/>
      <w:sz w:val="22"/>
    </w:rPr>
  </w:style>
  <w:style w:styleId="Style_9_ch" w:type="character">
    <w:name w:val="heading 5"/>
    <w:link w:val="Style_9"/>
    <w:rPr>
      <w:rFonts w:ascii="XO Thames" w:hAnsi="XO Thames"/>
      <w:b w:val="1"/>
      <w:sz w:val="22"/>
    </w:rPr>
  </w:style>
  <w:style w:styleId="Style_10" w:type="paragraph">
    <w:name w:val="heading 1"/>
    <w:next w:val="Style_1"/>
    <w:link w:val="Style_10_ch"/>
    <w:uiPriority w:val="9"/>
    <w:qFormat/>
    <w:pPr>
      <w:spacing w:after="120" w:before="120"/>
      <w:ind/>
      <w:jc w:val="both"/>
      <w:outlineLvl w:val="0"/>
    </w:pPr>
    <w:rPr>
      <w:rFonts w:ascii="XO Thames" w:hAnsi="XO Thames"/>
      <w:b w:val="1"/>
      <w:sz w:val="32"/>
    </w:rPr>
  </w:style>
  <w:style w:styleId="Style_10_ch" w:type="character">
    <w:name w:val="heading 1"/>
    <w:link w:val="Style_10"/>
    <w:rPr>
      <w:rFonts w:ascii="XO Thames" w:hAnsi="XO Thames"/>
      <w:b w:val="1"/>
      <w:sz w:val="32"/>
    </w:rPr>
  </w:style>
  <w:style w:styleId="Style_11" w:type="paragraph">
    <w:name w:val="Hyperlink"/>
    <w:link w:val="Style_11_ch"/>
    <w:rPr>
      <w:color w:val="0000FF"/>
      <w:u w:val="single"/>
    </w:rPr>
  </w:style>
  <w:style w:styleId="Style_11_ch" w:type="character">
    <w:name w:val="Hyperlink"/>
    <w:link w:val="Style_11"/>
    <w:rPr>
      <w:color w:val="0000FF"/>
      <w:u w:val="single"/>
    </w:rPr>
  </w:style>
  <w:style w:styleId="Style_12" w:type="paragraph">
    <w:name w:val="Footnote"/>
    <w:link w:val="Style_12_ch"/>
    <w:pPr>
      <w:ind w:firstLine="851" w:left="0"/>
      <w:jc w:val="both"/>
    </w:pPr>
    <w:rPr>
      <w:rFonts w:ascii="XO Thames" w:hAnsi="XO Thames"/>
      <w:sz w:val="22"/>
    </w:rPr>
  </w:style>
  <w:style w:styleId="Style_12_ch" w:type="character">
    <w:name w:val="Footnote"/>
    <w:link w:val="Style_12"/>
    <w:rPr>
      <w:rFonts w:ascii="XO Thames" w:hAnsi="XO Thames"/>
      <w:sz w:val="22"/>
    </w:rPr>
  </w:style>
  <w:style w:styleId="Style_13" w:type="paragraph">
    <w:name w:val="toc 1"/>
    <w:next w:val="Style_1"/>
    <w:link w:val="Style_13_ch"/>
    <w:uiPriority w:val="39"/>
    <w:pPr>
      <w:ind w:firstLine="0" w:left="0"/>
      <w:jc w:val="left"/>
    </w:pPr>
    <w:rPr>
      <w:rFonts w:ascii="XO Thames" w:hAnsi="XO Thames"/>
      <w:b w:val="1"/>
      <w:sz w:val="28"/>
    </w:rPr>
  </w:style>
  <w:style w:styleId="Style_13_ch" w:type="character">
    <w:name w:val="toc 1"/>
    <w:link w:val="Style_13"/>
    <w:rPr>
      <w:rFonts w:ascii="XO Thames" w:hAnsi="XO Thames"/>
      <w:b w:val="1"/>
      <w:sz w:val="28"/>
    </w:rPr>
  </w:style>
  <w:style w:styleId="Style_14" w:type="paragraph">
    <w:name w:val="Header and Footer"/>
    <w:link w:val="Style_14_ch"/>
    <w:pPr>
      <w:spacing w:line="240" w:lineRule="auto"/>
      <w:ind/>
      <w:jc w:val="both"/>
    </w:pPr>
    <w:rPr>
      <w:rFonts w:ascii="XO Thames" w:hAnsi="XO Thames"/>
      <w:sz w:val="28"/>
    </w:rPr>
  </w:style>
  <w:style w:styleId="Style_14_ch" w:type="character">
    <w:name w:val="Header and Footer"/>
    <w:link w:val="Style_14"/>
    <w:rPr>
      <w:rFonts w:ascii="XO Thames" w:hAnsi="XO Thames"/>
      <w:sz w:val="28"/>
    </w:rPr>
  </w:style>
  <w:style w:styleId="Style_15" w:type="paragraph">
    <w:name w:val="toc 9"/>
    <w:next w:val="Style_1"/>
    <w:link w:val="Style_15_ch"/>
    <w:uiPriority w:val="39"/>
    <w:pPr>
      <w:ind w:firstLine="0" w:left="1600"/>
      <w:jc w:val="left"/>
    </w:pPr>
    <w:rPr>
      <w:rFonts w:ascii="XO Thames" w:hAnsi="XO Thames"/>
      <w:sz w:val="28"/>
    </w:rPr>
  </w:style>
  <w:style w:styleId="Style_15_ch" w:type="character">
    <w:name w:val="toc 9"/>
    <w:link w:val="Style_15"/>
    <w:rPr>
      <w:rFonts w:ascii="XO Thames" w:hAnsi="XO Thames"/>
      <w:sz w:val="28"/>
    </w:rPr>
  </w:style>
  <w:style w:styleId="Style_16" w:type="paragraph">
    <w:name w:val="toc 8"/>
    <w:next w:val="Style_1"/>
    <w:link w:val="Style_16_ch"/>
    <w:uiPriority w:val="39"/>
    <w:pPr>
      <w:ind w:firstLine="0" w:left="1400"/>
      <w:jc w:val="left"/>
    </w:pPr>
    <w:rPr>
      <w:rFonts w:ascii="XO Thames" w:hAnsi="XO Thames"/>
      <w:sz w:val="28"/>
    </w:rPr>
  </w:style>
  <w:style w:styleId="Style_16_ch" w:type="character">
    <w:name w:val="toc 8"/>
    <w:link w:val="Style_16"/>
    <w:rPr>
      <w:rFonts w:ascii="XO Thames" w:hAnsi="XO Thames"/>
      <w:sz w:val="28"/>
    </w:rPr>
  </w:style>
  <w:style w:styleId="Style_17" w:type="paragraph">
    <w:name w:val="toc 5"/>
    <w:next w:val="Style_1"/>
    <w:link w:val="Style_17_ch"/>
    <w:uiPriority w:val="39"/>
    <w:pPr>
      <w:ind w:firstLine="0" w:left="800"/>
      <w:jc w:val="left"/>
    </w:pPr>
    <w:rPr>
      <w:rFonts w:ascii="XO Thames" w:hAnsi="XO Thames"/>
      <w:sz w:val="28"/>
    </w:rPr>
  </w:style>
  <w:style w:styleId="Style_17_ch" w:type="character">
    <w:name w:val="toc 5"/>
    <w:link w:val="Style_17"/>
    <w:rPr>
      <w:rFonts w:ascii="XO Thames" w:hAnsi="XO Thames"/>
      <w:sz w:val="28"/>
    </w:rPr>
  </w:style>
  <w:style w:styleId="Style_18" w:type="paragraph">
    <w:name w:val="Subtitle"/>
    <w:next w:val="Style_1"/>
    <w:link w:val="Style_18_ch"/>
    <w:uiPriority w:val="11"/>
    <w:qFormat/>
    <w:pPr>
      <w:ind/>
      <w:jc w:val="both"/>
    </w:pPr>
    <w:rPr>
      <w:rFonts w:ascii="XO Thames" w:hAnsi="XO Thames"/>
      <w:i w:val="1"/>
      <w:sz w:val="24"/>
    </w:rPr>
  </w:style>
  <w:style w:styleId="Style_18_ch" w:type="character">
    <w:name w:val="Subtitle"/>
    <w:link w:val="Style_18"/>
    <w:rPr>
      <w:rFonts w:ascii="XO Thames" w:hAnsi="XO Thames"/>
      <w:i w:val="1"/>
      <w:sz w:val="24"/>
    </w:rPr>
  </w:style>
  <w:style w:styleId="Style_19" w:type="paragraph">
    <w:name w:val="Title"/>
    <w:next w:val="Style_1"/>
    <w:link w:val="Style_19_ch"/>
    <w:uiPriority w:val="10"/>
    <w:qFormat/>
    <w:pPr>
      <w:spacing w:after="567" w:before="567"/>
      <w:ind/>
      <w:jc w:val="center"/>
    </w:pPr>
    <w:rPr>
      <w:rFonts w:ascii="XO Thames" w:hAnsi="XO Thames"/>
      <w:b w:val="1"/>
      <w:caps w:val="1"/>
      <w:sz w:val="40"/>
    </w:rPr>
  </w:style>
  <w:style w:styleId="Style_19_ch" w:type="character">
    <w:name w:val="Title"/>
    <w:link w:val="Style_19"/>
    <w:rPr>
      <w:rFonts w:ascii="XO Thames" w:hAnsi="XO Thames"/>
      <w:b w:val="1"/>
      <w:caps w:val="1"/>
      <w:sz w:val="40"/>
    </w:rPr>
  </w:style>
  <w:style w:styleId="Style_20" w:type="paragraph">
    <w:name w:val="heading 4"/>
    <w:next w:val="Style_1"/>
    <w:link w:val="Style_20_ch"/>
    <w:uiPriority w:val="9"/>
    <w:qFormat/>
    <w:pPr>
      <w:spacing w:after="120" w:before="120"/>
      <w:ind/>
      <w:jc w:val="both"/>
      <w:outlineLvl w:val="3"/>
    </w:pPr>
    <w:rPr>
      <w:rFonts w:ascii="XO Thames" w:hAnsi="XO Thames"/>
      <w:b w:val="1"/>
      <w:sz w:val="24"/>
    </w:rPr>
  </w:style>
  <w:style w:styleId="Style_20_ch" w:type="character">
    <w:name w:val="heading 4"/>
    <w:link w:val="Style_20"/>
    <w:rPr>
      <w:rFonts w:ascii="XO Thames" w:hAnsi="XO Thames"/>
      <w:b w:val="1"/>
      <w:sz w:val="24"/>
    </w:rPr>
  </w:style>
  <w:style w:styleId="Style_21" w:type="paragraph">
    <w:name w:val="heading 2"/>
    <w:next w:val="Style_1"/>
    <w:link w:val="Style_21_ch"/>
    <w:uiPriority w:val="9"/>
    <w:qFormat/>
    <w:pPr>
      <w:spacing w:after="120" w:before="120"/>
      <w:ind/>
      <w:jc w:val="both"/>
      <w:outlineLvl w:val="1"/>
    </w:pPr>
    <w:rPr>
      <w:rFonts w:ascii="XO Thames" w:hAnsi="XO Thames"/>
      <w:b w:val="1"/>
      <w:sz w:val="28"/>
    </w:rPr>
  </w:style>
  <w:style w:styleId="Style_21_ch" w:type="character">
    <w:name w:val="heading 2"/>
    <w:link w:val="Style_21"/>
    <w:rPr>
      <w:rFonts w:ascii="XO Thames" w:hAnsi="XO Thames"/>
      <w:b w:val="1"/>
      <w:sz w:val="28"/>
    </w:rPr>
  </w:style>
</w:styles>
</file>

<file path=word/stylesWithEffects.xml><?xml version="1.0" encoding="utf-8"?>
<w:styles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en-US" w:val="en-US"/>
      </w:rPr>
    </w:rPrDefault>
    <w:pPrDefault/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</w:style>
  <w:style w:styleId="Heading1" w:type="paragraph">
    <w:name w:val="heading 1"/>
    <w:basedOn w:val="Normal"/>
    <w:next w:val="Normal"/>
    <w:link w:val="Heading1Char"/>
    <w:uiPriority w:val="9"/>
    <w:qFormat/>
    <w:rsid w:val="00111FAE"/>
    <w:pPr>
      <w:keepNext/>
      <w:keepLines/>
      <w:spacing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5" w:val="345A8A"/>
      <w:sz w:val="32"/>
      <w:szCs w:val="32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111FAE"/>
    <w:rPr>
      <w:rFonts w:asciiTheme="majorHAnsi" w:cstheme="majorBidi" w:eastAsiaTheme="majorEastAsia" w:hAnsiTheme="majorHAnsi"/>
      <w:b/>
      <w:bCs/>
      <w:color w:themeColor="accent1" w:themeShade="B5" w:val="345A8A"/>
      <w:sz w:val="32"/>
      <w:szCs w:val="32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allowPNG/>
  <w:doNotSaveAsSingleFile/>
</w:webSettings>
</file>

<file path=word/_rels/document.xml.rels><?xml version="1.0" encoding="UTF-8" standalone="no" ?>
<Relationships xmlns="http://schemas.openxmlformats.org/package/2006/relationships">
  <Relationship Id="rId6" Target="theme/theme1.xml" Type="http://schemas.openxmlformats.org/officeDocument/2006/relationships/theme"/>
  <Relationship Id="rId1" Target="fontTable.xml" Type="http://schemas.openxmlformats.org/officeDocument/2006/relationships/fontTable"/>
  <Relationship Id="rId2" Target="settings.xml" Type="http://schemas.openxmlformats.org/officeDocument/2006/relationships/settings"/>
  <Relationship Id="rId3" Target="styles.xml" Type="http://schemas.openxmlformats.org/officeDocument/2006/relationships/styles"/>
  <Relationship Id="rId4" Target="stylesWithEffects.xml" Type="http://schemas.microsoft.com/office/2007/relationships/stylesWithEffects"/>
  <Relationship Id="rId7" Target="numbering.xml" Type="http://schemas.openxmlformats.org/officeDocument/2006/relationships/numbering"/>
  <Relationship Id="rId5" Target="webSettings.xml" Type="http://schemas.openxmlformats.org/officeDocument/2006/relationships/webSettings"/>
</Relationships>

</file>

<file path=word/theme/theme1.xml><?xml version="1.0" encoding="utf-8"?>
<a:theme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XO Thames"/>
        <a:ea typeface=""/>
        <a:cs typeface=""/>
      </a:majorFont>
      <a:minorFont>
        <a:latin typeface="XO Thames"/>
        <a:ea typeface=""/>
        <a:cs typeface="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63000"/>
                <a:satMod val="300000"/>
              </a:schemeClr>
            </a:gs>
            <a:gs pos="100000">
              <a:schemeClr val="phClr">
                <a:tint val="85000"/>
                <a:satMod val="350000"/>
              </a:schemeClr>
            </a:gs>
          </a:gsLst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</a:gradFill>
      </a:fillStyleLst>
      <a:lnStyleLst>
        <a:ln w="6350">
          <a:solidFill>
            <a:schemeClr val="phClr">
              <a:shade val="95000"/>
              <a:satMod val="105000"/>
            </a:schemeClr>
          </a:solidFill>
          <a:prstDash val="solid"/>
        </a:ln>
        <a:ln w="12700">
          <a:solidFill>
            <a:schemeClr val="phClr"/>
          </a:solidFill>
          <a:prstDash val="solid"/>
        </a:ln>
        <a:ln w="19050">
          <a:solidFill>
            <a:schemeClr val="phClr"/>
          </a:solidFill>
          <a:prstDash val="solid"/>
        </a:ln>
      </a:lnStyleLst>
      <a:effectStyleLst>
        <a:effectStyle>
          <a:effectLst>
            <a:outerShdw>
              <a:srgbClr val="000000">
                <a:alpha val="38000"/>
              </a:srgbClr>
            </a:outerShdw>
          </a:effectLst>
        </a:effectStyle>
        <a:effectStyle>
          <a:effectLst>
            <a:outerShdw>
              <a:srgbClr val="000000">
                <a:alpha val="35000"/>
              </a:srgbClr>
            </a:outerShdw>
          </a:effectLst>
        </a:effectStyle>
        <a:effectStyle>
          <a:effectLst>
            <a:outerShdw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60000"/>
                <a:satMod val="350000"/>
              </a:schemeClr>
            </a:gs>
            <a:gs pos="40000">
              <a:schemeClr val="phClr">
                <a:tint val="5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</a:gradFill>
        <a:gradFill>
          <a:gsLst>
            <a:gs pos="0">
              <a:schemeClr val="phClr">
                <a:tint val="2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</a:gradFill>
      </a:bgFillStyleLst>
    </a:fmtScheme>
  </a:themeElements>
</a:theme>
</file>

<file path=docProps/app.xml><?xml version="1.0" encoding="utf-8"?>
<Properties xmlns="http://schemas.openxmlformats.org/officeDocument/2006/extended-properties">
  <Template>Normal.dotm</Template>
  <TotalTime>0</TotalTime>
  <DocSecurity>0</DocSecurity>
  <ScaleCrop>false</ScaleCrop>
  <Application>MyOffice-CoreFramework-Windows/36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2025-11-03T10:15:35Z</dcterms:created>
  <dcterms:modified xsi:type="dcterms:W3CDTF">2025-11-03T10:25:59Z</dcterms:modified>
</cp:coreProperties>
</file>